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00"/>
        <w:spacing w:after="0"/>
        <w:rPr>
          <w:sz w:val="20"/>
          <w:szCs w:val="20"/>
          <w:color w:val="auto"/>
        </w:rPr>
      </w:pPr>
      <w:r>
        <w:rPr>
          <w:rFonts w:ascii="Arial" w:cs="Arial" w:eastAsia="Arial" w:hAnsi="Arial"/>
          <w:sz w:val="16"/>
          <w:szCs w:val="16"/>
          <w:b w:val="1"/>
          <w:bCs w:val="1"/>
          <w:color w:val="auto"/>
        </w:rPr>
        <w:t>Filed by Sustainable Opportunities Acquisition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Sustainable Opportunities Acquisition 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001-39281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9692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96925" cy="3771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142875</wp:posOffset>
            </wp:positionV>
            <wp:extent cx="3282950" cy="600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8295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following communication was made available by DeepGreen Metals Inc. on metals.co on June 28,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DeepGreen Securityholders Approve Business Combination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with Sustainable Opportunities Acquisition Corp.</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Transaction Expected to Close in the Third Quarter of 2021</w:t>
      </w:r>
    </w:p>
    <w:p>
      <w:pPr>
        <w:spacing w:after="0" w:line="225" w:lineRule="exact"/>
        <w:rPr>
          <w:sz w:val="24"/>
          <w:szCs w:val="24"/>
          <w:color w:val="auto"/>
        </w:rPr>
      </w:pPr>
    </w:p>
    <w:p>
      <w:pPr>
        <w:ind w:right="120"/>
        <w:spacing w:after="0" w:line="275" w:lineRule="auto"/>
        <w:rPr>
          <w:sz w:val="20"/>
          <w:szCs w:val="20"/>
          <w:color w:val="auto"/>
        </w:rPr>
      </w:pPr>
      <w:r>
        <w:rPr>
          <w:rFonts w:ascii="Arial" w:cs="Arial" w:eastAsia="Arial" w:hAnsi="Arial"/>
          <w:sz w:val="17"/>
          <w:szCs w:val="17"/>
          <w:color w:val="auto"/>
        </w:rPr>
        <w:t>VANCOUVER, British Columbia – June 28, 2021 – DeepGreen Metals Inc. (“DeepGreen”) today announced that DeepGreen’s securityholders passed a special resolution approving the Plan of Arrangement related to the previously-announced business combination (the “business combination”) with Sustainable Opportunities Acquisition Corp. (“SOAC”). At the DeepGreen securityholders meeting, held on June 22, 2021, the special resolution approving the Plan of Arrangement was unanimously approved, with 90.4% of the outstanding shares and 98.7% of the outstanding options represented in person or by proxy. No DeepGreen securityholders voted against the resolutions.</w:t>
      </w:r>
    </w:p>
    <w:p>
      <w:pPr>
        <w:spacing w:after="0" w:line="176" w:lineRule="exact"/>
        <w:rPr>
          <w:sz w:val="24"/>
          <w:szCs w:val="24"/>
          <w:color w:val="auto"/>
        </w:rPr>
      </w:pPr>
    </w:p>
    <w:p>
      <w:pPr>
        <w:ind w:right="240"/>
        <w:spacing w:after="0" w:line="259" w:lineRule="auto"/>
        <w:rPr>
          <w:sz w:val="20"/>
          <w:szCs w:val="20"/>
          <w:color w:val="auto"/>
        </w:rPr>
      </w:pPr>
      <w:r>
        <w:rPr>
          <w:rFonts w:ascii="Arial" w:cs="Arial" w:eastAsia="Arial" w:hAnsi="Arial"/>
          <w:sz w:val="18"/>
          <w:szCs w:val="18"/>
          <w:color w:val="auto"/>
        </w:rPr>
        <w:t>The closing of the business combination remains subject to approval by SOAC’s shareholders and the satisfaction of other customary closing conditions, and is expected to occur in the third quarter of 2021. Following the completion of the business combination, the combined entity will be renamed “TMC the metals company Inc.” (“The Metals Company” or “TMC”) and is expected to begin trading on the Nasdaq Global Select Market under the ticker symbol “TMC”.</w:t>
      </w:r>
    </w:p>
    <w:p>
      <w:pPr>
        <w:spacing w:after="0" w:line="187" w:lineRule="exact"/>
        <w:rPr>
          <w:sz w:val="24"/>
          <w:szCs w:val="24"/>
          <w:color w:val="auto"/>
        </w:rPr>
      </w:pPr>
    </w:p>
    <w:p>
      <w:pPr>
        <w:ind w:right="80"/>
        <w:spacing w:after="0" w:line="301" w:lineRule="auto"/>
        <w:rPr>
          <w:sz w:val="20"/>
          <w:szCs w:val="20"/>
          <w:color w:val="auto"/>
        </w:rPr>
      </w:pPr>
      <w:r>
        <w:rPr>
          <w:rFonts w:ascii="Arial" w:cs="Arial" w:eastAsia="Arial" w:hAnsi="Arial"/>
          <w:sz w:val="16"/>
          <w:szCs w:val="16"/>
          <w:color w:val="auto"/>
        </w:rPr>
        <w:t>“I want to thank all of our shareholders for their longstanding support. We are thrilled about what we have accomplished together so far, and we look forward to working with SOAC to shape the future supply chain for EV battery metals,” said Gerard Barron, Chairman and CEO of DeepGreen. “The vote of our securityholders is a critical step towards listing The Metals Company and ensuring TMC has the resources to achieve its goal of becoming the world’s largest producer of EV battery metals through a responsible approach with the lowest lifecycle ESG impact and low production cost.”</w:t>
      </w:r>
    </w:p>
    <w:p>
      <w:pPr>
        <w:spacing w:after="0" w:line="157" w:lineRule="exact"/>
        <w:rPr>
          <w:sz w:val="24"/>
          <w:szCs w:val="24"/>
          <w:color w:val="auto"/>
        </w:rPr>
      </w:pPr>
    </w:p>
    <w:p>
      <w:pPr>
        <w:ind w:right="60"/>
        <w:spacing w:after="0" w:line="308" w:lineRule="auto"/>
        <w:rPr>
          <w:sz w:val="20"/>
          <w:szCs w:val="20"/>
          <w:color w:val="auto"/>
        </w:rPr>
      </w:pPr>
      <w:r>
        <w:rPr>
          <w:rFonts w:ascii="Arial" w:cs="Arial" w:eastAsia="Arial" w:hAnsi="Arial"/>
          <w:sz w:val="17"/>
          <w:szCs w:val="17"/>
          <w:color w:val="auto"/>
        </w:rPr>
        <w:t>Subsequent to the Meeting, the British Columbia Supreme Court approved the Plan of Arrangement contemplated in the Business Combination Agreement between SOAC and DeepGreen, and determined that the Arrangement was fair and reasonable to the securityholders of DeepGreen.</w:t>
      </w:r>
    </w:p>
    <w:p>
      <w:pPr>
        <w:spacing w:after="0" w:line="146" w:lineRule="exact"/>
        <w:rPr>
          <w:sz w:val="24"/>
          <w:szCs w:val="24"/>
          <w:color w:val="auto"/>
        </w:rPr>
      </w:pPr>
    </w:p>
    <w:p>
      <w:pPr>
        <w:ind w:right="80"/>
        <w:spacing w:after="0" w:line="259" w:lineRule="auto"/>
        <w:rPr>
          <w:sz w:val="20"/>
          <w:szCs w:val="20"/>
          <w:color w:val="auto"/>
        </w:rPr>
      </w:pPr>
      <w:r>
        <w:rPr>
          <w:rFonts w:ascii="Arial" w:cs="Arial" w:eastAsia="Arial" w:hAnsi="Arial"/>
          <w:sz w:val="18"/>
          <w:szCs w:val="18"/>
          <w:color w:val="auto"/>
        </w:rPr>
        <w:t>“Today’s announcement is a significant milestone in the merger, and I want to thank DeepGreen shareholders for their overwhelming vote of confidence,” said Scott Leonard, CEO of SOAC. “Together, after the approval of the SOAC shareholders of the business combination and the closing of the transaction, The Metals Company will have the capital required to realize its vision of bringing better metals to the market and begin meeting the demand for critical battery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DeepGreen</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DeepGreen Metals Inc. is a Canadian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In March 2021, DeepGreen announced that it had entered into a business combination agreement with Sustainable Opportunities Acquisition</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Corporation (SOAC) to accelerate project development and become a publicly traded company on NASDAQ as “The Metals Company”. More information is available at deep.green.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Sustainable Opportunities Acquisition Corporation</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Sustainable Opportunities Acquisition Corporation a special purpose acquisition company with a dedicated ESG focus and deep operational and capital market capabilities in the energy and resource sectors. While investing in ESG covers a broad range of themes, the Company focused on evaluating suitable targets with existing environmental sustainability practices or that could benefit, both operationally and economically, from the founders’ and management team’s commitment and expertise in executing such practices. In March, SOAC announced that it would merge with DeepGreen Metals Inc. to form TMC the metals company Inc. For more information, visit greenspac.com.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About the Proposed Business Combination and Where to Find It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communication is being made in respect of a proposed business combination transaction contemplated by the business combination agreement (the</w:t>
      </w:r>
    </w:p>
    <w:p>
      <w:pPr>
        <w:spacing w:after="0" w:line="4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Combination Agreement</w:t>
      </w:r>
      <w:r>
        <w:rPr>
          <w:rFonts w:ascii="Arial" w:cs="Arial" w:eastAsia="Arial" w:hAnsi="Arial"/>
          <w:sz w:val="16"/>
          <w:szCs w:val="16"/>
          <w:color w:val="auto"/>
        </w:rPr>
        <w:t>”), dated as of March 4, 2021, by and among SOAC, 1291924 B.C. Unlimited Liability Company, an unlimited liability company existing under the laws of British Columbia, Canada, and DeepGreen and other concurrent agreements related thereto (together, the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w:t>
      </w:r>
      <w:r>
        <w:rPr>
          <w:rFonts w:ascii="Arial" w:cs="Arial" w:eastAsia="Arial" w:hAnsi="Arial"/>
          <w:sz w:val="16"/>
          <w:szCs w:val="16"/>
          <w:color w:val="auto"/>
        </w:rPr>
        <w:t>”). In connection with the proposed Business Combination, SOAC has filed with the U.S. Securities and Exchange Commission’s (“</w:t>
      </w:r>
      <w:r>
        <w:rPr>
          <w:rFonts w:ascii="Arial" w:cs="Arial" w:eastAsia="Arial" w:hAnsi="Arial"/>
          <w:sz w:val="16"/>
          <w:szCs w:val="16"/>
          <w:i w:val="1"/>
          <w:iCs w:val="1"/>
          <w:color w:val="auto"/>
        </w:rPr>
        <w:t>SEC</w:t>
      </w:r>
      <w:r>
        <w:rPr>
          <w:rFonts w:ascii="Arial" w:cs="Arial" w:eastAsia="Arial" w:hAnsi="Arial"/>
          <w:sz w:val="16"/>
          <w:szCs w:val="16"/>
          <w:color w:val="auto"/>
        </w:rPr>
        <w:t>”)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Registration Statement on Form S-4, including a preliminary proxy statement/prospectus. </w:t>
      </w:r>
      <w:r>
        <w:rPr>
          <w:rFonts w:ascii="Arial" w:cs="Arial" w:eastAsia="Arial" w:hAnsi="Arial"/>
          <w:sz w:val="16"/>
          <w:szCs w:val="16"/>
          <w:b w:val="1"/>
          <w:bCs w:val="1"/>
          <w:color w:val="auto"/>
        </w:rPr>
        <w:t>SOAC’s shareholders and other interested persons are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advised to read the preliminary proxy statement/prospectus and, when available, any amendments thereto and the definitive proxy statement/prospectus as well as other documents filed with the SEC in connection with the proposed Business Combination, as these materials will contain important information about DeepGreen, SOAC, and the proposed Business Combination. </w:t>
      </w:r>
      <w:r>
        <w:rPr>
          <w:rFonts w:ascii="Arial" w:cs="Arial" w:eastAsia="Arial" w:hAnsi="Arial"/>
          <w:sz w:val="16"/>
          <w:szCs w:val="16"/>
          <w:color w:val="auto"/>
        </w:rPr>
        <w:t>When available, the definitive proxy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statement/prospectus and other relevant materials for the proposed Business Combination will be mailed to shareholders of SOAC as of a record date to be established for voting on the proposed Business Combination. Shareholders will also be able to obtain copies of the preliminary proxy statement/prospectus, the definitive proxy statement/prospectus, and other documents filed with the SEC that will be incorporated by reference therein, without charge, once available, at the SEC’s website at www.sec.gov, or by directing a request to: Investors@soa-corp.com.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6"/>
          <w:szCs w:val="16"/>
          <w:color w:val="auto"/>
        </w:rPr>
        <w:t>A list of the names of those directors and executive officers and a description of their interests in SOAC will be included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statement/prospectus for the proposed Business Combination and be available at www.sec.gov. Additional information regarding the interests of such participants will be contained in the definitive proxy statement/prospectus for the proposed Business Combination when available.</w:t>
      </w:r>
    </w:p>
    <w:p>
      <w:pPr>
        <w:spacing w:after="0" w:line="151"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6"/>
          <w:szCs w:val="16"/>
          <w:color w:val="auto"/>
        </w:rPr>
        <w:t>A list of the names of such directors and executive officers and information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their interests in the proposed Business Combination will be included in the definitive proxy statement/prospectus for the proposed Business Combination.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the final prospectus of SOAC for its initial public offering and the proxy statement/prospectus relating to the proposed Business Combination,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Rory Usher | TMC the metals company Inc.| rory@metals.co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Chelsea Lauber | Antenna Group | tmc@antennagroup.com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investors@metals.co</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2021-06-29T05:21:09Z</dcterms:created>
  <dcterms:modified xsi:type="dcterms:W3CDTF">2021-06-29T05:21:09Z</dcterms:modified>
</cp:coreProperties>
</file>