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Sustainable Opportunities Acquisition Corp.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1601 Bryan Street, Suite 4141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Dallas, TX 75201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August 12, 2021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Transportation and Leisure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Kevin Dougherty and Loan Lauren Nguyen</w:t>
      </w:r>
    </w:p>
    <w:p>
      <w:pPr>
        <w:sectPr>
          <w:pgSz w:w="11900" w:h="16838" w:orient="portrait"/>
          <w:cols w:equalWidth="0" w:num="1">
            <w:col w:w="11220"/>
          </w:cols>
          <w:pgMar w:left="320" w:top="229" w:right="35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Sustainable Opportunities Acquisition Corp.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333-255118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20" w:space="380"/>
            <w:col w:w="9920"/>
          </w:cols>
          <w:pgMar w:left="320" w:top="229" w:right="35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Sustainable Opportunities Acquisition Corp.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requests acceleration of the effective date of the above referenced Registration Statement to 4:30 p.m., Eastern Time, on August 12, 2021, or as soon thereafter as practicable, or at such other time as the Company or its outside counsel, Kirkland &amp; Ellis LLP, request by telephone that such Registration Statement be declared effective.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right="1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contact Julian Seiguer, of Kirkland &amp; Ellis LLP, special counsel to the Company, at (713) 836-3334, as soon as the Registration Statement has been declared effective, or if you have any other questions or concerns regarding this matter.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Scott Leonard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3785235</wp:posOffset>
            </wp:positionH>
            <wp:positionV relativeFrom="paragraph">
              <wp:posOffset>14605</wp:posOffset>
            </wp:positionV>
            <wp:extent cx="335153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Scott Leonard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20"/>
      </w:cols>
      <w:pgMar w:left="320" w:top="22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2021-09-10T23:09:06Z</dcterms:created>
  <dcterms:modified xsi:type="dcterms:W3CDTF">2021-09-10T23:09:06Z</dcterms:modified>
</cp:coreProperties>
</file>