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jc w:val="center"/>
        <w:ind w:left="3880" w:right="940" w:hanging="2932"/>
        <w:spacing w:after="0" w:line="391" w:lineRule="auto"/>
        <w:tabs>
          <w:tab w:leader="none" w:pos="115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jc w:val="center"/>
        <w:ind w:left="4460" w:right="940" w:hanging="3519"/>
        <w:spacing w:after="0" w:line="391" w:lineRule="auto"/>
        <w:tabs>
          <w:tab w:leader="none" w:pos="114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Cayman Islands</w:t>
            </w:r>
          </w:p>
        </w:tc>
        <w:tc>
          <w:tcPr>
            <w:tcW w:w="28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001-39281</w:t>
            </w:r>
          </w:p>
        </w:tc>
        <w:tc>
          <w:tcPr>
            <w:tcW w:w="200" w:type="dxa"/>
            <w:vAlign w:val="bottom"/>
          </w:tcPr>
          <w:p>
            <w:pPr>
              <w:spacing w:after="0"/>
              <w:rPr>
                <w:sz w:val="20"/>
                <w:szCs w:val="20"/>
                <w:color w:val="auto"/>
              </w:rPr>
            </w:pPr>
          </w:p>
        </w:tc>
        <w:tc>
          <w:tcPr>
            <w:tcW w:w="360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3"/>
          </w:tcPr>
          <w:p>
            <w:pPr>
              <w:jc w:val="center"/>
              <w:ind w:right="62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5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of incorporation or organization)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Identification Number)</w:t>
            </w:r>
          </w:p>
        </w:tc>
      </w:tr>
      <w:tr>
        <w:trPr>
          <w:trHeight w:val="439"/>
        </w:trPr>
        <w:tc>
          <w:tcPr>
            <w:tcW w:w="45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89"/>
              </w:rPr>
              <w:t>1601 Bryan Street, Suite 4141 Dallas, Texas</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75201</w:t>
            </w:r>
          </w:p>
        </w:tc>
      </w:tr>
      <w:tr>
        <w:trPr>
          <w:trHeight w:val="234"/>
        </w:trPr>
        <w:tc>
          <w:tcPr>
            <w:tcW w:w="456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Arial" w:cs="Arial" w:eastAsia="Arial" w:hAnsi="Arial"/>
                <w:sz w:val="18"/>
                <w:szCs w:val="18"/>
                <w:b w:val="1"/>
                <w:bCs w:val="1"/>
                <w:color w:val="auto"/>
                <w:w w:val="94"/>
              </w:rPr>
              <w:t>(Zip Code)</w:t>
            </w:r>
          </w:p>
        </w:tc>
      </w:tr>
    </w:tbl>
    <w:p>
      <w:pPr>
        <w:spacing w:after="0" w:line="8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13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2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5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30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jc w:val="center"/>
              <w:ind w:right="570"/>
              <w:spacing w:after="0" w:line="201" w:lineRule="exact"/>
              <w:rPr>
                <w:sz w:val="20"/>
                <w:szCs w:val="20"/>
                <w:color w:val="auto"/>
              </w:rPr>
            </w:pPr>
            <w:r>
              <w:rPr>
                <w:rFonts w:ascii="Arial" w:cs="Arial" w:eastAsia="Arial" w:hAnsi="Arial"/>
                <w:sz w:val="18"/>
                <w:szCs w:val="18"/>
                <w:color w:val="auto"/>
                <w:w w:val="95"/>
              </w:rPr>
              <w:t>SOAC.U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16"/>
        </w:trPr>
        <w:tc>
          <w:tcPr>
            <w:tcW w:w="456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color w:val="auto"/>
                <w:w w:val="89"/>
              </w:rPr>
              <w:t>Share, 0.0001 par value, and one-half of one</w:t>
            </w:r>
          </w:p>
        </w:tc>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4560" w:type="dxa"/>
            <w:vAlign w:val="bottom"/>
            <w:gridSpan w:val="3"/>
            <w:shd w:val="clear" w:color="auto" w:fill="CCEEFF"/>
          </w:tcPr>
          <w:p>
            <w:pPr>
              <w:jc w:val="center"/>
              <w:ind w:right="860"/>
              <w:spacing w:after="0"/>
              <w:rPr>
                <w:sz w:val="20"/>
                <w:szCs w:val="20"/>
                <w:color w:val="auto"/>
              </w:rPr>
            </w:pPr>
            <w:r>
              <w:rPr>
                <w:rFonts w:ascii="Arial" w:cs="Arial" w:eastAsia="Arial" w:hAnsi="Arial"/>
                <w:sz w:val="18"/>
                <w:szCs w:val="18"/>
                <w:color w:val="auto"/>
                <w:w w:val="88"/>
              </w:rPr>
              <w:t>redeemable warrant</w:t>
            </w:r>
          </w:p>
        </w:tc>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4560" w:type="dxa"/>
            <w:vAlign w:val="bottom"/>
            <w:gridSpan w:val="3"/>
          </w:tcPr>
          <w:p>
            <w:pPr>
              <w:jc w:val="center"/>
              <w:ind w:right="880"/>
              <w:spacing w:after="0" w:line="201" w:lineRule="exact"/>
              <w:rPr>
                <w:sz w:val="20"/>
                <w:szCs w:val="20"/>
                <w:color w:val="auto"/>
              </w:rPr>
            </w:pPr>
            <w:r>
              <w:rPr>
                <w:rFonts w:ascii="Arial" w:cs="Arial" w:eastAsia="Arial" w:hAnsi="Arial"/>
                <w:sz w:val="18"/>
                <w:szCs w:val="18"/>
                <w:color w:val="auto"/>
                <w:w w:val="90"/>
              </w:rPr>
              <w:t>Class A Ordinary Shares included as part of the</w:t>
            </w:r>
          </w:p>
        </w:tc>
        <w:tc>
          <w:tcPr>
            <w:tcW w:w="3080" w:type="dxa"/>
            <w:vAlign w:val="bottom"/>
            <w:gridSpan w:val="2"/>
          </w:tcPr>
          <w:p>
            <w:pPr>
              <w:jc w:val="center"/>
              <w:ind w:right="840"/>
              <w:spacing w:after="0" w:line="201" w:lineRule="exact"/>
              <w:rPr>
                <w:sz w:val="20"/>
                <w:szCs w:val="20"/>
                <w:color w:val="auto"/>
              </w:rPr>
            </w:pPr>
            <w:r>
              <w:rPr>
                <w:rFonts w:ascii="Arial" w:cs="Arial" w:eastAsia="Arial" w:hAnsi="Arial"/>
                <w:sz w:val="18"/>
                <w:szCs w:val="18"/>
                <w:color w:val="auto"/>
                <w:w w:val="93"/>
              </w:rPr>
              <w:t>SOAC</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30"/>
        </w:trPr>
        <w:tc>
          <w:tcPr>
            <w:tcW w:w="4560" w:type="dxa"/>
            <w:vAlign w:val="bottom"/>
            <w:gridSpan w:val="3"/>
          </w:tcPr>
          <w:p>
            <w:pPr>
              <w:jc w:val="center"/>
              <w:ind w:right="880"/>
              <w:spacing w:after="0"/>
              <w:rPr>
                <w:sz w:val="20"/>
                <w:szCs w:val="20"/>
                <w:color w:val="auto"/>
              </w:rPr>
            </w:pPr>
            <w:r>
              <w:rPr>
                <w:rFonts w:ascii="Arial" w:cs="Arial" w:eastAsia="Arial" w:hAnsi="Arial"/>
                <w:sz w:val="18"/>
                <w:szCs w:val="18"/>
                <w:color w:val="auto"/>
                <w:w w:val="94"/>
              </w:rPr>
              <w:t>units</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02"/>
        </w:trPr>
        <w:tc>
          <w:tcPr>
            <w:tcW w:w="4560" w:type="dxa"/>
            <w:vAlign w:val="bottom"/>
            <w:gridSpan w:val="3"/>
            <w:shd w:val="clear" w:color="auto" w:fill="CCEEFF"/>
          </w:tcPr>
          <w:p>
            <w:pPr>
              <w:jc w:val="center"/>
              <w:ind w:right="860"/>
              <w:spacing w:after="0" w:line="201" w:lineRule="exact"/>
              <w:rPr>
                <w:sz w:val="20"/>
                <w:szCs w:val="20"/>
                <w:color w:val="auto"/>
              </w:rPr>
            </w:pPr>
            <w:r>
              <w:rPr>
                <w:rFonts w:ascii="Arial" w:cs="Arial" w:eastAsia="Arial" w:hAnsi="Arial"/>
                <w:sz w:val="18"/>
                <w:szCs w:val="18"/>
                <w:color w:val="auto"/>
                <w:w w:val="89"/>
              </w:rPr>
              <w:t>Warrants included as part of the Units, each</w:t>
            </w:r>
          </w:p>
        </w:tc>
        <w:tc>
          <w:tcPr>
            <w:tcW w:w="3080" w:type="dxa"/>
            <w:vAlign w:val="bottom"/>
            <w:gridSpan w:val="2"/>
            <w:shd w:val="clear" w:color="auto" w:fill="CCEEFF"/>
          </w:tcPr>
          <w:p>
            <w:pPr>
              <w:jc w:val="center"/>
              <w:ind w:right="860"/>
              <w:spacing w:after="0" w:line="201" w:lineRule="exact"/>
              <w:rPr>
                <w:sz w:val="20"/>
                <w:szCs w:val="20"/>
                <w:color w:val="auto"/>
              </w:rPr>
            </w:pPr>
            <w:r>
              <w:rPr>
                <w:rFonts w:ascii="Arial" w:cs="Arial" w:eastAsia="Arial" w:hAnsi="Arial"/>
                <w:sz w:val="18"/>
                <w:szCs w:val="18"/>
                <w:color w:val="auto"/>
                <w:w w:val="91"/>
              </w:rPr>
              <w:t>SOAC WS</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16"/>
        </w:trPr>
        <w:tc>
          <w:tcPr>
            <w:tcW w:w="4560" w:type="dxa"/>
            <w:vAlign w:val="bottom"/>
            <w:gridSpan w:val="3"/>
            <w:shd w:val="clear" w:color="auto" w:fill="CCEEFF"/>
          </w:tcPr>
          <w:p>
            <w:pPr>
              <w:jc w:val="center"/>
              <w:ind w:right="860"/>
              <w:spacing w:after="0"/>
              <w:rPr>
                <w:sz w:val="20"/>
                <w:szCs w:val="20"/>
                <w:color w:val="auto"/>
              </w:rPr>
            </w:pPr>
            <w:r>
              <w:rPr>
                <w:rFonts w:ascii="Arial" w:cs="Arial" w:eastAsia="Arial" w:hAnsi="Arial"/>
                <w:sz w:val="18"/>
                <w:szCs w:val="18"/>
                <w:color w:val="auto"/>
                <w:w w:val="91"/>
              </w:rPr>
              <w:t>whole warrant exercisable for one Class A</w:t>
            </w:r>
          </w:p>
        </w:tc>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456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color w:val="auto"/>
                <w:w w:val="89"/>
              </w:rPr>
              <w:t>Ordinary Share at an exercise price of 11.50</w:t>
            </w:r>
          </w:p>
        </w:tc>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As of August 16, 2021, 30,000,000 Class A ordinary shares, par value $0.0001 per share, and 7,500,000 Class B ordinary shares,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30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4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w:t>
            </w:r>
          </w:p>
        </w:tc>
      </w:tr>
      <w:tr>
        <w:trPr>
          <w:trHeight w:val="176"/>
        </w:trPr>
        <w:tc>
          <w:tcPr>
            <w:tcW w:w="72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00" w:type="dxa"/>
            <w:vAlign w:val="bottom"/>
            <w:gridSpan w:val="22"/>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2021 and December 31,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2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2021 and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320" w:type="dxa"/>
            <w:vAlign w:val="bottom"/>
            <w:gridSpan w:val="21"/>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Changes in Shareholders’ Equity (Deficit) for the Three and Six Months Ended June 30,</w:t>
              </w:r>
            </w:hyperlink>
          </w:p>
        </w:tc>
        <w:tc>
          <w:tcPr>
            <w:tcW w:w="1120" w:type="dxa"/>
            <w:vAlign w:val="bottom"/>
            <w:shd w:val="clear" w:color="auto" w:fill="CCEEFF"/>
          </w:tcPr>
          <w:p>
            <w:pPr>
              <w:spacing w:after="0"/>
              <w:rPr>
                <w:sz w:val="15"/>
                <w:szCs w:val="15"/>
                <w:color w:val="auto"/>
              </w:rPr>
            </w:pPr>
          </w:p>
        </w:tc>
      </w:tr>
      <w:tr>
        <w:trPr>
          <w:trHeight w:val="217"/>
        </w:trPr>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08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2021 and 2020</w:t>
              </w:r>
            </w:hyperlink>
          </w:p>
        </w:tc>
        <w:tc>
          <w:tcPr>
            <w:tcW w:w="806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0" w:type="dxa"/>
            <w:vAlign w:val="bottom"/>
            <w:gridSpan w:val="22"/>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2021 and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3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720" w:type="dxa"/>
            <w:vAlign w:val="bottom"/>
            <w:gridSpan w:val="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400" w:type="dxa"/>
            <w:vAlign w:val="bottom"/>
            <w:gridSpan w:val="22"/>
          </w:tcPr>
          <w:p>
            <w:pPr>
              <w:ind w:left="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20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96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r>
      <w:tr>
        <w:trPr>
          <w:trHeight w:val="176"/>
        </w:trPr>
        <w:tc>
          <w:tcPr>
            <w:tcW w:w="7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2140" w:type="dxa"/>
            <w:vAlign w:val="bottom"/>
            <w:tcBorders>
              <w:top w:val="single" w:sz="8" w:color="0000EE"/>
            </w:tcBorders>
            <w:gridSpan w:val="11"/>
          </w:tcPr>
          <w:p>
            <w:pPr>
              <w:ind w:lef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26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72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400" w:type="dxa"/>
            <w:vAlign w:val="bottom"/>
            <w:gridSpan w:val="22"/>
            <w:shd w:val="clear" w:color="auto" w:fill="CCEEFF"/>
          </w:tcPr>
          <w:p>
            <w:pPr>
              <w:ind w:lef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40" w:type="dxa"/>
            <w:vAlign w:val="bottom"/>
            <w:gridSpan w:val="2"/>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20" w:type="dxa"/>
            <w:vAlign w:val="bottom"/>
            <w:gridSpan w:val="2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 from Registered Securities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320" w:type="dxa"/>
            <w:vAlign w:val="bottom"/>
            <w:gridSpan w:val="2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0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000" w:type="dxa"/>
            <w:vAlign w:val="bottom"/>
            <w:tcBorders>
              <w:top w:val="single" w:sz="8" w:color="CCEEFF"/>
            </w:tcBorders>
            <w:gridSpan w:val="9"/>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800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720" w:type="dxa"/>
            <w:vAlign w:val="bottom"/>
            <w:gridSpan w:val="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9400" w:type="dxa"/>
            <w:vAlign w:val="bottom"/>
            <w:gridSpan w:val="22"/>
          </w:tcPr>
          <w:p>
            <w:pPr>
              <w:ind w:lef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27</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293,323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1,299,301</w:t>
            </w:r>
          </w:p>
        </w:tc>
        <w:tc>
          <w:tcPr>
            <w:tcW w:w="0" w:type="dxa"/>
            <w:vAlign w:val="bottom"/>
          </w:tcPr>
          <w:p>
            <w:pPr>
              <w:spacing w:after="0"/>
              <w:rPr>
                <w:sz w:val="1"/>
                <w:szCs w:val="1"/>
                <w:color w:val="auto"/>
              </w:rPr>
            </w:pPr>
          </w:p>
        </w:tc>
      </w:tr>
      <w:tr>
        <w:trPr>
          <w:trHeight w:val="237"/>
        </w:trPr>
        <w:tc>
          <w:tcPr>
            <w:tcW w:w="86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133,778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209,784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300,078,204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300,069,135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300,505,305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301,578,220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476,646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34,298</w:t>
            </w:r>
          </w:p>
        </w:tc>
        <w:tc>
          <w:tcPr>
            <w:tcW w:w="0" w:type="dxa"/>
            <w:vAlign w:val="bottom"/>
          </w:tcPr>
          <w:p>
            <w:pPr>
              <w:spacing w:after="0"/>
              <w:rPr>
                <w:sz w:val="1"/>
                <w:szCs w:val="1"/>
                <w:color w:val="auto"/>
              </w:rPr>
            </w:pPr>
          </w:p>
        </w:tc>
      </w:tr>
      <w:tr>
        <w:trPr>
          <w:trHeight w:val="237"/>
        </w:trPr>
        <w:tc>
          <w:tcPr>
            <w:tcW w:w="8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6,812,376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1,846,704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7,289,022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35,755,000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36"/>
        </w:trPr>
        <w:tc>
          <w:tcPr>
            <w:tcW w:w="8680" w:type="dxa"/>
            <w:vAlign w:val="bottom"/>
          </w:tcPr>
          <w:p>
            <w:pPr>
              <w:ind w:left="260"/>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10,500,000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53,544,022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69,311,002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 and 22,726,721 shares subject to possible redemption at June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30, 2021 and 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300,078,204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227,267,210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$0.0001 par value; 300,000,000 shares authorized; -0- and 7,273,279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5"/>
              </w:rPr>
              <w:t>outstanding (excluding 30,000,000 and 22,726,721 shares subject to possible redemption) at June 30, 2021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ordinary shares, $0.0001 par value; 30,000,000 shares authorized; 7,500,000 shares issued and outstanding at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41,549,625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(53,117,671)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(36,551,094)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shareholders’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(53,116,921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300,505,305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301,578,220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90"/>
              </w:rPr>
              <w:t>For the three</w:t>
            </w: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For the three</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For the six</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87"/>
              </w:rPr>
              <w:t>months ended</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months ended</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months ended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3,445,137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6,430,059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 - related party</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(3,475,137)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(6,490,059)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(386,416)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7"/>
              </w:rPr>
              <w:t>(13,705,000)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21,175,000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60"/>
              <w:spacing w:after="0"/>
              <w:rPr>
                <w:sz w:val="20"/>
                <w:szCs w:val="20"/>
                <w:color w:val="auto"/>
              </w:rPr>
            </w:pPr>
            <w:r>
              <w:rPr>
                <w:rFonts w:ascii="Arial" w:cs="Arial" w:eastAsia="Arial" w:hAnsi="Arial"/>
                <w:sz w:val="18"/>
                <w:szCs w:val="18"/>
                <w:color w:val="auto"/>
              </w:rPr>
              <w:t>Net gain on investments held in Trust Account</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41,768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Offering costs allocated to derivative warrant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Interest earned</w:t>
            </w:r>
          </w:p>
        </w:tc>
        <w:tc>
          <w:tcPr>
            <w:tcW w:w="16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(17,175,554</w:t>
            </w:r>
          </w:p>
        </w:tc>
        <w:tc>
          <w:tcPr>
            <w:tcW w:w="2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14,694,066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Weighted average shares outstanding of shares subject to redemption, basic</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and diluted</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26,284,377</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27,468,417</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26,284,377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9"/>
              </w:rPr>
              <w:t>Basic and diluted net income per share, shares subject to redemption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 basic and 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7,500,000</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9,649,510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10,031,583</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8,602,438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SHAREHOLDERS’ EQUITY (DEFICIT)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14"/>
          </w:tcPr>
          <w:p>
            <w:pPr>
              <w:jc w:val="right"/>
              <w:ind w:right="661"/>
              <w:spacing w:after="0"/>
              <w:rPr>
                <w:sz w:val="20"/>
                <w:szCs w:val="20"/>
                <w:color w:val="auto"/>
              </w:rPr>
            </w:pPr>
            <w:r>
              <w:rPr>
                <w:rFonts w:ascii="Arial" w:cs="Arial" w:eastAsia="Arial" w:hAnsi="Arial"/>
                <w:sz w:val="18"/>
                <w:szCs w:val="18"/>
                <w:b w:val="1"/>
                <w:bCs w:val="1"/>
                <w:color w:val="auto"/>
                <w:w w:val="88"/>
              </w:rPr>
              <w:t>For the three and six months ended June 30, 2021</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2"/>
              </w:rPr>
              <w:t>Ordinary Shares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Class A</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Class B</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0" w:type="dxa"/>
            <w:vAlign w:val="bottom"/>
            <w:gridSpan w:val="4"/>
          </w:tcPr>
          <w:p>
            <w:pPr>
              <w:jc w:val="center"/>
              <w:ind w:right="121"/>
              <w:spacing w:after="0"/>
              <w:rPr>
                <w:sz w:val="20"/>
                <w:szCs w:val="20"/>
                <w:color w:val="auto"/>
              </w:rPr>
            </w:pPr>
            <w:r>
              <w:rPr>
                <w:rFonts w:ascii="Arial" w:cs="Arial" w:eastAsia="Arial" w:hAnsi="Arial"/>
                <w:sz w:val="18"/>
                <w:szCs w:val="18"/>
                <w:b w:val="1"/>
                <w:bCs w:val="1"/>
                <w:color w:val="auto"/>
                <w:w w:val="88"/>
              </w:rPr>
              <w:t>Accumulated</w:t>
            </w:r>
          </w:p>
        </w:tc>
        <w:tc>
          <w:tcPr>
            <w:tcW w:w="13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0"/>
              </w:rPr>
              <w:t>Shareholders'</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10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94"/>
              </w:rPr>
              <w:t>Deficit</w:t>
            </w:r>
          </w:p>
        </w:tc>
        <w:tc>
          <w:tcPr>
            <w:tcW w:w="13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4"/>
              </w:rPr>
              <w:t>Equity (Deficit)</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7,273,279</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7,500,000</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$ 41,549,625</w:t>
            </w:r>
          </w:p>
        </w:tc>
        <w:tc>
          <w:tcPr>
            <w:tcW w:w="2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1"/>
              </w:rPr>
              <w:t>$ (36,551,094)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w w:val="99"/>
              </w:rPr>
              <w:t>Measurement adjustment on redeemable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ordinary shares</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(7,273,279)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 (41,549,625)</w:t>
            </w:r>
          </w:p>
        </w:tc>
        <w:tc>
          <w:tcPr>
            <w:tcW w:w="1200" w:type="dxa"/>
            <w:vAlign w:val="bottom"/>
            <w:gridSpan w:val="4"/>
          </w:tcPr>
          <w:p>
            <w:pPr>
              <w:jc w:val="right"/>
              <w:ind w:right="81"/>
              <w:spacing w:after="0"/>
              <w:rPr>
                <w:sz w:val="20"/>
                <w:szCs w:val="20"/>
                <w:color w:val="auto"/>
              </w:rPr>
            </w:pPr>
            <w:r>
              <w:rPr>
                <w:rFonts w:ascii="Arial" w:cs="Arial" w:eastAsia="Arial" w:hAnsi="Arial"/>
                <w:sz w:val="18"/>
                <w:szCs w:val="18"/>
                <w:color w:val="auto"/>
                <w:w w:val="87"/>
              </w:rPr>
              <w:t>$ (31,256,083)</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(72,806,435)</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31,869,620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31,869,620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March 31, 2021</w:t>
            </w: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3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9"/>
              </w:rPr>
              <w:t>(35,937,557</w:t>
            </w:r>
          </w:p>
        </w:tc>
        <w:tc>
          <w:tcPr>
            <w:tcW w:w="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(35,936,807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w w:val="99"/>
              </w:rPr>
              <w:t>Measurement adjustment on redeemable</w:t>
            </w: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11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(4,560)</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81"/>
              <w:spacing w:after="0"/>
              <w:rPr>
                <w:sz w:val="20"/>
                <w:szCs w:val="20"/>
                <w:color w:val="auto"/>
              </w:rPr>
            </w:pPr>
            <w:r>
              <w:rPr>
                <w:rFonts w:ascii="Arial" w:cs="Arial" w:eastAsia="Arial" w:hAnsi="Arial"/>
                <w:sz w:val="18"/>
                <w:szCs w:val="18"/>
                <w:color w:val="auto"/>
                <w:w w:val="90"/>
              </w:rPr>
              <w:t>(17,175,554)</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(17,175,554)</w:t>
            </w:r>
          </w:p>
        </w:tc>
        <w:tc>
          <w:tcPr>
            <w:tcW w:w="0" w:type="dxa"/>
            <w:vAlign w:val="bottom"/>
          </w:tcPr>
          <w:p>
            <w:pPr>
              <w:spacing w:after="0"/>
              <w:rPr>
                <w:sz w:val="1"/>
                <w:szCs w:val="1"/>
                <w:color w:val="auto"/>
              </w:rPr>
            </w:pPr>
          </w:p>
        </w:tc>
      </w:tr>
      <w:tr>
        <w:trPr>
          <w:trHeight w:val="27"/>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160" w:type="dxa"/>
            <w:vAlign w:val="bottom"/>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3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7,500,000</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(53,117,671</w:t>
            </w:r>
          </w:p>
        </w:tc>
        <w:tc>
          <w:tcPr>
            <w:tcW w:w="2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(53,116,921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5"/>
          </w:tcPr>
          <w:p>
            <w:pPr>
              <w:jc w:val="right"/>
              <w:ind w:right="741"/>
              <w:spacing w:after="0"/>
              <w:rPr>
                <w:sz w:val="20"/>
                <w:szCs w:val="20"/>
                <w:color w:val="auto"/>
              </w:rPr>
            </w:pPr>
            <w:r>
              <w:rPr>
                <w:rFonts w:ascii="Arial" w:cs="Arial" w:eastAsia="Arial" w:hAnsi="Arial"/>
                <w:sz w:val="18"/>
                <w:szCs w:val="18"/>
                <w:b w:val="1"/>
                <w:bCs w:val="1"/>
                <w:color w:val="auto"/>
                <w:w w:val="89"/>
              </w:rPr>
              <w:t>For the three and six months ended June 30, 2020</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w w:val="97"/>
              </w:rPr>
              <w:t>Ordinary Shares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Class A</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Class B</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200" w:type="dxa"/>
            <w:vAlign w:val="bottom"/>
            <w:gridSpan w:val="4"/>
          </w:tcPr>
          <w:p>
            <w:pPr>
              <w:jc w:val="center"/>
              <w:ind w:right="121"/>
              <w:spacing w:after="0"/>
              <w:rPr>
                <w:sz w:val="20"/>
                <w:szCs w:val="20"/>
                <w:color w:val="auto"/>
              </w:rPr>
            </w:pPr>
            <w:r>
              <w:rPr>
                <w:rFonts w:ascii="Arial" w:cs="Arial" w:eastAsia="Arial" w:hAnsi="Arial"/>
                <w:sz w:val="18"/>
                <w:szCs w:val="18"/>
                <w:b w:val="1"/>
                <w:bCs w:val="1"/>
                <w:color w:val="auto"/>
                <w:w w:val="88"/>
              </w:rPr>
              <w:t>Accumulated</w:t>
            </w:r>
          </w:p>
        </w:tc>
        <w:tc>
          <w:tcPr>
            <w:tcW w:w="13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0"/>
              </w:rPr>
              <w:t>Shareholders'</w:t>
            </w: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Shares</w:t>
            </w: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10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94"/>
              </w:rPr>
              <w:t>Deficit</w:t>
            </w:r>
          </w:p>
        </w:tc>
        <w:tc>
          <w:tcPr>
            <w:tcW w:w="130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4"/>
              </w:rPr>
              <w:t>Equity (Deficit)</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31,2019</w:t>
            </w:r>
          </w:p>
        </w:tc>
        <w:tc>
          <w:tcPr>
            <w:tcW w:w="10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8,625,000</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w:t>
            </w:r>
          </w:p>
        </w:tc>
        <w:tc>
          <w:tcPr>
            <w:tcW w:w="2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(58,999</w:t>
            </w: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(58,999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0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8,625,000</w:t>
            </w: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w:t>
            </w:r>
          </w:p>
        </w:tc>
        <w:tc>
          <w:tcPr>
            <w:tcW w:w="24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(68,038)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w w:val="97"/>
              </w:rPr>
              <w:t>Sale of units in initial public offering, gross</w:t>
            </w: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285,297,000</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(16,506,689)</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(16,506,689)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Forfeiture of Class B ordinary shares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(1,125,000)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(26,375,699)</w:t>
            </w: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(2,638)</w:t>
            </w:r>
          </w:p>
        </w:tc>
        <w:tc>
          <w:tcPr>
            <w:tcW w:w="14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right w:val="single" w:sz="8" w:color="CCEEFF"/>
            </w:tcBorders>
            <w:gridSpan w:val="2"/>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tcBorders>
              <w:right w:val="single" w:sz="8" w:color="CCEEFF"/>
            </w:tcBorders>
            <w:vMerge w:val="continue"/>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(263,754,351)</w:t>
            </w: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(263,756,989)</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121"/>
              <w:spacing w:after="0"/>
              <w:rPr>
                <w:sz w:val="20"/>
                <w:szCs w:val="20"/>
                <w:color w:val="auto"/>
              </w:rPr>
            </w:pPr>
            <w:r>
              <w:rPr>
                <w:rFonts w:ascii="Arial" w:cs="Arial" w:eastAsia="Arial" w:hAnsi="Arial"/>
                <w:sz w:val="18"/>
                <w:szCs w:val="18"/>
                <w:color w:val="auto"/>
              </w:rPr>
              <w:t>6,723</w:t>
            </w:r>
          </w:p>
        </w:tc>
        <w:tc>
          <w:tcPr>
            <w:tcW w:w="16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7"/>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040" w:type="dxa"/>
            <w:vAlign w:val="bottom"/>
            <w:tcBorders>
              <w:right w:val="single" w:sz="8" w:color="CCEEFF"/>
            </w:tcBorders>
            <w:gridSpan w:val="2"/>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20" w:type="dxa"/>
            <w:vAlign w:val="bottom"/>
            <w:tcBorders>
              <w:right w:val="single" w:sz="8" w:color="CCEEFF"/>
            </w:tcBorders>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vMerge w:val="continue"/>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3,624,301</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1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7,500,000</w:t>
            </w: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5,060,210</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(61,315</w:t>
            </w:r>
          </w:p>
        </w:tc>
        <w:tc>
          <w:tcPr>
            <w:tcW w:w="2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5,000,007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For the six</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months 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14,694,066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(21,175,000)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(1,170,000)</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Offering costs allocated to derivative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877,647</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 expenses paid by related party under note agreement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70,123</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Net gain on investments held in Trust Account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(41,768)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76,006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(79,318)</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442,348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(94,294)</w:t>
            </w:r>
          </w:p>
        </w:tc>
      </w:tr>
      <w:tr>
        <w:trPr>
          <w:trHeight w:val="237"/>
        </w:trPr>
        <w:tc>
          <w:tcPr>
            <w:tcW w:w="8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4,965,672</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17,000</w:t>
            </w:r>
          </w:p>
        </w:tc>
      </w:tr>
      <w:tr>
        <w:trPr>
          <w:trHeight w:val="223"/>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Cash deposited in Trust Account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2"/>
              </w:rPr>
              <w:t>(300,000,000)</w:t>
            </w:r>
          </w:p>
        </w:tc>
      </w:tr>
      <w:tr>
        <w:trPr>
          <w:trHeight w:val="223"/>
        </w:trPr>
        <w:tc>
          <w:tcPr>
            <w:tcW w:w="86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300,000,000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9,500,000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Offering costs paid</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(6,702,088)</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 from related party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(162,979)</w:t>
            </w:r>
          </w:p>
        </w:tc>
      </w:tr>
      <w:tr>
        <w:trPr>
          <w:trHeight w:val="210"/>
        </w:trPr>
        <w:tc>
          <w:tcPr>
            <w:tcW w:w="8680" w:type="dxa"/>
            <w:vAlign w:val="bottom"/>
            <w:tcBorders>
              <w:top w:val="single" w:sz="8" w:color="CCEEFF"/>
              <w:bottom w:val="single" w:sz="8" w:color="CCEEFF"/>
            </w:tcBorders>
          </w:tcPr>
          <w:p>
            <w:pPr>
              <w:ind w:left="20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302,634,933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(1,005,978)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2,162,047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1,299,301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304"/>
        </w:trPr>
        <w:tc>
          <w:tcPr>
            <w:tcW w:w="868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293,323</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2,162,047</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Offering costs included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244,444</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Offering costs included in 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85,000</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Offering costs included in note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92,856</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Use of retainer for offering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(3,271)</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underwriting commissions in connection with the initial public offering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10,500,000</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Forfeiture of Class B ordinary shares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113</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Initial value of Class A ordinary shares subject to possible 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262,826,540</w:t>
            </w:r>
          </w:p>
        </w:tc>
      </w:tr>
      <w:tr>
        <w:trPr>
          <w:trHeight w:val="230"/>
        </w:trPr>
        <w:tc>
          <w:tcPr>
            <w:tcW w:w="8680" w:type="dxa"/>
            <w:vAlign w:val="bottom"/>
          </w:tcPr>
          <w:p>
            <w:pPr>
              <w:ind w:left="260"/>
              <w:spacing w:after="0"/>
              <w:rPr>
                <w:sz w:val="20"/>
                <w:szCs w:val="20"/>
                <w:color w:val="auto"/>
              </w:rPr>
            </w:pPr>
            <w:r>
              <w:rPr>
                <w:rFonts w:ascii="Arial" w:cs="Arial" w:eastAsia="Arial" w:hAnsi="Arial"/>
                <w:sz w:val="18"/>
                <w:szCs w:val="18"/>
                <w:color w:val="auto"/>
              </w:rPr>
              <w:t>Measurement adjustment on redeemable ordinary shares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72,810,995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930,449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57"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As of June 30, 2021, the Company had not commenced any operations. All activity for the period from December 18, 2019 (inception) through June 30, 2021 relates to the Company’s formation, the initial public offering (the “Initial Public Offering”),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On March 4, 2021, the Company entered into a Business Combination Agreement (the “Business Combination Agreement”), by and among the Company, 1291924 B.C. Unlimited Liability Company, an unlimited liability company existing under the laws of British Columbia, Canada (“NewCo Sub”), and DeepGreen Metals Inc., a company existing under the laws of British Columbia, Canada (“DeepGreen”).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Business Combination Agreement, the Company will migrate to and be continued as a company in British Columbia, Canada (the “SOAC Continuance”). Following the SOAC Continuance, pursuant to a plan of arrangement (the “Plan of Arrangement”) under the Business Corporations Act (British Columbia), (i) the Company will acquire all of the issued and outstanding shares in the capital of DeepGreen (the “DeepGreen Shares”) from DeepGreen shareholders in exchange for the Company’s ordinary shares (as defined below) and Company Earnout Shares (as defined below)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7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Each option to purchase ordinary shares in the capital of the Company (the “DeepGreen Options”) will become an option to purchase SOAC ordinary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16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Proposed Business Combination is expected to close in the third quarter of 2021, following the receipt of the required approval by the Company’s shareholders and the fulfillment of other conditions.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shareholders and the optionholders of DeepGreen will be entitled to receive, in exchange for their DeepGreen Shares or DeepGreen Options, as applicable, an aggregate of (i) a number of shares in the capital of the Company or comparable equity awards that are settled or are exercisable for shares in the capital of the Company, as applicable, based on an implied DeepGreen equity value of $2.25 billion after giving effect to the SOAC Continuance (the “SOAC Ordinary shares”), (ii) 5,000,000 Class A Special Shares, (iii) 10,000,000 Class B Special Shares, (iv) 10,000,000 Class C Special Shares, (v) 20,000,000 Class D Special Shares, (vi) 20,000,000 Class E Special Shares, (vii) 20,000,000 Class F Special Shares, (viii) 25,000,000 Class G Special Shares and (ix) 25,000,000 Class H Special Shares, in each case, in the capital of the Company (collectively, the “Company Earnout Shares”), or, as applicable, options to purchase such SOAC Ordinary shares and Company Earnout Shares.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Account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9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2021, the Company had approximately $293 thousand in cash and a working capital deficit of approximately $6.8 million.</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(“U.S. GAAP”) for interim financial information and pursuant to the rules and regulations of the SEC. Accordingly, they do not include all of the information and footnotes required by GAAP. In the opinion of management, the unaudited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for the year ending December 31, 2021 or for any future interim periods.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accompanying unaudited consolidated financial statements should be read in conjunction the financial statements and notes thereto included in with the Company’s Annual Report as amended on Form 10-K/A for the year ended December 31, 2020 as filed with the SEC on May 24,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Further, 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may make comparison of the Company’s financial statements with other public companies difficult or impossible because of the potential differences in accounting standards used.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16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June 30,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w:t>
      </w:r>
    </w:p>
    <w:p>
      <w:pPr>
        <w:spacing w:after="0" w:line="46" w:lineRule="exact"/>
        <w:rPr>
          <w:sz w:val="20"/>
          <w:szCs w:val="20"/>
          <w:color w:val="auto"/>
        </w:rPr>
      </w:pPr>
    </w:p>
    <w:p>
      <w:pPr>
        <w:ind w:firstLine="8"/>
        <w:spacing w:after="0" w:line="269" w:lineRule="auto"/>
        <w:tabs>
          <w:tab w:leader="none" w:pos="345"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225"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rFonts w:ascii="Arial" w:cs="Arial" w:eastAsia="Arial" w:hAnsi="Arial"/>
          <w:sz w:val="17"/>
          <w:szCs w:val="17"/>
          <w:color w:val="auto"/>
        </w:rPr>
      </w:pPr>
    </w:p>
    <w:p>
      <w:pPr>
        <w:ind w:left="980" w:right="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2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June 30, 2021 and December 31, 2020, the carrying values of cash, prepaid expenses, and accounts payable approximate their fair values due to the short-term nature of the instruments. As of June 30, 2021, the Company’s portfolio of investments held in Trust Account is comprised entirely of investments in money market funds that invest in U.S. government securities.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has been estimated using the Public Warrants’ quoted market price. The Private Placement Warrants are valued using a Modified Black Scholes Option Pricing Model.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June 30, 2021, 30,000,000 Class A ordinary shares subject to possible redemption were presented at redemption value as temporary equity, outside of the shareholders’ equity section of the Company’s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applies the two-class method in calculating earnings per share. Net income (loss) per share is computed by dividing net income (loss) by the weighted-average number of ordinary shares outstanding during the periods. An aggregate of 30,000,000 and 22,726,721 Class A ordinary shares subject to possible redemption at June 30, 2021 and December 31, 2020, respectively have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inclusion of such warrants would be anti-dilutive. As a result, diluted net income (loss) per ordinary share is the same as basic net income (loss) per ordinary share for the periods presented.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per Ordinary Share</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Company’s net income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23" w:lineRule="exact"/>
        <w:rPr>
          <w:sz w:val="20"/>
          <w:szCs w:val="20"/>
          <w:color w:val="auto"/>
        </w:rPr>
      </w:pPr>
    </w:p>
    <w:p>
      <w:pPr>
        <w:ind w:left="180" w:right="600" w:hanging="161"/>
        <w:spacing w:after="0" w:line="250" w:lineRule="auto"/>
        <w:rPr>
          <w:sz w:val="20"/>
          <w:szCs w:val="20"/>
          <w:color w:val="auto"/>
        </w:rPr>
      </w:pPr>
      <w:r>
        <w:rPr>
          <w:rFonts w:ascii="Arial" w:cs="Arial" w:eastAsia="Arial" w:hAnsi="Arial"/>
          <w:sz w:val="18"/>
          <w:szCs w:val="18"/>
          <w:color w:val="auto"/>
        </w:rPr>
        <w:t>Numerator: Earnings allocable to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Income from investments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Company's portion available to be withdrawn to pay taxes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 attributable to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180" w:right="120" w:hanging="161"/>
        <w:spacing w:after="0" w:line="258" w:lineRule="auto"/>
        <w:rPr>
          <w:sz w:val="20"/>
          <w:szCs w:val="20"/>
          <w:color w:val="auto"/>
        </w:rPr>
      </w:pPr>
      <w:r>
        <w:rPr>
          <w:rFonts w:ascii="Arial" w:cs="Arial" w:eastAsia="Arial" w:hAnsi="Arial"/>
          <w:sz w:val="18"/>
          <w:szCs w:val="18"/>
          <w:color w:val="auto"/>
        </w:rPr>
        <w:t>Denominator: Weighted average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180" w:right="1280" w:hanging="161"/>
        <w:spacing w:after="0" w:line="260" w:lineRule="auto"/>
        <w:rPr>
          <w:sz w:val="20"/>
          <w:szCs w:val="20"/>
          <w:color w:val="auto"/>
        </w:rPr>
      </w:pPr>
      <w:r>
        <w:rPr>
          <w:rFonts w:ascii="Arial" w:cs="Arial" w:eastAsia="Arial" w:hAnsi="Arial"/>
          <w:sz w:val="18"/>
          <w:szCs w:val="18"/>
          <w:color w:val="auto"/>
        </w:rPr>
        <w:t>Weighted average shares outstanding subject to redemption, basic and diluted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shares subject to redemption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For the three</w:t>
            </w: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For the three</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 the six</w:t>
            </w:r>
          </w:p>
        </w:tc>
      </w:tr>
      <w:tr>
        <w:trPr>
          <w:trHeight w:val="216"/>
        </w:trPr>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months</w:t>
            </w: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months</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months</w:t>
            </w:r>
          </w:p>
        </w:tc>
      </w:tr>
      <w:tr>
        <w:trPr>
          <w:trHeight w:val="216"/>
        </w:trPr>
        <w:tc>
          <w:tcPr>
            <w:tcW w:w="16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ended</w:t>
            </w:r>
          </w:p>
        </w:tc>
        <w:tc>
          <w:tcPr>
            <w:tcW w:w="16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r>
      <w:tr>
        <w:trPr>
          <w:trHeight w:val="863"/>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4,560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36,722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36,722</w:t>
            </w:r>
          </w:p>
        </w:tc>
      </w:tr>
      <w:tr>
        <w:trPr>
          <w:trHeight w:val="230"/>
        </w:trPr>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4,560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36,722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36,722</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871"/>
        </w:trPr>
        <w:tc>
          <w:tcPr>
            <w:tcW w:w="16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30,000,000</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26,284,337</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27,468,417</w:t>
            </w: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26,284,337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23"/>
        </w:trPr>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600" w:space="380"/>
            <w:col w:w="52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Numerator: Net Income (Loss) minus Net Earnings attributable to redeemable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(17,175,554)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6,723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14,694,066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(52,276)</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Income attributable to Class A ordinary shares subject to possible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(4,560)</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(36,722)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Non-redeemable net income (loss)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(17,180,114</w:t>
            </w:r>
          </w:p>
        </w:tc>
        <w:tc>
          <w:tcPr>
            <w:tcW w:w="26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(29,998</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14,684,996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(88,997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Weighted average ordinary shares outstanding, basic and diluted</w:t>
            </w:r>
          </w:p>
        </w:tc>
        <w:tc>
          <w:tcPr>
            <w:tcW w:w="180" w:type="dxa"/>
            <w:vAlign w:val="bottom"/>
          </w:tcPr>
          <w:p>
            <w:pPr>
              <w:spacing w:after="0"/>
              <w:rPr>
                <w:sz w:val="24"/>
                <w:szCs w:val="24"/>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7,500,000</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9,649,510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10,031,583</w:t>
            </w:r>
          </w:p>
        </w:tc>
        <w:tc>
          <w:tcPr>
            <w:tcW w:w="2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8,602,438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income (loss) per share, Non-redeemable shares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2021 and December 31,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6"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8, 2020, the Company consummated its Initial Public Offering of 30,000,000 Units at $10.00 per Unit, generating gross proceeds of $300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$0.0001 for an aggregate price of $25,000. In March 2020, the Sponsor transferred 30,000 Founder Shares to each of the Company’s independent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Founder Shares will automatically convert into Class A ordinary shares at the time of the Company’s initial Business Combination and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transfer restrictions, as described in Note 6. The Sponsor had agreed to forfeit up to 1,125,000 Founder Shares to the extent that the over-allotment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was not exercised in full by the underwriter so that the Founder Shares will represent 20.0% of the Company’s issued and outstanding shares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The over-allotment option expired in June 2020; thus, these Founder Shares were forfeited accordingly.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18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June 30, 2021, the Company had no borrowings under the Working Capital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$60,000 for the three and six months ended June 30, 2021, respectively, and $20,000 for the three and six months ended June 30, 2020 respectively, in expenses in connection with such services and recorded in general and administrative expenses in the condensed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84"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receiving consulting services in connection with identification of potential targets for a Business Combination and due diligence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such targets. As compensation for such services, the Company paid a nonrefundable fixed fee of $350,000 and agreed to pay the consulting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$2,650,000 solely in the event that the Company completes a Business Combination. The consulting agreement may be terminated early by either party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agreement provided that the Company pays a termination fee to the consulting firm determined based on a monthly increasing amount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2021. The Company recognized $418,400 and $836,800 in general and administrative expenses within the condensed statements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2021, respectively. The Company recognized $0 for the same fee in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 The termination fee accrued was $1,952,600 and $1,115,800 as of June 30, 2021 and December 31,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is authorized to issue 1,000,000 preference shares with such designations, voting and other rights and preferences as may be determined from time to time by the Company’s board of directors. As of June 30, 2021 and December 31, 2020, there were no preference shares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300,000,000 Class A ordinary shares with a par value of $0.0001 per share.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June 30, 2021 and December 31, 2020, there were 30,000,000 Class A ordinary shares outstanding, including 30,000,000 and 22,726,721 Class A ordinary shares subject to possible redemption classified as temporary equity in the accompanying balance sheets, respectively.</w:t>
      </w:r>
    </w:p>
    <w:p>
      <w:pPr>
        <w:spacing w:after="0" w:line="149"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30,000,000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ordinary shares are entitled to one vote for each share. As of June 30, 2021 and December 31, 2020, there were 7,500,000 Class B ordinary shares outstanding.</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21,600,000</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Private Placement Warrants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14,155,000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14,155,000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warrant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14,155,000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35,755,000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r>
      <w:tr>
        <w:trPr>
          <w:trHeight w:val="216"/>
        </w:trPr>
        <w:tc>
          <w:tcPr>
            <w:tcW w:w="5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48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w w:val="91"/>
              </w:rPr>
              <w:t>Implied stock price range (or underlying asset price at December 31, 2020)</w:t>
            </w:r>
          </w:p>
        </w:tc>
        <w:tc>
          <w:tcPr>
            <w:tcW w:w="3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Term</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Dividend yield</w:t>
            </w: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641"/>
        </w:trPr>
        <w:tc>
          <w:tcPr>
            <w:tcW w:w="5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ind w:left="3300"/>
              <w:spacing w:after="0"/>
              <w:rPr>
                <w:sz w:val="20"/>
                <w:szCs w:val="20"/>
                <w:color w:val="auto"/>
              </w:rPr>
            </w:pPr>
            <w:r>
              <w:rPr>
                <w:rFonts w:ascii="Arial" w:cs="Arial" w:eastAsia="Arial" w:hAnsi="Arial"/>
                <w:sz w:val="18"/>
                <w:szCs w:val="18"/>
                <w:b w:val="1"/>
                <w:bCs w:val="1"/>
                <w:color w:val="auto"/>
              </w:rPr>
              <w:t>SUSTAINABLE OPPORTUNITIES ACQUISITION CORP.</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Private</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Placement</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Warrants</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(9,025,000)</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Note 8 — Warrant Liability</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w:t>
      </w:r>
    </w:p>
    <w:p>
      <w:pPr>
        <w:spacing w:after="0" w:line="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Class A ordinary shares issuable upon exercise of the warrants is not effective by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ind w:left="980" w:right="420" w:hanging="324"/>
        <w:spacing w:after="0" w:line="31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unaudited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spacing w:after="0" w:line="17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We granted the underwriter a 45-day option to purchase up to an additional 4,500,000 Units at the Initial Public Offering price to cover over-allotments, if any. To date, the over-allotment option has not yet been exercised.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1" w:name="page22"/>
    <w:bookmarkEnd w:id="21"/>
    <w:p>
      <w:pPr>
        <w:ind w:right="22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spacing w:after="0" w:line="19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On March 4, 2021, the Company entered into a Business Combination Agreement (the “Business Combination Agreement”) with NewCo Sub and DeepGreen. Pursuant to the Business Combination Agreement, the Company will migrate to and be continued as a company in British Columbia, Canada (the “SOAC Continuance”). Following the SOAC Continuance, pursuant to a plan of arrangement (the “Plan of Arrangement”) under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Corporations Act </w:t>
      </w:r>
      <w:r>
        <w:rPr>
          <w:rFonts w:ascii="Arial" w:cs="Arial" w:eastAsia="Arial" w:hAnsi="Arial"/>
          <w:sz w:val="17"/>
          <w:szCs w:val="17"/>
          <w:color w:val="auto"/>
        </w:rPr>
        <w:t>(British Columbia), (i) the Company will acquire all of the issued and outstanding shares in the capital of DeepGreen (the “DeepGreen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DeepGreen shareholders in exchange for the Company’s ordinary shares and Company Earnout Shares (as defined in the Business Combination Agreement)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See the Company’s Current Report on Form 8-K, filed with the SEC on March 4, 2021, for further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Our entire activity from December 18, 2019 (inception) through May 8,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three and six months ended June 30, 2021, we had net (loss) income of ($17,175,554) and $14,694,066, respectively, which consisted primarily of ($13,705,000) and $21,175,000 for the three and six month periods respectively, related to the change in the fair value of the Company’s Warrants. The Company also incurred $3,475,137 and $6,490,059 of general and administrative expenses for the three and six month periods ending June 30, 2021.</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For the three and six months ended June 30, 2020, we had net income (loss) of approximately $7,000 and ($52,000), for both the three and six month periods this consists primarily of $880,000 of offering costs allocated to derivative warrant liabilities and partially offset by a gain of $1,170,000 related to the change in the fair value of the Company’s Warrants. The Company also had $327,417 and $386,416 of general and administrative expenses for the three and six month periods ending June 30,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had cash of $293,323 and working capital deficit of $6,861,921.</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Subsequent to the consummation of the Initial Public Offering and the Private Placement Warrants, our liquidity has been satisfied through the proceeds from the consummation of the Private Placement not held in the Trust Account of approximately $3.1 million.</w:t>
      </w:r>
    </w:p>
    <w:p>
      <w:pPr>
        <w:spacing w:after="0" w:line="14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Until the consummation of a Business Combination, we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We will need to raise additional capital through loans or additional investments from our Sponsor, shareholders, officers, directors, or third parties. Our officers, directors and Sponsor may, but are not obligated to, loan us funds, from time to time or at any time, in whatever amount they deem reasonable in their sole discretion, to meet our working capital needs through Working Capital loans. As of June 30, 2021, there were no amounts outstanding under any Working Capital Loans.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it on commercially acceptable terms, if at all. These conditions raise substantial doubt about our ability to continue as a going concern. These financial statements do not include any adjustments relating to the recovery of the recorded assets or the classification of the liabilities that might be necessary should we be unable to continue as a going concern.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right="140" w:firstLine="648"/>
        <w:spacing w:after="0" w:line="308" w:lineRule="auto"/>
        <w:rPr>
          <w:sz w:val="20"/>
          <w:szCs w:val="20"/>
          <w:color w:val="auto"/>
        </w:rPr>
      </w:pPr>
      <w:r>
        <w:rPr>
          <w:rFonts w:ascii="Arial" w:cs="Arial" w:eastAsia="Arial" w:hAnsi="Arial"/>
          <w:sz w:val="17"/>
          <w:szCs w:val="17"/>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we complete a Business Combination, subject to the terms of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entered into an agreement, commencing on May 8, 2020 through the earlier of our consummation of a Business Combination and our liquidation, to reimburse our Sponsor a total of $10,000 per month for office space, secretarial and administrative services. We incurred and paid $60,000 and $20,000 in expenses in connection with such services and recorded in general and administrative expenses in the condensed statements of operations for the six months ended June 30, 2021 and June 30,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receiving consulting services in connection with identification of potential targets for a Business Combination and due diligence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such targets. As compensation for such services, the Company paid a nonrefundable fixed fee of $350,000 and agreed to pay the consulting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$2,650,000 solely in the event that the Company completes a Business Combination. The consulting agreement may be terminated early by either party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agreement provided that the Company pays a termination fee to the consulting firm determined based on a monthly increasing amount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2021. the Company recognized $836,800 and $0 in general and administrative expenses within the statements of operations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2021 and June 30, 2020, respectively. The termination fee accrued was $1,952,600 and $1,115,800 as of June 30, 2021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Refer the Company’s 10-K/A filed May 24, 2021 for critical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2021, we were not subject to any market or interest rate risk. Following the consummation of our Initial Public Offering, the net proceeds of our Initial Public Offering, including amounts in the Trust Account, were invested in U.S. government treasury bills, notes or bonds or in certain money market funds that invest solely in direct U.S. government treasury obligations. Due to the short-term nature of these investments, we believe there will be no associated material exposure to interest rate risk.</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the restatement of our financial statements described below, our management re-evaluated, with the participation of our current chief executive officer and chief financial officer (our “Certifying Officers”), the effectiveness of our disclosure controls and procedures as of June 30, 2021, pursuant to Rule 13a-15(b) under the Exchange Act. Based upon that evaluation, our Certifying Officers concluded that, solely due to the Company’s restatement of its financial statements to reclassify the Company’s Public Warrants and Private Placement Warrants as described in our Annual Report on Form 10-K/A for the year ended December 31, 2020 filed with the SEC on May 24, 2021, our disclosure controls and procedures were not effective as of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June 30, 2021.</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5" w:name="page26"/>
    <w:bookmarkEnd w:id="25"/>
    <w:p>
      <w:pPr>
        <w:ind w:firstLine="648"/>
        <w:spacing w:after="0" w:line="254" w:lineRule="auto"/>
        <w:rPr>
          <w:sz w:val="20"/>
          <w:szCs w:val="20"/>
          <w:color w:val="auto"/>
        </w:rPr>
      </w:pPr>
      <w:r>
        <w:rPr>
          <w:rFonts w:ascii="Arial" w:cs="Arial" w:eastAsia="Arial" w:hAnsi="Arial"/>
          <w:sz w:val="18"/>
          <w:szCs w:val="18"/>
          <w:color w:val="auto"/>
        </w:rPr>
        <w:t>In connection with the restatement of our financial statements on Form 10-K/A for the year ended December 31, 2020 filed with the SEC on May 24, 2021, our management, including our principal executive and financial officers, have evaluated the effectiveness of our internal control over financial reporting and concluded that we did not maintain effective internal control over financial reporting as of June 30, 2021 because of a material weakness in our internal control over financial reporting described below related to the accounting for a significant and unusual transaction related to the warrants we issued in connection with our Initial Public Offering. Notwithstanding the material weakness described below, our management has concluded that the financial statements included in this Annual Report are fairly stated in all material respects in accordance with U.S. GAAP for each of the periods presented herein.</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restatement of previously issued financial statements described below, management identified a material weakness in our internal control over financial reporting related to the accounting for a significant and unusual transaction related to the warrants we issued in connection with the Initial Public Offering. This material weakness resulted in a material misstatement of our warrant liability, change in fair value of warrant liability, additional paid-in capital and accumulated deficit as of and for the period from December 18, 2019 (inception) through December 31, 2019 and for the year ended December 31, 2020.</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During the most recently completed fiscal quarter, there has been no change in our internal control over financial reporting that has materially affected, or is reasonably likely to materially affect, our internal control over financial reporting, with the exception of the below.</w:t>
      </w:r>
    </w:p>
    <w:p>
      <w:pPr>
        <w:spacing w:after="0" w:line="14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commenced our remediation efforts in connection with the identification of the material weakness discussed above and have taken the following steps during the quarter ended June 30, 2021:</w:t>
      </w:r>
    </w:p>
    <w:p>
      <w:pPr>
        <w:spacing w:after="0" w:line="17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expanded and improved our review process for complex securities and related accounting standards.</w:t>
      </w:r>
    </w:p>
    <w:p>
      <w:pPr>
        <w:spacing w:after="0" w:line="225" w:lineRule="exact"/>
        <w:rPr>
          <w:rFonts w:ascii="Arial" w:cs="Arial" w:eastAsia="Arial" w:hAnsi="Arial"/>
          <w:sz w:val="18"/>
          <w:szCs w:val="18"/>
          <w:color w:val="auto"/>
        </w:rPr>
      </w:pPr>
    </w:p>
    <w:p>
      <w:pPr>
        <w:ind w:left="900" w:right="180" w:hanging="325"/>
        <w:spacing w:after="0" w:line="277" w:lineRule="auto"/>
        <w:tabs>
          <w:tab w:leader="none" w:pos="90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engaged additional third-party professionals with additional expertise in complex accounting applications to support preparations of our financial reporting.</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also retained the services of a valuation expert to assist in valuation analysis of the Warrants on a quarterly basis.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While we took considerable action to remediate the material weakness, such remediation has not been fully evidenced. Additionally, there can be no assurance that our material weakness will be remediated during the third quarter of 2021.</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performed additional analysis and procedures with respect to accounts impacted by the material weakness in order to conclude that its unaudited financial statements in this Form 10-Q as of and for the six months ended June 30, 2021, are fairly presented, in all material respects, in accordance with GAAP.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As of the date of this Quarterly Report on Form 10-Q, there have been no material changes to the risk factors disclosed in our Annual Report, as amended, on Form 10-K/A for the year ended December 31, 2020 filed with the SEC on May 24, 2021, except for the below risk factor. We may disclose changes to such factors or disclose additional factors from time to time in our future filings with the SEC.</w:t>
      </w:r>
    </w:p>
    <w:p>
      <w:pPr>
        <w:spacing w:after="0" w:line="16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31.1*</w:t>
            </w:r>
          </w:p>
        </w:tc>
        <w:tc>
          <w:tcPr>
            <w:tcW w:w="100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Chief Executive Officer Pursuant to Rules 13a-14(a) and 15d-14(a) under the Securities Exchange Act of 1934, as Adopted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Pursuant to Section 302 of the Sarbanes-Oxley Act of 2002.</w:t>
              </w:r>
            </w:hyperlink>
          </w:p>
        </w:tc>
        <w:tc>
          <w:tcPr>
            <w:tcW w:w="578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gridSpan w:val="7"/>
          </w:tcPr>
          <w:p>
            <w:pPr>
              <w:spacing w:after="0" w:line="17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Chief Financial Officer Pursuant to Rules 13a-14(a) and 15d-14(a) under the Securities Exchange Act of 1934, as Adopted</w:t>
              </w:r>
            </w:hyperlink>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Pursuant to Section 302 of the Sarbanes-Oxley Act of 2002.</w:t>
              </w:r>
            </w:hyperlink>
          </w:p>
        </w:tc>
        <w:tc>
          <w:tcPr>
            <w:tcW w:w="12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0100" w:type="dxa"/>
            <w:vAlign w:val="bottom"/>
            <w:gridSpan w:val="7"/>
          </w:tcPr>
          <w:p>
            <w:pPr>
              <w:spacing w:after="0" w:line="17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r>
      <w:tr>
        <w:trPr>
          <w:trHeight w:val="196"/>
        </w:trPr>
        <w:tc>
          <w:tcPr>
            <w:tcW w:w="1140" w:type="dxa"/>
            <w:vAlign w:val="bottom"/>
          </w:tcPr>
          <w:p>
            <w:pPr>
              <w:spacing w:after="0"/>
              <w:rPr>
                <w:sz w:val="17"/>
                <w:szCs w:val="17"/>
                <w:color w:val="auto"/>
              </w:rPr>
            </w:pPr>
          </w:p>
        </w:tc>
        <w:tc>
          <w:tcPr>
            <w:tcW w:w="10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of 2002.</w:t>
              </w:r>
            </w:hyperlink>
          </w:p>
        </w:tc>
        <w:tc>
          <w:tcPr>
            <w:tcW w:w="100" w:type="dxa"/>
            <w:vAlign w:val="bottom"/>
            <w:gridSpan w:val="2"/>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340" w:right="16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3" w:lineRule="exact"/>
        <w:rPr>
          <w:sz w:val="20"/>
          <w:szCs w:val="20"/>
          <w:color w:val="auto"/>
        </w:rPr>
      </w:pPr>
    </w:p>
    <w:p>
      <w:pPr>
        <w:ind w:left="5540" w:right="2840" w:hanging="5532"/>
        <w:spacing w:after="0" w:line="761" w:lineRule="auto"/>
        <w:tabs>
          <w:tab w:leader="none" w:pos="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 on March 4, 2021.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1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Scott Leonard,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Sustainable Opportunities Acquisition Corp.;</w:t>
      </w:r>
    </w:p>
    <w:p>
      <w:pPr>
        <w:spacing w:after="0" w:line="23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Leonard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1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Quiram,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Sustainable Opportunities Acquisition Corp.;</w:t>
      </w:r>
    </w:p>
    <w:p>
      <w:pPr>
        <w:spacing w:after="0" w:line="23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Quiram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June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Scott Leonard,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16,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June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David Quiram, Chief Financial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16,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David Quiram</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6"/>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2021-08-16T14:55:38Z</dcterms:created>
  <dcterms:modified xsi:type="dcterms:W3CDTF">2021-08-16T14:55:38Z</dcterms:modified>
</cp:coreProperties>
</file>