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25,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Cayman Islands</w:t>
            </w:r>
          </w:p>
        </w:tc>
        <w:tc>
          <w:tcPr>
            <w:tcW w:w="28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9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1601 Bryan Street, Suite 4141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Dallas, Texas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498"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As previously disclosed, on March 4, 2021, Sustainable Opportunities Acquisition Corp.,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SOAC</w:t>
      </w:r>
      <w:r>
        <w:rPr>
          <w:rFonts w:ascii="Arial" w:cs="Arial" w:eastAsia="Arial" w:hAnsi="Arial"/>
          <w:sz w:val="16"/>
          <w:szCs w:val="16"/>
          <w:color w:val="auto"/>
        </w:rPr>
        <w:t>”), entered into a Business Combination Agreement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SOAC, 1291924 B.C. Unlimited Liability Company, an unlimited liability company existing under the laws of British Columbia, Canada (“</w:t>
      </w:r>
      <w:r>
        <w:rPr>
          <w:rFonts w:ascii="Arial" w:cs="Arial" w:eastAsia="Arial" w:hAnsi="Arial"/>
          <w:sz w:val="16"/>
          <w:szCs w:val="16"/>
          <w:u w:val="single" w:color="auto"/>
          <w:color w:val="auto"/>
        </w:rPr>
        <w:t>NewCo Sub</w:t>
      </w:r>
      <w:r>
        <w:rPr>
          <w:rFonts w:ascii="Arial" w:cs="Arial" w:eastAsia="Arial" w:hAnsi="Arial"/>
          <w:sz w:val="16"/>
          <w:szCs w:val="16"/>
          <w:color w:val="auto"/>
        </w:rPr>
        <w:t>”), and DeepGreen Metals Inc., a company existing under the laws of British Columbia, Canada (“</w:t>
      </w:r>
      <w:r>
        <w:rPr>
          <w:rFonts w:ascii="Arial" w:cs="Arial" w:eastAsia="Arial" w:hAnsi="Arial"/>
          <w:sz w:val="16"/>
          <w:szCs w:val="16"/>
          <w:u w:val="single" w:color="auto"/>
          <w:color w:val="auto"/>
        </w:rPr>
        <w:t>DeepGreen</w:t>
      </w:r>
      <w:r>
        <w:rPr>
          <w:rFonts w:ascii="Arial" w:cs="Arial" w:eastAsia="Arial" w:hAnsi="Arial"/>
          <w:sz w:val="16"/>
          <w:szCs w:val="16"/>
          <w:color w:val="auto"/>
        </w:rPr>
        <w:t>”), pursuant to which, subject to the terms and conditions of the Business Combination Agreement, SOAC will consummate its initial business combination with DeepGreen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On April 8, 2021, SOAC filed a registration statement on Form S-4 (No. 333-255118) containing a proxy statement/prospectus of SOAC in connection with the Business Combination (such proxy statement/prospectus in definitive form,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which was declared effective by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August 12, 2021, and SOAC commenced mailing the Proxy Statement/Prospectus on August 13, 2021.</w:t>
      </w:r>
    </w:p>
    <w:p>
      <w:pPr>
        <w:spacing w:after="0" w:line="165" w:lineRule="exact"/>
        <w:rPr>
          <w:sz w:val="20"/>
          <w:szCs w:val="20"/>
          <w:color w:val="auto"/>
        </w:rPr>
      </w:pPr>
    </w:p>
    <w:p>
      <w:pPr>
        <w:ind w:right="240" w:firstLine="441"/>
        <w:spacing w:after="0" w:line="263" w:lineRule="auto"/>
        <w:rPr>
          <w:sz w:val="20"/>
          <w:szCs w:val="20"/>
          <w:color w:val="auto"/>
        </w:rPr>
      </w:pPr>
      <w:r>
        <w:rPr>
          <w:rFonts w:ascii="Arial" w:cs="Arial" w:eastAsia="Arial" w:hAnsi="Arial"/>
          <w:sz w:val="18"/>
          <w:szCs w:val="18"/>
          <w:color w:val="auto"/>
        </w:rPr>
        <w:t>On April 12, 2021, April 29, 2021, June 2, 2021, July 13, 2021, August 6, 2021 and August 10, 2021, SOAC received a total of six demand letters from purported shareholders of SOAC (the “</w:t>
      </w:r>
      <w:r>
        <w:rPr>
          <w:rFonts w:ascii="Arial" w:cs="Arial" w:eastAsia="Arial" w:hAnsi="Arial"/>
          <w:sz w:val="18"/>
          <w:szCs w:val="18"/>
          <w:u w:val="single" w:color="auto"/>
          <w:color w:val="auto"/>
        </w:rPr>
        <w:t>Demand Letters</w:t>
      </w:r>
      <w:r>
        <w:rPr>
          <w:rFonts w:ascii="Arial" w:cs="Arial" w:eastAsia="Arial" w:hAnsi="Arial"/>
          <w:sz w:val="18"/>
          <w:szCs w:val="18"/>
          <w:color w:val="auto"/>
        </w:rPr>
        <w:t>”) alleging that the Proxy Statement/Prospectus contained disclosure deficiencies and/or incomplete information regarding the Business Combination.</w:t>
      </w:r>
    </w:p>
    <w:p>
      <w:pPr>
        <w:spacing w:after="0" w:line="18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SOAC believes that the disclosures set forth in the Proxy Statement/Prospectus comply fully with applicable law and that the allegations contained in the Demand Letters are entirely without merit. However, in order to moot the purported SOAC shareholders’ unmeritorious disclosure claims, preclude any efforts to delay the closing of the Business Combination, avoid nuisance and alleviate the costs, distractions, risks and uncertainties inherent in litigation, SOAC has determined to voluntarily supplement the Proxy Statement/Prospectus with certain supplemental disclosures (the “</w:t>
      </w:r>
      <w:r>
        <w:rPr>
          <w:rFonts w:ascii="Arial" w:cs="Arial" w:eastAsia="Arial" w:hAnsi="Arial"/>
          <w:sz w:val="17"/>
          <w:szCs w:val="17"/>
          <w:u w:val="single" w:color="auto"/>
          <w:color w:val="auto"/>
        </w:rPr>
        <w:t>Supplemental Disclosures</w:t>
      </w:r>
      <w:r>
        <w:rPr>
          <w:rFonts w:ascii="Arial" w:cs="Arial" w:eastAsia="Arial" w:hAnsi="Arial"/>
          <w:sz w:val="17"/>
          <w:szCs w:val="17"/>
          <w:color w:val="auto"/>
        </w:rPr>
        <w:t>”) as described in the following section entitled “Supplemental Disclosures to Proxy Statement Prospectus” in this Current Report on Form 8-K. Nothing in this Current Report on Form 8-K shall be deemed an admission of the legal necessity or materiality under applicable laws of any of the disclosures set forth herein. To the contrary, SOAC specifically denies all allegations by the purported SOAC shareholders in the Demand Letters that any additional disclosure was or is required.</w:t>
      </w:r>
    </w:p>
    <w:p>
      <w:pPr>
        <w:spacing w:after="0" w:line="178"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 xml:space="preserve">The Supplemental Disclosures contained herein will not affect the timing of SOAC’s extraordinary general meeting of its shareholders, which is scheduled to be held in both physical format and virtually on September 3, 2021 at 10:30 AM Central Time. You will be able to virtually attend, vote your shares and submit questions during the extraordinary general meeting via a live audio webcast by pre-registering at </w:t>
      </w:r>
      <w:r>
        <w:rPr>
          <w:rFonts w:ascii="Arial" w:cs="Arial" w:eastAsia="Arial" w:hAnsi="Arial"/>
          <w:sz w:val="16"/>
          <w:szCs w:val="16"/>
          <w:i w:val="1"/>
          <w:iCs w:val="1"/>
          <w:color w:val="auto"/>
        </w:rPr>
        <w:t>https://www.cstproxy.com/soac/sm2021.</w:t>
      </w:r>
    </w:p>
    <w:p>
      <w:pPr>
        <w:spacing w:after="0" w:line="14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b w:val="1"/>
          <w:bCs w:val="1"/>
          <w:color w:val="auto"/>
        </w:rPr>
        <w:t>SOAC’s board of directors continues to recommend that SOAC shareholders vote “FOR” each proposal being submitted to a vote of the SOAC shareholders at the extraordinary general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to Proxy Statement/Prospectus</w:t>
      </w:r>
    </w:p>
    <w:p>
      <w:pPr>
        <w:spacing w:after="0" w:line="121"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The following information should be read in conjunction with the Proxy Statement/Prospectus. All page references in the information below are to pages in the Proxy Statement/Prospectus, and capitalized terms used in this Current Report on Form 8-K shall have the meanings set forth in the Proxy Statement/Prospectus, unless otherwise defined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Statement/Prospectus is hereby amended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Amending the fifth sentence of the fourth paragraph on page 220:</w:t>
      </w:r>
    </w:p>
    <w:p>
      <w:pPr>
        <w:spacing w:after="0" w:line="18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SOAC entered into non-disclosure agreements with over 90 of these potential business combination targets, each of which SOAC believes contained customary confidentiality terms, including DeepGreen, for purposes of performing due diligence and further evaluating and analyzing these companies as potential business combination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Adding the following paragraph immediately after the last full paragraph on page 225:</w:t>
      </w:r>
    </w:p>
    <w:p>
      <w:pPr>
        <w:spacing w:after="0" w:line="19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connection with the consummation of the Business Combination, Citi assisted the management of SOAC with certain of its analysis for the investor presentations given to the prospective investors of the PIPE Financing. This financial analysis was limited to the trading range of publicly traded companies comparable to DeepGreen. Additionally, in connection with acting as financial advisor to SOAC in connection with the Business Combination, Citi will receive a single, one-time payment of $7,500,000 for the advisory services it provided to SOAC in connection with the Business Combination. This one-time fee will be paid at the closing of the Business Combination, and is conditioned upon the successful completion of the Business Combination; if the Business Combination does not close, Citi will not be entitled to such one-time fee.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and other concurrent agreements related thereto (together, the “Business Combination”). In connection with the proposed Business Combination, SOAC has filed with the U.S. Securities and Exchange Commission’s (“SEC”) a Registration Statement on Form S-4 and a definitive proxy statement/prospectus. </w:t>
      </w:r>
      <w:r>
        <w:rPr>
          <w:rFonts w:ascii="Arial" w:cs="Arial" w:eastAsia="Arial" w:hAnsi="Arial"/>
          <w:sz w:val="17"/>
          <w:szCs w:val="17"/>
          <w:b w:val="1"/>
          <w:bCs w:val="1"/>
          <w:color w:val="auto"/>
        </w:rPr>
        <w:t>SOAC’s shareholders and other interested persons are advised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read the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SOAC has mailed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to its shareholders on or about August 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Dated: August 25, 2021</w:t>
            </w:r>
          </w:p>
        </w:tc>
        <w:tc>
          <w:tcPr>
            <w:tcW w:w="7000" w:type="dxa"/>
            <w:vAlign w:val="bottom"/>
            <w:gridSpan w:val="2"/>
          </w:tcPr>
          <w:p>
            <w:pPr>
              <w:ind w:left="252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4240" w:type="dxa"/>
            <w:vAlign w:val="bottom"/>
          </w:tcPr>
          <w:p>
            <w:pPr>
              <w:spacing w:after="0"/>
              <w:rPr>
                <w:sz w:val="17"/>
                <w:szCs w:val="17"/>
                <w:color w:val="auto"/>
              </w:rPr>
            </w:pPr>
          </w:p>
        </w:tc>
        <w:tc>
          <w:tcPr>
            <w:tcW w:w="308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74"/>
        </w:trPr>
        <w:tc>
          <w:tcPr>
            <w:tcW w:w="4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2021-08-26T05:14:04Z</dcterms:created>
  <dcterms:modified xsi:type="dcterms:W3CDTF">2021-08-26T05:14:04Z</dcterms:modified>
</cp:coreProperties>
</file>