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27, 2021</w:t>
      </w: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Cayman Islands</w:t>
            </w:r>
          </w:p>
        </w:tc>
        <w:tc>
          <w:tcPr>
            <w:tcW w:w="27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001-39281</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3"/>
          </w:tcPr>
          <w:p>
            <w:pPr>
              <w:jc w:val="center"/>
              <w:ind w:right="84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of incorporation)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1601 Bryan Street, Suite 4141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Dallas, Texas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7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2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redeemable warrant</w:t>
            </w:r>
          </w:p>
        </w:tc>
        <w:tc>
          <w:tcPr>
            <w:tcW w:w="3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Class A Ordinary Shares included as part of the</w:t>
            </w:r>
          </w:p>
        </w:tc>
        <w:tc>
          <w:tcPr>
            <w:tcW w:w="36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SOAC</w:t>
            </w:r>
          </w:p>
        </w:tc>
        <w:tc>
          <w:tcPr>
            <w:tcW w:w="37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units</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Warrants included as part of the units, each</w:t>
            </w:r>
          </w:p>
        </w:tc>
        <w:tc>
          <w:tcPr>
            <w:tcW w:w="3600" w:type="dxa"/>
            <w:vAlign w:val="bottom"/>
            <w:gridSpan w:val="2"/>
            <w:shd w:val="clear" w:color="auto" w:fill="CCEEFF"/>
          </w:tcPr>
          <w:p>
            <w:pPr>
              <w:jc w:val="center"/>
              <w:ind w:right="200"/>
              <w:spacing w:after="0" w:line="198" w:lineRule="exact"/>
              <w:rPr>
                <w:sz w:val="20"/>
                <w:szCs w:val="20"/>
                <w:color w:val="auto"/>
              </w:rPr>
            </w:pPr>
            <w:r>
              <w:rPr>
                <w:rFonts w:ascii="Arial" w:cs="Arial" w:eastAsia="Arial" w:hAnsi="Arial"/>
                <w:sz w:val="18"/>
                <w:szCs w:val="18"/>
                <w:b w:val="1"/>
                <w:bCs w:val="1"/>
                <w:color w:val="auto"/>
                <w:w w:val="97"/>
              </w:rPr>
              <w:t>SOAC WS</w:t>
            </w:r>
          </w:p>
        </w:tc>
        <w:tc>
          <w:tcPr>
            <w:tcW w:w="37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27, 2021, Sustainable Opportunities Acquisition Corp. (“SOAC” or the “Company”) issued a press release announcing that it intends to voluntarily delist all of SOAC’s securities from The New York Stock Exchange (“NYSE”) upon the consummation of its pending business combination (the “Business Combination”) with DeepGreen Metals Inc. (“DeepGreen”), including each of SOAC’s units, public shares and public warrants currently listed on the NYSE under the symbols “SOAC.U,” “SOAC” and “SOAC WS,” respectively. As previously disclosed, on March 4, 2021, SOAC entered into a Business Combination Agreement (the “Business Combination Agreement”) by and among SOAC, 1291924 B.C. Unlimited Liability Company, an unlimited liability company existing under the laws of British Columbia, Canada, and DeepGreen.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consummation of the Business Combination, SOAC will migrate and be continued from the Cayman Islands to British Columbia, Canada (the “Continuance”). Upon the consummation of the Continuance, among other things, (i) the identifying name of the Class A ordinary shares of SOAC (the “Class A ordinary shares”) and Class B ordinary shares of SOAC (the “Class B ordinary shares”) will be changed to common shares of TMC (the “TMC Common Shares”); (ii) the outstanding public warrants to purchase Class A ordinary shares will automatically represent the right to purchase TMC Common Shares; and (iii) SOAC’s name will be changed to “TMC the metals company Inc.” (“TMC”).</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27, 2021, the Company notified the NYSE that, subject to final shareholder approval at SOAC’s extraordinary general meeting on September 3, 2021, fulfillment of all the Nasdaq Global Select Market (the “Nasdaq”) listing requirements and satisfaction of other customary closing conditions of the Business Combination, it intends to voluntarily delist all of its securities from the NYSE and list its post-business combination securities on the Nasdaq following the consummation of the Business Combination, which is currently expected to occur on September 7, 2021. SOAC expects the last day of trading on the NYSE to be on or about September 7, 2021, on which date the Company intends to file a Form 25 with respect to the delisting of its securities from the NYSE with the Securities and Exchange Commission.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Trading of TMC common shares and warrants on Nasdaq is currently expected to begin on or about September 8, 2021 under the ticker symbols “TMC” and “TMCWW,” respectively. Until the Business Combination has been consummated and the transfer to Nasdaq is complete, SOAC’s units, public shares and public warrants will continue to trade on the NYSE. SOAC will not have any units traded following the Closing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hereto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and other concurrent agreements related thereto (together, the “Business Combination”). In connection with the proposed Business Combination, SOAC has filed with the U.S. Securities and Exchange Commission’s (the “SEC”) a Registration Statement on Form S-4 and a definitive proxy statement/prospectus. </w:t>
      </w:r>
      <w:r>
        <w:rPr>
          <w:rFonts w:ascii="Arial" w:cs="Arial" w:eastAsia="Arial" w:hAnsi="Arial"/>
          <w:sz w:val="17"/>
          <w:szCs w:val="17"/>
          <w:b w:val="1"/>
          <w:bCs w:val="1"/>
          <w:color w:val="auto"/>
        </w:rPr>
        <w:t>SOAC’s shareholders and other interested persons are advised to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read the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SOAC has mailed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Statement/Prospectus to its shareholders on or about August 13, 2021 to shareholders of SOAC as of June 21, 2021, the record date established for voting on the proposed Business Combination and the other proposals at the extraordinary general meeting. Shareholders are also able to obtain copies of the Proxy Statement/Prospectus and other documents filed with the SEC, without charge, at the SEC’s website at www.sec.gov, or by directing a request to: Investors@soa-corp.com.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has been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Statement/Prospectus and is available at www.sec.gov. Additional information regarding the interests of such participants is contained in the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interests in the proposed Business Combination is included in the Proxy Statement/Prospectus.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the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dated August 27, 2021.</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Dated: August 27, 2021</w:t>
            </w:r>
          </w:p>
        </w:tc>
        <w:tc>
          <w:tcPr>
            <w:tcW w:w="7580" w:type="dxa"/>
            <w:vAlign w:val="bottom"/>
            <w:gridSpan w:val="2"/>
          </w:tcPr>
          <w:p>
            <w:pPr>
              <w:ind w:left="310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3660" w:type="dxa"/>
            <w:vAlign w:val="bottom"/>
          </w:tcPr>
          <w:p>
            <w:pPr>
              <w:spacing w:after="0"/>
              <w:rPr>
                <w:sz w:val="20"/>
                <w:szCs w:val="20"/>
                <w:color w:val="auto"/>
              </w:rPr>
            </w:pPr>
          </w:p>
        </w:tc>
        <w:tc>
          <w:tcPr>
            <w:tcW w:w="3660" w:type="dxa"/>
            <w:vAlign w:val="bottom"/>
          </w:tcPr>
          <w:p>
            <w:pPr>
              <w:ind w:left="310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3660" w:type="dxa"/>
            <w:vAlign w:val="bottom"/>
          </w:tcPr>
          <w:p>
            <w:pPr>
              <w:spacing w:after="0"/>
              <w:rPr>
                <w:sz w:val="24"/>
                <w:szCs w:val="24"/>
                <w:color w:val="auto"/>
              </w:rPr>
            </w:pPr>
          </w:p>
        </w:tc>
        <w:tc>
          <w:tcPr>
            <w:tcW w:w="3660" w:type="dxa"/>
            <w:vAlign w:val="bottom"/>
          </w:tcPr>
          <w:p>
            <w:pPr>
              <w:ind w:left="3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3660" w:type="dxa"/>
            <w:vAlign w:val="bottom"/>
          </w:tcPr>
          <w:p>
            <w:pPr>
              <w:spacing w:after="0"/>
              <w:rPr>
                <w:sz w:val="17"/>
                <w:szCs w:val="17"/>
                <w:color w:val="auto"/>
              </w:rPr>
            </w:pPr>
          </w:p>
        </w:tc>
        <w:tc>
          <w:tcPr>
            <w:tcW w:w="3660" w:type="dxa"/>
            <w:vAlign w:val="bottom"/>
          </w:tcPr>
          <w:p>
            <w:pPr>
              <w:ind w:left="31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Leonard</w:t>
            </w:r>
          </w:p>
        </w:tc>
      </w:tr>
      <w:tr>
        <w:trPr>
          <w:trHeight w:val="230"/>
        </w:trPr>
        <w:tc>
          <w:tcPr>
            <w:tcW w:w="3660" w:type="dxa"/>
            <w:vAlign w:val="bottom"/>
          </w:tcPr>
          <w:p>
            <w:pPr>
              <w:spacing w:after="0"/>
              <w:rPr>
                <w:sz w:val="20"/>
                <w:szCs w:val="20"/>
                <w:color w:val="auto"/>
              </w:rPr>
            </w:pPr>
          </w:p>
        </w:tc>
        <w:tc>
          <w:tcPr>
            <w:tcW w:w="3660" w:type="dxa"/>
            <w:vAlign w:val="bottom"/>
          </w:tcPr>
          <w:p>
            <w:pPr>
              <w:ind w:left="3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 to Transfer U.S. Stock Exchange Listing to Nasdaq</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Dallas, Texas, August 27, 2021—Sustainable Opportunities Acquisition Corp. (NYSE: SOAC) (“SOAC” or the “Company”) announced today that, upon consummation of its pending business combination with DeepGreen Metals Inc. (“DeepGreen”) (the “Business Combination”), it intends to list its common shares and warrants on the Nasdaq Global Select Market (the “Nasdaq”) under the ticker symbols “TMC” and “TMCWW,” respectively. The decision to list on Nasdaq was made in consideration of the Business Combination and enables the post-business combination company, TMC the metals company Inc. (“TMC”), to be listed alongside comparable companies that are also listed on Nasdaq. Trading is currently expected to begin on Nasdaq on or about September 8, 2021 following the consummation of the Business Combination, which is currently expected to occur on September 7, 2021, subject to final shareholder approval at SOAC’s extraordinary general meeting on September 3, 2021, and satisfaction of other customary closing conditions. Until the Business Combination is complete, SOAC’s Class A ordinary shares, warrants and units will continue to trade under the ticker symbols “SOAC,” “SOAC WS” and “SOAC.U,” respectively, on The New York Stock Exchange (the “NYSE”). The Nasdaq listing and NYSE delisting are subject to the closing of the Business Combination and fulfillment of all Nasdaq listing requirements. SOAC expects the last day of trading on the NYSE to be on or about September 7, 2021.</w:t>
      </w:r>
    </w:p>
    <w:p>
      <w:pPr>
        <w:spacing w:after="0" w:line="18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As previously announced, the Company will hold the extraordinary general meeting at 10:30 a.m., Central Time, on September 3, 2021, at the offices of Kirkland &amp; Ellis LLP located at 609 Main Street, Houston, TX 77002, and via a virtual meeting at </w:t>
      </w:r>
      <w:r>
        <w:rPr>
          <w:rFonts w:ascii="Arial" w:cs="Arial" w:eastAsia="Arial" w:hAnsi="Arial"/>
          <w:sz w:val="16"/>
          <w:szCs w:val="16"/>
          <w:i w:val="1"/>
          <w:iCs w:val="1"/>
          <w:color w:val="auto"/>
        </w:rPr>
        <w:t>https://www.cstproxy.com/soac/sm2021</w:t>
      </w:r>
      <w:r>
        <w:rPr>
          <w:rFonts w:ascii="Arial" w:cs="Arial" w:eastAsia="Arial" w:hAnsi="Arial"/>
          <w:sz w:val="16"/>
          <w:szCs w:val="16"/>
          <w:color w:val="auto"/>
        </w:rPr>
        <w:t>. The Proxy Statement/Prospectus with respect to the Business Combination, together with a proxy card for voting, has been mailed to the Company’s shareholders. Shareholders are encouraged to attend the extraordinary general meeting and to vote as soon as possible by signing, dating and returning the proxy card enclosed with the Proxy Statement/Prospectus. If you have any questions, please contact Morrow Sodali LLC, our proxy solicitor, by calling (800) 662-5200, or banks and brokers can call collect at (203) 658-9400, or by emailing SOAC.info@investor.morrowsodali.com.</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Sustainable Opportunities Acquisition Corporation a special purpose acquisition company with a dedicated Environmental, Social and Governance (“ESG”) focus and deep operational and capital market capabilities in the energy and resource sectors. While investing in ESG covers a broad range of themes, the Company focused on evaluating suitable targets with existing environmental sustainability practices or that could benefit, both operationally and economically, from the founders’ and management team’s commitment and expertise in executing such practices. For more information, visit greenspac.com.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metals.co.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(“DeepGreen”) and other concurrent agreements related thereto (together, the “Business Combination”). In connection with the proposed Business Combination, SOAC has filed with the SEC a Registration Statement on Form S-4 and a definitive proxy statement/prospectus (the “Proxy Statement/Prospectus). </w:t>
      </w:r>
      <w:r>
        <w:rPr>
          <w:rFonts w:ascii="Arial" w:cs="Arial" w:eastAsia="Arial" w:hAnsi="Arial"/>
          <w:sz w:val="16"/>
          <w:szCs w:val="16"/>
          <w:b w:val="1"/>
          <w:bCs w:val="1"/>
          <w:color w:val="auto"/>
        </w:rPr>
        <w:t>SOAC’s shareholders and other interested persons are advised to read the Proxy Statement/Prospectus as well as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SOAC has mailed the Proxy Statement/Prospectus to its shareholders on or about August</w:t>
      </w:r>
      <w:r>
        <w:rPr>
          <w:rFonts w:ascii="Arial" w:cs="Arial" w:eastAsia="Arial" w:hAnsi="Arial"/>
          <w:sz w:val="16"/>
          <w:szCs w:val="16"/>
          <w:b w:val="1"/>
          <w:bCs w:val="1"/>
          <w:color w:val="auto"/>
        </w:rPr>
        <w:t xml:space="preserve"> </w:t>
      </w:r>
      <w:r>
        <w:rPr>
          <w:rFonts w:ascii="Arial" w:cs="Arial" w:eastAsia="Arial" w:hAnsi="Arial"/>
          <w:sz w:val="16"/>
          <w:szCs w:val="16"/>
          <w:color w:val="auto"/>
        </w:rPr>
        <w:t>13, 2021 to shareholders of SOAC as of June 21, 2021, the record date established for voting on the proposed Business Combination and the other proposals at the extraordinary general meeting. Shareholders are also able to obtain copies of the Proxy Statement/Prospectus and other documents filed with the SEC, without charge,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has been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Statement/Prospectus and is available at www.sec.gov. Additional information regarding the interests of such participants is contained in the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interests in the proposed Business Combination is included in the Proxy Statement/Prospectus.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SOAC’s Annual Report on Form 10-K, as amended,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DeepGreen/The Metals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media@metals.co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cody@gatewayir.com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Sustainable Opportunities Acquisition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Jackie Tilden | +1 (214) 914 7652 | jackie.tilden@soa-corp.com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Cody Slach, Tom Colton, Georg Venturatos | Gateway Group | +1 (949) 574-3860 | SOAC@gatewayir.com</w:t>
      </w:r>
    </w:p>
    <w:p>
      <w:pPr>
        <w:spacing w:after="0" w:line="200" w:lineRule="exact"/>
        <w:rPr>
          <w:sz w:val="20"/>
          <w:szCs w:val="20"/>
          <w:color w:val="auto"/>
        </w:rPr>
      </w:pPr>
    </w:p>
    <w:p>
      <w:pPr>
        <w:spacing w:after="0" w:line="2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0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2021-08-27T19:34:01Z</dcterms:created>
  <dcterms:modified xsi:type="dcterms:W3CDTF">2021-08-27T19:34:01Z</dcterms:modified>
</cp:coreProperties>
</file>