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3,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Cayman Islands</w:t>
            </w:r>
          </w:p>
        </w:tc>
        <w:tc>
          <w:tcPr>
            <w:tcW w:w="28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3"/>
          </w:tcPr>
          <w:p>
            <w:pPr>
              <w:jc w:val="center"/>
              <w:ind w:right="980"/>
              <w:spacing w:after="0" w:line="198" w:lineRule="exact"/>
              <w:rPr>
                <w:sz w:val="20"/>
                <w:szCs w:val="20"/>
                <w:color w:val="auto"/>
              </w:rPr>
            </w:pPr>
            <w:r>
              <w:rPr>
                <w:rFonts w:ascii="Arial" w:cs="Arial" w:eastAsia="Arial" w:hAnsi="Arial"/>
                <w:sz w:val="18"/>
                <w:szCs w:val="18"/>
                <w:b w:val="1"/>
                <w:bCs w:val="1"/>
                <w:color w:val="auto"/>
                <w:w w:val="87"/>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of incorporation)</w:t>
            </w:r>
          </w:p>
        </w:tc>
        <w:tc>
          <w:tcPr>
            <w:tcW w:w="292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7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1601 Bryan Street, Suite 4141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7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7"/>
              </w:rPr>
              <w:t>Dallas, Texas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7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right="2840" w:firstLine="8"/>
        <w:spacing w:after="0" w:line="498" w:lineRule="auto"/>
        <w:tabs>
          <w:tab w:leader="none" w:pos="35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September 3, 2021,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held an extraordinary general meeting of shareholders (the</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Meeting</w:t>
      </w:r>
      <w:r>
        <w:rPr>
          <w:rFonts w:ascii="Arial" w:cs="Arial" w:eastAsia="Arial" w:hAnsi="Arial"/>
          <w:sz w:val="17"/>
          <w:szCs w:val="17"/>
          <w:color w:val="auto"/>
        </w:rPr>
        <w:t>”) at which holders of 24,410,605 ordinary shares (consisting of 16,910,605 Class A ordinary shares and 7,500,000 Class B ordinary shares) were present in person, virtually over the Internet or by proxy, representing 65.09% of the voting power of the Company’s ordinary shares as of the date of the Meeting, and constituting a quorum for the transaction of business. The proposals listed below are described in more detail in the definitive proxy statement/prospectus of the Company, which was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August 13, 2021 (the “</w:t>
      </w:r>
      <w:r>
        <w:rPr>
          <w:rFonts w:ascii="Arial" w:cs="Arial" w:eastAsia="Arial" w:hAnsi="Arial"/>
          <w:sz w:val="17"/>
          <w:szCs w:val="17"/>
          <w:b w:val="1"/>
          <w:bCs w:val="1"/>
          <w:i w:val="1"/>
          <w:iCs w:val="1"/>
          <w:color w:val="auto"/>
        </w:rPr>
        <w:t>Proxy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Statement/Prospectus</w:t>
      </w:r>
      <w:r>
        <w:rPr>
          <w:rFonts w:ascii="Arial" w:cs="Arial" w:eastAsia="Arial" w:hAnsi="Arial"/>
          <w:sz w:val="17"/>
          <w:szCs w:val="17"/>
          <w:color w:val="auto"/>
        </w:rPr>
        <w:t>”). A summary of the voting results at the Meeting is set forth below:</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shareholders approved the Continuance Proposal, Business Combination Proposal, Charter Proposal, Organizational Documents Proposals 4A through 4F, NYSE Proposal and Incentive Award Plan Proposal (each as defined in the Proxy Statement/Prospectus).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The voting results for each proposal were as follows:</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1 – Continuance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2,999,605</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1,405,857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5,143</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2 – Business Combination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22,999,668</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1,406,717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4,220</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3 – Charter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22,999,528</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1,406,687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4,390</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4A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5"/>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22,577,111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1,815,592</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17,902</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4B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24,382,361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7"/>
              </w:rPr>
              <w:t>23,063</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5,181</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4C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22,985,650</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1,418,142</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6,813</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4D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22,992,174</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1,409,374</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9,057</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4E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22,819,211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1,572,550</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18,844</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4F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22,984,631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1,413,365</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12,609</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5 – NYSE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22,999,091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1,407,157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4,357</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6 – Incentive Equity Plan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22,721,481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1,668,727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20,397</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91" w:gutter="0" w:footer="0" w:header="0"/>
        </w:sectPr>
      </w:pPr>
    </w:p>
    <w:bookmarkStart w:id="2" w:name="page3"/>
    <w:bookmarkEnd w:id="2"/>
    <w:p>
      <w:pPr>
        <w:ind w:right="60"/>
        <w:spacing w:after="0" w:line="277" w:lineRule="auto"/>
        <w:rPr>
          <w:sz w:val="20"/>
          <w:szCs w:val="20"/>
          <w:color w:val="auto"/>
        </w:rPr>
      </w:pPr>
      <w:r>
        <w:rPr>
          <w:rFonts w:ascii="Arial" w:cs="Arial" w:eastAsia="Arial" w:hAnsi="Arial"/>
          <w:sz w:val="18"/>
          <w:szCs w:val="18"/>
          <w:color w:val="auto"/>
        </w:rPr>
        <w:t>As there were sufficient votes to approve the above proposals, the “Adjournment Proposal” described in the Proxy Statement/Prospectus was not presented to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results of the Meeting, and subject to the satisfaction or waiver of certain other closing conditions as described in the Proxy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transactions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contemplated by that certain Business Combination Agreement, dated as of March 4, 2021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 Agreement</w:t>
      </w:r>
      <w:r>
        <w:rPr>
          <w:rFonts w:ascii="Arial" w:cs="Arial" w:eastAsia="Arial" w:hAnsi="Arial"/>
          <w:sz w:val="17"/>
          <w:szCs w:val="17"/>
          <w:color w:val="auto"/>
        </w:rPr>
        <w:t>”), by and among the Company, 1291924 B.C. Unlimited Liability Company and DeepGreen Metals,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DeepGreen</w:t>
      </w:r>
      <w:r>
        <w:rPr>
          <w:rFonts w:ascii="Arial" w:cs="Arial" w:eastAsia="Arial" w:hAnsi="Arial"/>
          <w:sz w:val="16"/>
          <w:szCs w:val="16"/>
          <w:color w:val="auto"/>
        </w:rPr>
        <w:t>”) are expected to close as promptly as reasonably practicable, but in no event later than the third business day following the satisfaction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waiver) of the closing conditions set forth in the Business Combination Agreement. Following the consummation of the Transactions, the common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warrants of TMC (as such term is defined in the Proxy Statement/Prospectus) are expected to begin trading on the Nasdaq Global Select Market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symbols “TMC” and “TMCWW,”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7, 2021, the Company and DeepGreen issued a joint press release announcing voting results related to the Meeting. A copy of the press release is furnished with this Form 8-K as Exhibit 99.1.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contained in this Current Report on Form 8-K pursuant to this Item 7.01, including the exhibits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Securities Exchange Act of 1934, as amended,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SOAC’s ability to enforce the obligations of non-performing investors under subscription agreements entered into with SOAC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920" w:type="dxa"/>
            <w:vAlign w:val="bottom"/>
            <w:tcBorders>
              <w:top w:val="single" w:sz="8" w:color="auto"/>
              <w:bottom w:val="single" w:sz="8" w:color="0000EE"/>
            </w:tcBorders>
            <w:shd w:val="clear" w:color="auto" w:fill="CCEEFF"/>
          </w:tcPr>
          <w:p>
            <w:pPr>
              <w:ind w:left="20"/>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Press Release, dated September 7, 2021.</w:t>
              </w:r>
            </w:hyperlink>
          </w:p>
        </w:tc>
        <w:tc>
          <w:tcPr>
            <w:tcW w:w="7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8"/>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right"/>
              <w:ind w:right="556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Dated: September 7, 2021</w:t>
            </w:r>
          </w:p>
        </w:tc>
        <w:tc>
          <w:tcPr>
            <w:tcW w:w="7520" w:type="dxa"/>
            <w:vAlign w:val="bottom"/>
            <w:gridSpan w:val="2"/>
          </w:tcPr>
          <w:p>
            <w:pPr>
              <w:ind w:left="304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195"/>
        </w:trPr>
        <w:tc>
          <w:tcPr>
            <w:tcW w:w="3720" w:type="dxa"/>
            <w:vAlign w:val="bottom"/>
          </w:tcPr>
          <w:p>
            <w:pPr>
              <w:spacing w:after="0"/>
              <w:rPr>
                <w:sz w:val="16"/>
                <w:szCs w:val="16"/>
                <w:color w:val="auto"/>
              </w:rPr>
            </w:pPr>
          </w:p>
        </w:tc>
        <w:tc>
          <w:tcPr>
            <w:tcW w:w="3600" w:type="dxa"/>
            <w:vAlign w:val="bottom"/>
          </w:tcPr>
          <w:p>
            <w:pPr>
              <w:ind w:left="30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Leonard</w:t>
            </w:r>
          </w:p>
        </w:tc>
      </w:tr>
      <w:tr>
        <w:trPr>
          <w:trHeight w:val="230"/>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of Sustainable Opportunities Acquisition Corp. Approve Business Combination at Extraordinary General Meeting</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DALLAS, Texas &amp; VANCOUVER, British Columbia – September 7, 2021 </w:t>
      </w:r>
      <w:r>
        <w:rPr>
          <w:rFonts w:ascii="Arial" w:cs="Arial" w:eastAsia="Arial" w:hAnsi="Arial"/>
          <w:sz w:val="17"/>
          <w:szCs w:val="17"/>
          <w:color w:val="auto"/>
        </w:rPr>
        <w:t>- DeepGreen Metals, Inc. (DeepGreen), an explorer of lower-impact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metals from seafloor polymetallic nodules, and Sustainable Opportunities Acquisition Corporation (NYSE: SOAC) (SOAC), a special purpose acquisition company with a dedicated ESG focus, announced today that at the SOAC extraordinary general meeting held on September 3, 2021, SOAC’s shareholders approved their previously announced business combination to create TMC the metals company Inc. (“The Metals Company” or “TMC”). The transaction is expected to close as promptly as reasonably practicable, but in no event later than the third business day following the satisfaction (or waiver) of the closing conditions set forth in the Business Combination Agreement (BCA) between SOAC and DeepGreen.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closing of the transaction, TMC expects to receive approximately $137.3 million in cash prior to transaction fees, including approximately $27.2 million of proceeds that will be distributed from the SOAC trust account after accounting for redemptions. In connection with the initial announcement of the transaction in March 2021 and the entry into the BCA with DeepGreen, SOAC entered into subscription agreements with a number of strategic and institutional investors for a $330.3 million private placement of SOAC Class A ordinary shares; however, only approximately $110.1 million of proceeds from the private placement were received as of the date hereof. SOAC intends to continue to seek to enforce the funding obligations of the non-performing investors under the subscription agreements, but there can be no assurances that it will be successful in those efforts. DeepGreen intends to waive the BCA’s condition to closing that the Aggregate Transaction Proceeds (as defined in the BCA) shall be equal to or greater than $250 million.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DeepGreen team remains focused on delivering value to the combined company’s shareholders by advancing towards commercial production from its resources of battery metals. With the expected proceeds, DeepGreen believes that the combined company will have the funding required to reach its previously stated key milestone of permitting to advance commencement of commercial production which includes, but is not limited to, completion of its nodule processing and refining pilot plant program, completion and submission of its Environmental Impact Assessment, construction and deployment of its pilot nodule collection system, and most significantly, submission of an application for an exploitation contract for its NORI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TMC the metals company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www.metals.co.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TMC’s expectations with respect to future performance, development of its estimated resources of battery metals, potential regulatory approvals, and anticipated financial impacts and other effects of the Business Combination, its ability to enforce the obligations of non-performing investors under subscription agreements entered into with SOAC, and the size and potential growth of current or future markets for TMC’s supply of battery metals.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the inability to maintain the listing of TMC’s shares on Nasdaq following the Business Combination; the ability to recognize the anticipated benefits of the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proxy statement/prospectus relating to the Business Combination, including those under “Risk Factors” therein, and in other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Metals Company (formerly DeepGreen)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Chelsea Lauber | Antenna Group | tmc@antennagroup.com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 Tilden | +1 (214) 914 7652 | jackie.tilden@soa-corp.com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Cody Slach, Tom Colton | Gateway Group | +1 (949) 574-3860 | SOAC@gatewayir.com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2021-09-07T08:33:52Z</dcterms:created>
  <dcterms:modified xsi:type="dcterms:W3CDTF">2021-09-07T08:33:52Z</dcterms:modified>
</cp:coreProperties>
</file>