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3, 2021</w:t>
      </w:r>
    </w:p>
    <w:p>
      <w:pPr>
        <w:spacing w:after="0" w:line="225"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1"/>
              </w:rPr>
              <w:t>Cayman Islands</w:t>
            </w:r>
          </w:p>
        </w:tc>
        <w:tc>
          <w:tcPr>
            <w:tcW w:w="28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001-39281</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3"/>
          </w:tcPr>
          <w:p>
            <w:pPr>
              <w:jc w:val="center"/>
              <w:ind w:right="980"/>
              <w:spacing w:after="0" w:line="198" w:lineRule="exact"/>
              <w:rPr>
                <w:sz w:val="20"/>
                <w:szCs w:val="20"/>
                <w:color w:val="auto"/>
              </w:rPr>
            </w:pPr>
            <w:r>
              <w:rPr>
                <w:rFonts w:ascii="Arial" w:cs="Arial" w:eastAsia="Arial" w:hAnsi="Arial"/>
                <w:sz w:val="18"/>
                <w:szCs w:val="18"/>
                <w:b w:val="1"/>
                <w:bCs w:val="1"/>
                <w:color w:val="auto"/>
                <w:w w:val="87"/>
              </w:rPr>
              <w:t>(Commission</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0"/>
              </w:rPr>
              <w:t>of incorporation)</w:t>
            </w:r>
          </w:p>
        </w:tc>
        <w:tc>
          <w:tcPr>
            <w:tcW w:w="292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630"/>
        </w:trPr>
        <w:tc>
          <w:tcPr>
            <w:tcW w:w="47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0"/>
              </w:rPr>
              <w:t>1601 Bryan Street, Suite 4141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72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87"/>
              </w:rPr>
              <w:t>Dallas, Texas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47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right="2840" w:firstLine="8"/>
        <w:spacing w:after="0" w:line="498" w:lineRule="auto"/>
        <w:tabs>
          <w:tab w:leader="none" w:pos="35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55"/>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8"/>
        </w:trPr>
        <w:tc>
          <w:tcPr>
            <w:tcW w:w="38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SOAC.U</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Class A Ordinary Shares included as part of the</w:t>
            </w:r>
          </w:p>
        </w:tc>
        <w:tc>
          <w:tcPr>
            <w:tcW w:w="370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6"/>
              </w:rPr>
              <w:t>SOAC</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Warrants included as part of the units, each</w:t>
            </w:r>
          </w:p>
        </w:tc>
        <w:tc>
          <w:tcPr>
            <w:tcW w:w="3700" w:type="dxa"/>
            <w:vAlign w:val="bottom"/>
            <w:gridSpan w:val="2"/>
            <w:shd w:val="clear" w:color="auto" w:fill="CCEEFF"/>
          </w:tcPr>
          <w:p>
            <w:pPr>
              <w:jc w:val="center"/>
              <w:ind w:right="80"/>
              <w:spacing w:after="0" w:line="198" w:lineRule="exact"/>
              <w:rPr>
                <w:sz w:val="20"/>
                <w:szCs w:val="20"/>
                <w:color w:val="auto"/>
              </w:rPr>
            </w:pPr>
            <w:r>
              <w:rPr>
                <w:rFonts w:ascii="Arial" w:cs="Arial" w:eastAsia="Arial" w:hAnsi="Arial"/>
                <w:sz w:val="18"/>
                <w:szCs w:val="18"/>
                <w:b w:val="1"/>
                <w:bCs w:val="1"/>
                <w:color w:val="auto"/>
                <w:w w:val="95"/>
              </w:rPr>
              <w:t>SOAC WS</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whole warrant exercisable for one Class A</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Ordinary Share at an exercise price of $11.50</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September 3, 2021, Sustainable Opportunities Acquisition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held an extraordinary general meeting of shareholders (the</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Meeting</w:t>
      </w:r>
      <w:r>
        <w:rPr>
          <w:rFonts w:ascii="Arial" w:cs="Arial" w:eastAsia="Arial" w:hAnsi="Arial"/>
          <w:sz w:val="17"/>
          <w:szCs w:val="17"/>
          <w:color w:val="auto"/>
        </w:rPr>
        <w:t>”) at which holders of 24,410,605 ordinary shares (consisting of 16,910,605 Class A ordinary shares and 7,500,000 Class B ordinary shares) were present in person, virtually over the Internet or by proxy, representing 65.09% of the voting power of the Company’s ordinary shares as of the date of the Meeting, and constituting a quorum for the transaction of business. The proposals listed below are described in more detail in the definitive proxy statement/prospectus of the Company, which was filed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on August 13, 2021 (the “</w:t>
      </w:r>
      <w:r>
        <w:rPr>
          <w:rFonts w:ascii="Arial" w:cs="Arial" w:eastAsia="Arial" w:hAnsi="Arial"/>
          <w:sz w:val="17"/>
          <w:szCs w:val="17"/>
          <w:b w:val="1"/>
          <w:bCs w:val="1"/>
          <w:i w:val="1"/>
          <w:iCs w:val="1"/>
          <w:color w:val="auto"/>
        </w:rPr>
        <w:t>Proxy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Statement/Prospectus</w:t>
      </w:r>
      <w:r>
        <w:rPr>
          <w:rFonts w:ascii="Arial" w:cs="Arial" w:eastAsia="Arial" w:hAnsi="Arial"/>
          <w:sz w:val="17"/>
          <w:szCs w:val="17"/>
          <w:color w:val="auto"/>
        </w:rPr>
        <w:t>”). A summary of the voting results at the Meeting is set forth below:</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shareholders approved the Continuance Proposal, Business Combination Proposal, Charter Proposal, Organizational Documents Proposals 4A through 4F, NYSE Proposal and Incentive Award Plan Proposal (each as defined in the Proxy Statement/Prospectus).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The voting results for each proposal were as follows:</w:t>
            </w: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1 – Continuance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2,999,605</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1,405,857</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5,143</w:t>
            </w:r>
          </w:p>
        </w:tc>
      </w:tr>
      <w:tr>
        <w:trPr>
          <w:trHeight w:val="350"/>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2 – Business Combination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64"/>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22,999,668</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1,406,717</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4,220</w:t>
            </w:r>
          </w:p>
        </w:tc>
      </w:tr>
      <w:tr>
        <w:trPr>
          <w:trHeight w:val="350"/>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3 – Charter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64"/>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22,999,528</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1,406,687</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4,390</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4A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65"/>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22,577,111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1,815,592</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17,902</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4B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24,382,361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7"/>
              </w:rPr>
              <w:t>23,063</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5,181</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4C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22,985,650</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1,418,142</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6,813</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4D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22,992,174</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1,409,374</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9,057</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4E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22,819,211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1,572,550</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18,844</w:t>
            </w:r>
          </w:p>
        </w:tc>
      </w:tr>
      <w:tr>
        <w:trPr>
          <w:trHeight w:val="418"/>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4F – Organizational Documents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22,984,631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1,413,365</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12,609</w:t>
            </w:r>
          </w:p>
        </w:tc>
      </w:tr>
      <w:tr>
        <w:trPr>
          <w:trHeight w:val="350"/>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5 – NYSE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22,999,091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1,407,157</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4,357</w:t>
            </w:r>
          </w:p>
        </w:tc>
      </w:tr>
      <w:tr>
        <w:trPr>
          <w:trHeight w:val="350"/>
        </w:trPr>
        <w:tc>
          <w:tcPr>
            <w:tcW w:w="4640" w:type="dxa"/>
            <w:vAlign w:val="bottom"/>
            <w:gridSpan w:val="3"/>
          </w:tcPr>
          <w:p>
            <w:pPr>
              <w:spacing w:after="0"/>
              <w:rPr>
                <w:sz w:val="20"/>
                <w:szCs w:val="20"/>
                <w:color w:val="auto"/>
              </w:rPr>
            </w:pPr>
            <w:r>
              <w:rPr>
                <w:rFonts w:ascii="Arial" w:cs="Arial" w:eastAsia="Arial" w:hAnsi="Arial"/>
                <w:sz w:val="18"/>
                <w:szCs w:val="18"/>
                <w:color w:val="auto"/>
              </w:rPr>
              <w:t>Proposal No. 6 – Incentive Equity Plan Proposal</w:t>
            </w: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64"/>
        </w:trPr>
        <w:tc>
          <w:tcPr>
            <w:tcW w:w="46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For</w:t>
            </w:r>
          </w:p>
        </w:tc>
        <w:tc>
          <w:tcPr>
            <w:tcW w:w="3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Against</w:t>
            </w:r>
          </w:p>
        </w:tc>
        <w:tc>
          <w:tcPr>
            <w:tcW w:w="3460" w:type="dxa"/>
            <w:vAlign w:val="bottom"/>
          </w:tcPr>
          <w:p>
            <w:pPr>
              <w:ind w:left="1420"/>
              <w:spacing w:after="0"/>
              <w:rPr>
                <w:sz w:val="20"/>
                <w:szCs w:val="20"/>
                <w:color w:val="auto"/>
              </w:rPr>
            </w:pPr>
            <w:r>
              <w:rPr>
                <w:rFonts w:ascii="Arial" w:cs="Arial" w:eastAsia="Arial" w:hAnsi="Arial"/>
                <w:sz w:val="18"/>
                <w:szCs w:val="18"/>
                <w:b w:val="1"/>
                <w:bCs w:val="1"/>
                <w:color w:val="auto"/>
              </w:rPr>
              <w:t>Abstain</w:t>
            </w:r>
          </w:p>
        </w:tc>
      </w:tr>
      <w:tr>
        <w:trPr>
          <w:trHeight w:val="224"/>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22,721,481</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89"/>
              </w:rPr>
              <w:t>1,668,727</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20,397</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391" w:gutter="0" w:footer="0" w:header="0"/>
        </w:sectPr>
      </w:pPr>
    </w:p>
    <w:bookmarkStart w:id="2" w:name="page3"/>
    <w:bookmarkEnd w:id="2"/>
    <w:p>
      <w:pPr>
        <w:ind w:right="60"/>
        <w:spacing w:after="0" w:line="277" w:lineRule="auto"/>
        <w:rPr>
          <w:sz w:val="20"/>
          <w:szCs w:val="20"/>
          <w:color w:val="auto"/>
        </w:rPr>
      </w:pPr>
      <w:r>
        <w:rPr>
          <w:rFonts w:ascii="Arial" w:cs="Arial" w:eastAsia="Arial" w:hAnsi="Arial"/>
          <w:sz w:val="18"/>
          <w:szCs w:val="18"/>
          <w:color w:val="auto"/>
        </w:rPr>
        <w:t>As there were sufficient votes to approve the above proposals, the “Adjournment Proposal” described in the Proxy Statement/Prospectus was not presented to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on the results of the Meeting, and subject to the satisfaction or waiver of certain other closing conditions as described in the Proxy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the transactions (the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 contemplated by that certain Business Combination Agreement, dated as of March 4, 2021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Combination Agreement</w:t>
      </w:r>
      <w:r>
        <w:rPr>
          <w:rFonts w:ascii="Arial" w:cs="Arial" w:eastAsia="Arial" w:hAnsi="Arial"/>
          <w:sz w:val="17"/>
          <w:szCs w:val="17"/>
          <w:color w:val="auto"/>
        </w:rPr>
        <w:t>”), by and among the Company, 1291924 B.C. Unlimited Liability Company and DeepGreen Metals,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DeepGreen</w:t>
      </w:r>
      <w:r>
        <w:rPr>
          <w:rFonts w:ascii="Arial" w:cs="Arial" w:eastAsia="Arial" w:hAnsi="Arial"/>
          <w:sz w:val="16"/>
          <w:szCs w:val="16"/>
          <w:color w:val="auto"/>
        </w:rPr>
        <w:t>”) are expected to close as promptly as reasonably practicable, but in no event later than the third business day following the satisfaction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waiver) of the closing conditions set forth in the Business Combination Agreement. Following the consummation of the Transactions, the common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warrants of TMC (as such term is defined in the Proxy Statement/Prospectus) are expected to begin trading on the Nasdaq Global Select Market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symbols “TMC” and “TMCWW,”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September 7, 2021, the Company and DeepGreen issued a joint press release announcing voting results related to the Meeting. A copy of the press release is furnished with this Form 8-K as Exhibit 99.1.</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contained in this Current Report on Form 8-K pursuant to this Item 7.01, including the exhibits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Securities Exchange Act of 1934, as amended,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SOAC’s ability to enforce the obligations of non-performing investors under subscription agreements entered into with SOAC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SOAC’s Annual Report on Form 10-K, as amended, and the Proxy Statement/Prospectus,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920" w:type="dxa"/>
            <w:vAlign w:val="bottom"/>
            <w:tcBorders>
              <w:top w:val="single" w:sz="8" w:color="auto"/>
              <w:bottom w:val="single" w:sz="8" w:color="0000EE"/>
            </w:tcBorders>
            <w:shd w:val="clear" w:color="auto" w:fill="CCEEFF"/>
          </w:tcPr>
          <w:p>
            <w:pPr>
              <w:ind w:left="20"/>
              <w:spacing w:after="0" w:line="17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Press Release, dated September 7, 2021.</w:t>
              </w:r>
            </w:hyperlink>
          </w:p>
        </w:tc>
        <w:tc>
          <w:tcPr>
            <w:tcW w:w="70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8"/>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gridSpan w:val="2"/>
          </w:tcPr>
          <w:p>
            <w:pPr>
              <w:jc w:val="right"/>
              <w:ind w:right="5560"/>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Dated: September 7, 2021</w:t>
            </w:r>
          </w:p>
        </w:tc>
        <w:tc>
          <w:tcPr>
            <w:tcW w:w="7520" w:type="dxa"/>
            <w:vAlign w:val="bottom"/>
            <w:gridSpan w:val="2"/>
          </w:tcPr>
          <w:p>
            <w:pPr>
              <w:ind w:left="3040"/>
              <w:spacing w:after="0"/>
              <w:rPr>
                <w:sz w:val="20"/>
                <w:szCs w:val="20"/>
                <w:color w:val="auto"/>
              </w:rPr>
            </w:pPr>
            <w:r>
              <w:rPr>
                <w:rFonts w:ascii="Arial" w:cs="Arial" w:eastAsia="Arial" w:hAnsi="Arial"/>
                <w:sz w:val="18"/>
                <w:szCs w:val="18"/>
                <w:b w:val="1"/>
                <w:bCs w:val="1"/>
                <w:color w:val="auto"/>
              </w:rPr>
              <w:t>SUSTAINABLE OPPORTUNITIES ACQUISITION</w:t>
            </w:r>
          </w:p>
        </w:tc>
      </w:tr>
      <w:tr>
        <w:trPr>
          <w:trHeight w:val="234"/>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Arial" w:cs="Arial" w:eastAsia="Arial" w:hAnsi="Arial"/>
                <w:sz w:val="18"/>
                <w:szCs w:val="18"/>
                <w:b w:val="1"/>
                <w:bCs w:val="1"/>
                <w:color w:val="auto"/>
                <w:w w:val="94"/>
              </w:rPr>
              <w:t>CORP.</w:t>
            </w:r>
          </w:p>
        </w:tc>
        <w:tc>
          <w:tcPr>
            <w:tcW w:w="392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3600" w:type="dxa"/>
            <w:vAlign w:val="bottom"/>
          </w:tcPr>
          <w:p>
            <w:pPr>
              <w:ind w:left="30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195"/>
        </w:trPr>
        <w:tc>
          <w:tcPr>
            <w:tcW w:w="3720" w:type="dxa"/>
            <w:vAlign w:val="bottom"/>
          </w:tcPr>
          <w:p>
            <w:pPr>
              <w:spacing w:after="0"/>
              <w:rPr>
                <w:sz w:val="16"/>
                <w:szCs w:val="16"/>
                <w:color w:val="auto"/>
              </w:rPr>
            </w:pPr>
          </w:p>
        </w:tc>
        <w:tc>
          <w:tcPr>
            <w:tcW w:w="3600" w:type="dxa"/>
            <w:vAlign w:val="bottom"/>
          </w:tcPr>
          <w:p>
            <w:pPr>
              <w:ind w:left="30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Scott Leonard</w:t>
            </w:r>
          </w:p>
        </w:tc>
      </w:tr>
      <w:tr>
        <w:trPr>
          <w:trHeight w:val="230"/>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of Sustainable Opportunities Acquisition Corp. Approve Business Combination at Extraordinary General Meeting</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DALLAS, Texas &amp; VANCOUVER, British Columbia – September 7, 2021 </w:t>
      </w:r>
      <w:r>
        <w:rPr>
          <w:rFonts w:ascii="Arial" w:cs="Arial" w:eastAsia="Arial" w:hAnsi="Arial"/>
          <w:sz w:val="17"/>
          <w:szCs w:val="17"/>
          <w:color w:val="auto"/>
        </w:rPr>
        <w:t>- DeepGreen Metals, Inc. (DeepGreen), an explorer of lower-impact battery</w:t>
      </w:r>
      <w:r>
        <w:rPr>
          <w:rFonts w:ascii="Arial" w:cs="Arial" w:eastAsia="Arial" w:hAnsi="Arial"/>
          <w:sz w:val="17"/>
          <w:szCs w:val="17"/>
          <w:i w:val="1"/>
          <w:iCs w:val="1"/>
          <w:color w:val="auto"/>
        </w:rPr>
        <w:t xml:space="preserve"> </w:t>
      </w:r>
      <w:r>
        <w:rPr>
          <w:rFonts w:ascii="Arial" w:cs="Arial" w:eastAsia="Arial" w:hAnsi="Arial"/>
          <w:sz w:val="17"/>
          <w:szCs w:val="17"/>
          <w:color w:val="auto"/>
        </w:rPr>
        <w:t>metals from seafloor polymetallic nodules, and Sustainable Opportunities Acquisition Corporation (NYSE: SOAC) (SOAC), a special purpose acquisition company with a dedicated ESG focus, announced today that at the SOAC extraordinary general meeting held on September 3, 2021, SOAC’s shareholders approved their previously announced business combination to create TMC the metals company Inc. (“The Metals Company” or “TMC”). The transaction is expected to close as promptly as reasonably practicable, but in no event later than the third business day following the satisfaction (or waiver) of the closing conditions set forth in the Business Combination Agreement (BCA) between SOAC and DeepGreen.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closing of the transaction, TMC expects to receive approximately $137.3 million in cash prior to transaction fees, including approximately $27.2 million of proceeds that will be distributed from the SOAC trust account after accounting for redemptions. In connection with the initial announcement of the transaction in March 2021 and the entry into the BCA with DeepGreen, SOAC entered into subscription agreements with a number of strategic and institutional investors for a $330.3 million private placement of SOAC Class A ordinary shares; however, only approximately $110.1 million of proceeds from the private placement were received as of the date hereof. SOAC intends to continue to seek to enforce the funding obligations of the non-performing investors under the subscription agreements, but there can be no assurances that it will be successful in those efforts. DeepGreen intends to waive the BCA’s condition to closing that the Aggregate Transaction Proceeds (as defined in the BCA) shall be equal to or greater than $250 million.</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DeepGreen team remains focused on delivering value to the combined company’s shareholders by advancing towards commercial production from its resources of battery metals. With the expected proceeds, DeepGreen believes that the combined company will have the funding required to reach its previously stated key milestone of permitting to advance commencement of commercial production which includes, but is not limited to, completion of its nodule processing and refining pilot plant program, completion and submission of its Environmental Impact Assessment, construction and deployment of its pilot nodule collection system, and most significantly, submission of an application for an exploitation contract for its NORI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The Metals Company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TMC the metals company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More information is available at www.metals.co.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Sustainable Opportunities Acquisition Corporation is a SPAC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 For more information, visit greenspac.com.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TMC’s expectations with respect to future performance, development of its estimated resources of battery metals, potential regulatory approvals, and anticipated financial impacts and other effects of the Business Combination, its ability to enforce the obligations of non-performing investors under subscription agreements entered into with SOAC, and the size and potential growth of current or future markets for TMC’s supply of battery metals.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the inability to maintain the listing of TMC’s shares on Nasdaq following the Business Combination; the ability to recognize the anticipated benefits of the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proxy statement/prospectus relating to the Business Combination, including those under “Risk Factors” therein, and in other filings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Metals Company (formerly DeepGreen)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media@metals.co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Chelsea Lauber | Antenna Group | tmc@antennagroup.com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investors@metals.co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Sustainable Opportunities Acquisition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Jackie Tilden | +1 (214) 914 7652 | jackie.tilden@soa-corp.com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Cody Slach, Tom Colton | Gateway Group | +1 (949) 574-3860 | SOAC@gatewayir.com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2021-09-07T08:41:38Z</dcterms:created>
  <dcterms:modified xsi:type="dcterms:W3CDTF">2021-09-07T08:41:38Z</dcterms:modified>
</cp:coreProperties>
</file>