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260" w:type="dxa"/>
        <w:tblCellMar>
          <w:top w:w="0" w:type="dxa"/>
          <w:left w:w="0" w:type="dxa"/>
          <w:bottom w:w="0" w:type="dxa"/>
          <w:right w:w="0" w:type="dxa"/>
        </w:tblCellMar>
      </w:tblPr>
      <w:tr>
        <w:trPr>
          <w:trHeight w:val="250"/>
        </w:trPr>
        <w:tc>
          <w:tcPr>
            <w:tcW w:w="5180" w:type="dxa"/>
            <w:vAlign w:val="bottom"/>
            <w:tcBorders>
              <w:right w:val="single" w:sz="8" w:color="auto"/>
            </w:tcBorders>
            <w:vMerge w:val="restart"/>
          </w:tcPr>
          <w:p>
            <w:pPr>
              <w:jc w:val="center"/>
              <w:ind w:right="366"/>
              <w:spacing w:after="0"/>
              <w:rPr>
                <w:sz w:val="20"/>
                <w:szCs w:val="20"/>
                <w:color w:val="auto"/>
              </w:rPr>
            </w:pPr>
            <w:r>
              <w:rPr>
                <w:rFonts w:ascii="Arial" w:cs="Arial" w:eastAsia="Arial" w:hAnsi="Arial"/>
                <w:sz w:val="22"/>
                <w:szCs w:val="22"/>
                <w:b w:val="1"/>
                <w:bCs w:val="1"/>
                <w:color w:val="auto"/>
                <w:w w:val="96"/>
              </w:rPr>
              <w:t>UNITED STATES</w:t>
            </w:r>
          </w:p>
        </w:tc>
        <w:tc>
          <w:tcPr>
            <w:tcW w:w="280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02"/>
        </w:trPr>
        <w:tc>
          <w:tcPr>
            <w:tcW w:w="5180" w:type="dxa"/>
            <w:vAlign w:val="bottom"/>
            <w:tcBorders>
              <w:right w:val="single" w:sz="8" w:color="auto"/>
            </w:tcBorders>
            <w:vMerge w:val="continue"/>
          </w:tcPr>
          <w:p>
            <w:pPr>
              <w:spacing w:after="0"/>
              <w:rPr>
                <w:sz w:val="17"/>
                <w:szCs w:val="17"/>
                <w:color w:val="auto"/>
              </w:rPr>
            </w:pPr>
          </w:p>
        </w:tc>
        <w:tc>
          <w:tcPr>
            <w:tcW w:w="1540" w:type="dxa"/>
            <w:vAlign w:val="bottom"/>
          </w:tcPr>
          <w:p>
            <w:pPr>
              <w:spacing w:after="0" w:line="202" w:lineRule="exact"/>
              <w:rPr>
                <w:sz w:val="20"/>
                <w:szCs w:val="20"/>
                <w:color w:val="auto"/>
              </w:rPr>
            </w:pPr>
            <w:r>
              <w:rPr>
                <w:rFonts w:ascii="Arial" w:cs="Arial" w:eastAsia="Arial" w:hAnsi="Arial"/>
                <w:sz w:val="18"/>
                <w:szCs w:val="18"/>
                <w:color w:val="auto"/>
              </w:rPr>
              <w:t>OMB Number:</w:t>
            </w:r>
          </w:p>
        </w:tc>
        <w:tc>
          <w:tcPr>
            <w:tcW w:w="12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3235-0080</w:t>
            </w:r>
          </w:p>
        </w:tc>
        <w:tc>
          <w:tcPr>
            <w:tcW w:w="0" w:type="dxa"/>
            <w:vAlign w:val="bottom"/>
          </w:tcPr>
          <w:p>
            <w:pPr>
              <w:spacing w:after="0"/>
              <w:rPr>
                <w:sz w:val="1"/>
                <w:szCs w:val="1"/>
                <w:color w:val="auto"/>
              </w:rPr>
            </w:pPr>
          </w:p>
        </w:tc>
      </w:tr>
      <w:tr>
        <w:trPr>
          <w:trHeight w:val="252"/>
        </w:trPr>
        <w:tc>
          <w:tcPr>
            <w:tcW w:w="5180" w:type="dxa"/>
            <w:vAlign w:val="bottom"/>
            <w:tcBorders>
              <w:right w:val="single" w:sz="8" w:color="auto"/>
            </w:tcBorders>
          </w:tcPr>
          <w:p>
            <w:pPr>
              <w:jc w:val="center"/>
              <w:ind w:right="366"/>
              <w:spacing w:after="0"/>
              <w:rPr>
                <w:sz w:val="20"/>
                <w:szCs w:val="20"/>
                <w:color w:val="auto"/>
              </w:rPr>
            </w:pPr>
            <w:r>
              <w:rPr>
                <w:rFonts w:ascii="Arial" w:cs="Arial" w:eastAsia="Arial" w:hAnsi="Arial"/>
                <w:sz w:val="22"/>
                <w:szCs w:val="22"/>
                <w:b w:val="1"/>
                <w:bCs w:val="1"/>
                <w:color w:val="auto"/>
                <w:w w:val="99"/>
              </w:rPr>
              <w:t>SECURITIES AND EXCHANGE COMMISSION</w:t>
            </w:r>
          </w:p>
        </w:tc>
        <w:tc>
          <w:tcPr>
            <w:tcW w:w="1540" w:type="dxa"/>
            <w:vAlign w:val="bottom"/>
          </w:tcPr>
          <w:p>
            <w:pPr>
              <w:spacing w:after="0"/>
              <w:rPr>
                <w:sz w:val="20"/>
                <w:szCs w:val="20"/>
                <w:color w:val="auto"/>
              </w:rPr>
            </w:pPr>
            <w:r>
              <w:rPr>
                <w:rFonts w:ascii="Arial" w:cs="Arial" w:eastAsia="Arial" w:hAnsi="Arial"/>
                <w:sz w:val="18"/>
                <w:szCs w:val="18"/>
                <w:color w:val="auto"/>
              </w:rPr>
              <w:t>Expires:</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May 31, 2024</w:t>
            </w:r>
          </w:p>
        </w:tc>
        <w:tc>
          <w:tcPr>
            <w:tcW w:w="0" w:type="dxa"/>
            <w:vAlign w:val="bottom"/>
          </w:tcPr>
          <w:p>
            <w:pPr>
              <w:spacing w:after="0"/>
              <w:rPr>
                <w:sz w:val="1"/>
                <w:szCs w:val="1"/>
                <w:color w:val="auto"/>
              </w:rPr>
            </w:pPr>
          </w:p>
        </w:tc>
      </w:tr>
      <w:tr>
        <w:trPr>
          <w:trHeight w:val="220"/>
        </w:trPr>
        <w:tc>
          <w:tcPr>
            <w:tcW w:w="5180" w:type="dxa"/>
            <w:vAlign w:val="bottom"/>
            <w:tcBorders>
              <w:right w:val="single" w:sz="8" w:color="auto"/>
            </w:tcBorders>
          </w:tcPr>
          <w:p>
            <w:pPr>
              <w:jc w:val="center"/>
              <w:ind w:right="386"/>
              <w:spacing w:after="0"/>
              <w:rPr>
                <w:sz w:val="20"/>
                <w:szCs w:val="20"/>
                <w:color w:val="auto"/>
              </w:rPr>
            </w:pPr>
            <w:r>
              <w:rPr>
                <w:rFonts w:ascii="Arial" w:cs="Arial" w:eastAsia="Arial" w:hAnsi="Arial"/>
                <w:sz w:val="18"/>
                <w:szCs w:val="18"/>
                <w:b w:val="1"/>
                <w:bCs w:val="1"/>
                <w:color w:val="auto"/>
                <w:w w:val="90"/>
              </w:rPr>
              <w:t>Washington, D. C. 20549</w:t>
            </w:r>
          </w:p>
        </w:tc>
        <w:tc>
          <w:tcPr>
            <w:tcW w:w="1540" w:type="dxa"/>
            <w:vAlign w:val="bottom"/>
          </w:tcPr>
          <w:p>
            <w:pPr>
              <w:spacing w:after="0"/>
              <w:rPr>
                <w:sz w:val="20"/>
                <w:szCs w:val="20"/>
                <w:color w:val="auto"/>
              </w:rPr>
            </w:pPr>
            <w:r>
              <w:rPr>
                <w:rFonts w:ascii="Arial" w:cs="Arial" w:eastAsia="Arial" w:hAnsi="Arial"/>
                <w:sz w:val="18"/>
                <w:szCs w:val="18"/>
                <w:color w:val="auto"/>
              </w:rPr>
              <w:t>Estimated average</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80" w:type="dxa"/>
            <w:vAlign w:val="bottom"/>
            <w:tcBorders>
              <w:right w:val="single" w:sz="8" w:color="auto"/>
            </w:tcBorders>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burden hours per</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Borders>
              <w:right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response</w:t>
            </w: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jc w:val="center"/>
              <w:ind w:right="346"/>
              <w:spacing w:after="0"/>
              <w:rPr>
                <w:sz w:val="20"/>
                <w:szCs w:val="20"/>
                <w:color w:val="auto"/>
              </w:rPr>
            </w:pPr>
            <w:r>
              <w:rPr>
                <w:rFonts w:ascii="Arial" w:cs="Arial" w:eastAsia="Arial" w:hAnsi="Arial"/>
                <w:sz w:val="18"/>
                <w:szCs w:val="18"/>
                <w:b w:val="1"/>
                <w:bCs w:val="1"/>
                <w:color w:val="auto"/>
                <w:w w:val="99"/>
              </w:rPr>
              <w:t>FORM 25</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180" w:type="dxa"/>
            <w:vAlign w:val="bottom"/>
          </w:tcPr>
          <w:p>
            <w:pPr>
              <w:jc w:val="center"/>
              <w:ind w:right="346"/>
              <w:spacing w:after="0"/>
              <w:rPr>
                <w:sz w:val="20"/>
                <w:szCs w:val="20"/>
                <w:color w:val="auto"/>
              </w:rPr>
            </w:pPr>
            <w:r>
              <w:rPr>
                <w:rFonts w:ascii="Arial" w:cs="Arial" w:eastAsia="Arial" w:hAnsi="Arial"/>
                <w:sz w:val="18"/>
                <w:szCs w:val="18"/>
                <w:b w:val="1"/>
                <w:bCs w:val="1"/>
                <w:color w:val="auto"/>
              </w:rPr>
              <w:t>NOTIFICATION OF REMOVAL FROM LISTING AND/OR</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jc w:val="center"/>
              <w:ind w:right="366"/>
              <w:spacing w:after="0"/>
              <w:rPr>
                <w:sz w:val="20"/>
                <w:szCs w:val="20"/>
                <w:color w:val="auto"/>
              </w:rPr>
            </w:pPr>
            <w:r>
              <w:rPr>
                <w:rFonts w:ascii="Arial" w:cs="Arial" w:eastAsia="Arial" w:hAnsi="Arial"/>
                <w:sz w:val="18"/>
                <w:szCs w:val="18"/>
                <w:b w:val="1"/>
                <w:bCs w:val="1"/>
                <w:color w:val="auto"/>
                <w:w w:val="99"/>
              </w:rPr>
              <w:t>REGISTRATION UNDER SECTION 12(b) OF THE</w:t>
            </w: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jc w:val="center"/>
              <w:ind w:right="346"/>
              <w:spacing w:after="0"/>
              <w:rPr>
                <w:sz w:val="20"/>
                <w:szCs w:val="20"/>
                <w:color w:val="auto"/>
              </w:rPr>
            </w:pPr>
            <w:r>
              <w:rPr>
                <w:rFonts w:ascii="Arial" w:cs="Arial" w:eastAsia="Arial" w:hAnsi="Arial"/>
                <w:sz w:val="18"/>
                <w:szCs w:val="18"/>
                <w:b w:val="1"/>
                <w:bCs w:val="1"/>
                <w:color w:val="auto"/>
                <w:w w:val="99"/>
              </w:rPr>
              <w:t>SECURITIES EXCHANGE ACT OF 1934.</w:t>
            </w: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jc w:val="center"/>
              <w:ind w:right="366"/>
              <w:spacing w:after="0"/>
              <w:rPr>
                <w:sz w:val="20"/>
                <w:szCs w:val="20"/>
                <w:color w:val="auto"/>
              </w:rPr>
            </w:pPr>
            <w:r>
              <w:rPr>
                <w:rFonts w:ascii="Arial" w:cs="Arial" w:eastAsia="Arial" w:hAnsi="Arial"/>
                <w:sz w:val="18"/>
                <w:szCs w:val="18"/>
                <w:b w:val="1"/>
                <w:bCs w:val="1"/>
                <w:color w:val="auto"/>
                <w:w w:val="90"/>
              </w:rPr>
              <w:t>Commission File Number 001-39281</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SUSTAINABLE OPPORTUNITIES ACQUISITION CORP.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NEW YORK STOCK EXCHANGE</w:t>
      </w:r>
    </w:p>
    <w:p>
      <w:pPr>
        <w:jc w:val="center"/>
        <w:spacing w:after="0"/>
        <w:rPr>
          <w:sz w:val="20"/>
          <w:szCs w:val="20"/>
          <w:color w:val="auto"/>
        </w:rPr>
      </w:pPr>
      <w:r>
        <w:rPr>
          <w:rFonts w:ascii="Arial" w:cs="Arial" w:eastAsia="Arial" w:hAnsi="Arial"/>
          <w:sz w:val="18"/>
          <w:szCs w:val="18"/>
          <w:color w:val="auto"/>
        </w:rPr>
        <w:t>(Exact name of Issuer as specified in its charter, and name of Exchange where security is listed and/or registered)</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Issuer’s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Units, each consisting of one Class A Ordinary Share and one-half of one Warrant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Ordinary Shares, $0.0001 par value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each whole warrant exercisable for one Class A Ordinary Share at an exercise price of $11.50 per share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(Description of class of securities)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225" w:lineRule="exact"/>
        <w:rPr>
          <w:rFonts w:ascii="MS PGothic" w:cs="MS PGothic" w:eastAsia="MS PGothic" w:hAnsi="MS PGothic"/>
          <w:sz w:val="18"/>
          <w:szCs w:val="18"/>
          <w:color w:val="auto"/>
        </w:rPr>
      </w:pPr>
    </w:p>
    <w:p>
      <w:pPr>
        <w:ind w:left="660" w:right="720" w:hanging="328"/>
        <w:spacing w:after="0" w:line="289"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29"/>
          <w:szCs w:val="29"/>
          <w:color w:val="auto"/>
          <w:vertAlign w:val="superscript"/>
        </w:rPr>
        <w:t>1</w:t>
      </w:r>
    </w:p>
    <w:p>
      <w:pPr>
        <w:spacing w:after="0" w:line="38" w:lineRule="exact"/>
        <w:rPr>
          <w:sz w:val="24"/>
          <w:szCs w:val="24"/>
          <w:color w:val="auto"/>
        </w:rPr>
      </w:pPr>
    </w:p>
    <w:p>
      <w:pPr>
        <w:ind w:left="660" w:right="620" w:hanging="328"/>
        <w:spacing w:after="0" w:line="277" w:lineRule="auto"/>
        <w:tabs>
          <w:tab w:leader="none" w:pos="68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Pursuant to the requirements of the Securities Exchange Act of 1934, Sustainable Opportunities Acquisition Corp. certifies that it has reasonable grounds to believe that it meets all of the requirements for filing the Form 25 and has caused this notification to be signed on its behalf by the undersigned duly authorized person.</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100" w:type="dxa"/>
            <w:vAlign w:val="bottom"/>
          </w:tcPr>
          <w:p>
            <w:pPr>
              <w:spacing w:after="0"/>
              <w:rPr>
                <w:sz w:val="20"/>
                <w:szCs w:val="20"/>
                <w:color w:val="auto"/>
              </w:rPr>
            </w:pPr>
            <w:r>
              <w:rPr>
                <w:rFonts w:ascii="Arial" w:cs="Arial" w:eastAsia="Arial" w:hAnsi="Arial"/>
                <w:sz w:val="18"/>
                <w:szCs w:val="18"/>
                <w:color w:val="auto"/>
              </w:rPr>
              <w:t>Date:  September 9, 2021</w:t>
            </w: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c>
          <w:tcPr>
            <w:tcW w:w="3220" w:type="dxa"/>
            <w:vAlign w:val="bottom"/>
          </w:tcPr>
          <w:p>
            <w:pPr>
              <w:ind w:left="120"/>
              <w:spacing w:after="0"/>
              <w:rPr>
                <w:sz w:val="20"/>
                <w:szCs w:val="20"/>
                <w:color w:val="auto"/>
              </w:rPr>
            </w:pPr>
            <w:r>
              <w:rPr>
                <w:rFonts w:ascii="Arial" w:cs="Arial" w:eastAsia="Arial" w:hAnsi="Arial"/>
                <w:sz w:val="18"/>
                <w:szCs w:val="18"/>
                <w:color w:val="auto"/>
                <w:w w:val="93"/>
              </w:rPr>
              <w:t>Title: Chief Executive Officer and Director</w:t>
            </w:r>
          </w:p>
        </w:tc>
      </w:tr>
      <w:tr>
        <w:trPr>
          <w:trHeight w:val="230"/>
        </w:trPr>
        <w:tc>
          <w:tcPr>
            <w:tcW w:w="2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Scott Leonard</w:t>
            </w:r>
          </w:p>
        </w:tc>
        <w:tc>
          <w:tcPr>
            <w:tcW w:w="32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5" w:lineRule="exact"/>
        <w:rPr>
          <w:sz w:val="24"/>
          <w:szCs w:val="24"/>
          <w:color w:val="auto"/>
        </w:rPr>
      </w:pPr>
    </w:p>
    <w:p>
      <w:pPr>
        <w:ind w:left="340" w:hanging="332"/>
        <w:spacing w:after="0"/>
        <w:tabs>
          <w:tab w:leader="none" w:pos="34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Form 25 and attached Notice will be considered compliance with the provisions of 17 CFR 240.19d-1 as applicable. See General Instructions.</w:t>
      </w:r>
    </w:p>
    <w:sectPr>
      <w:pgSz w:w="11900" w:h="16838" w:orient="portrait"/>
      <w:cols w:equalWidth="0" w:num="1">
        <w:col w:w="11240"/>
      </w:cols>
      <w:pgMar w:left="320" w:top="5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2021-09-09T15:10:27Z</dcterms:created>
  <dcterms:modified xsi:type="dcterms:W3CDTF">2021-09-09T15:10:27Z</dcterms:modified>
</cp:coreProperties>
</file>