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12(b) OR 12(g)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1740"/>
        <w:spacing w:after="0"/>
        <w:tabs>
          <w:tab w:leader="none" w:pos="7900" w:val="left"/>
        </w:tabs>
        <w:rPr>
          <w:sz w:val="20"/>
          <w:szCs w:val="20"/>
          <w:color w:val="auto"/>
        </w:rPr>
      </w:pPr>
      <w:r>
        <w:rPr>
          <w:rFonts w:ascii="Arial" w:cs="Arial" w:eastAsia="Arial" w:hAnsi="Arial"/>
          <w:sz w:val="18"/>
          <w:szCs w:val="18"/>
          <w:b w:val="1"/>
          <w:bCs w:val="1"/>
          <w:color w:val="auto"/>
        </w:rPr>
        <w:t>British Columbia, Canada</w:t>
      </w:r>
      <w:r>
        <w:rPr>
          <w:sz w:val="20"/>
          <w:szCs w:val="20"/>
          <w:color w:val="auto"/>
        </w:rPr>
        <w:tab/>
      </w: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4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(State of incorporation or organization)</w:t>
      </w:r>
    </w:p>
    <w:p>
      <w:pPr>
        <w:spacing w:after="0" w:line="244"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595 Howe Street, 10th Floor</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Vancouver, British Columbia, Canada</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pacing w:after="0" w:line="222"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V6C 2T5</w:t>
      </w:r>
    </w:p>
    <w:p>
      <w:pPr>
        <w:spacing w:after="0" w:line="54" w:lineRule="exact"/>
        <w:rPr>
          <w:sz w:val="24"/>
          <w:szCs w:val="24"/>
          <w:color w:val="auto"/>
        </w:rPr>
      </w:pPr>
    </w:p>
    <w:p>
      <w:pPr>
        <w:sectPr>
          <w:pgSz w:w="11900" w:h="16838" w:orient="portrait"/>
          <w:cols w:equalWidth="0" w:num="2">
            <w:col w:w="6460" w:space="720"/>
            <w:col w:w="406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520" w:type="dxa"/>
            <w:vAlign w:val="bottom"/>
            <w:tcBorders>
              <w:top w:val="single" w:sz="8" w:color="auto"/>
            </w:tcBorders>
            <w:gridSpan w:val="2"/>
          </w:tcPr>
          <w:p>
            <w:pPr>
              <w:ind w:left="1300"/>
              <w:spacing w:after="0"/>
              <w:rPr>
                <w:sz w:val="20"/>
                <w:szCs w:val="20"/>
                <w:color w:val="auto"/>
              </w:rPr>
            </w:pPr>
            <w:r>
              <w:rPr>
                <w:rFonts w:ascii="Arial" w:cs="Arial" w:eastAsia="Arial" w:hAnsi="Arial"/>
                <w:sz w:val="18"/>
                <w:szCs w:val="18"/>
                <w:color w:val="auto"/>
              </w:rPr>
              <w:t>(Address of Principal Executive Offices)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2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(Zip Code)</w:t>
            </w:r>
          </w:p>
        </w:tc>
      </w:tr>
      <w:tr>
        <w:trPr>
          <w:trHeight w:val="209"/>
        </w:trPr>
        <w:tc>
          <w:tcPr>
            <w:tcW w:w="422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20" w:type="dxa"/>
            <w:vAlign w:val="bottom"/>
          </w:tcPr>
          <w:p>
            <w:pPr>
              <w:spacing w:after="0"/>
              <w:rPr>
                <w:sz w:val="18"/>
                <w:szCs w:val="18"/>
                <w:color w:val="auto"/>
              </w:rPr>
            </w:pPr>
          </w:p>
        </w:tc>
      </w:tr>
      <w:tr>
        <w:trPr>
          <w:trHeight w:val="446"/>
        </w:trPr>
        <w:tc>
          <w:tcPr>
            <w:tcW w:w="574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18"/>
        </w:trPr>
        <w:tc>
          <w:tcPr>
            <w:tcW w:w="5740" w:type="dxa"/>
            <w:vAlign w:val="bottom"/>
            <w:gridSpan w:val="3"/>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20" w:type="dxa"/>
            <w:vAlign w:val="bottom"/>
          </w:tcPr>
          <w:p>
            <w:pPr>
              <w:jc w:val="center"/>
              <w:ind w:right="1130"/>
              <w:spacing w:after="0"/>
              <w:rPr>
                <w:sz w:val="20"/>
                <w:szCs w:val="20"/>
                <w:color w:val="auto"/>
              </w:rPr>
            </w:pPr>
            <w:r>
              <w:rPr>
                <w:rFonts w:ascii="Arial" w:cs="Arial" w:eastAsia="Arial" w:hAnsi="Arial"/>
                <w:sz w:val="18"/>
                <w:szCs w:val="18"/>
                <w:color w:val="auto"/>
                <w:w w:val="89"/>
              </w:rPr>
              <w:t>Name of each exchange on which</w:t>
            </w:r>
          </w:p>
        </w:tc>
      </w:tr>
      <w:tr>
        <w:trPr>
          <w:trHeight w:val="237"/>
        </w:trPr>
        <w:tc>
          <w:tcPr>
            <w:tcW w:w="5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to be so registered</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center"/>
              <w:ind w:right="1090"/>
              <w:spacing w:after="0"/>
              <w:rPr>
                <w:sz w:val="20"/>
                <w:szCs w:val="20"/>
                <w:color w:val="auto"/>
              </w:rPr>
            </w:pPr>
            <w:r>
              <w:rPr>
                <w:rFonts w:ascii="Arial" w:cs="Arial" w:eastAsia="Arial" w:hAnsi="Arial"/>
                <w:sz w:val="18"/>
                <w:szCs w:val="18"/>
                <w:color w:val="auto"/>
                <w:w w:val="87"/>
              </w:rPr>
              <w:t>each class is to be registered</w:t>
            </w:r>
          </w:p>
        </w:tc>
      </w:tr>
      <w:tr>
        <w:trPr>
          <w:trHeight w:val="216"/>
        </w:trPr>
        <w:tc>
          <w:tcPr>
            <w:tcW w:w="574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TMC Common Shares without par value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98"/>
        </w:trPr>
        <w:tc>
          <w:tcPr>
            <w:tcW w:w="574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Redeemable warrants, each whole warrant exercisable for one TMC</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20" w:type="dxa"/>
            <w:vAlign w:val="bottom"/>
          </w:tcPr>
          <w:p>
            <w:pPr>
              <w:jc w:val="center"/>
              <w:ind w:right="1090"/>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Common Share, each at an exercise price of $11.50 per share</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 333-255118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securities to be registered hereby are the common shares without par value, and warrants to purchase common shares of TMC the metals company Inc. (f/k/a Sustainable Opportunities Acquisition Corp.) (the “Registrant”). The description of the common shares and warrants set forth under the heading “Description of TMC Securities” in the Registrant’s prospectus forming a part of its Registration Statement on Form S-4 (File No. 333-255118), originally filed with the U.S. Securities and Exchange Commission on April 8, 2021, as thereafter amended and supplemented from time to time (the “Registration Statement”), to which this Form 8-A relates is incorporated by reference herein. Any form of prospectus or prospectus supplement to the Registration Statement that includes such descriptions and that are subsequently filed are hereby also incorporated by reference 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September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Craig Shesky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2021-09-10T05:22:16Z</dcterms:created>
  <dcterms:modified xsi:type="dcterms:W3CDTF">2021-09-10T05:22:16Z</dcterms:modified>
</cp:coreProperties>
</file>