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-10795</wp:posOffset>
            </wp:positionV>
            <wp:extent cx="140970" cy="189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 cy="189865"/>
                    </a:xfrm>
                    <a:prstGeom prst="rect">
                      <a:avLst/>
                    </a:prstGeom>
                    <a:noFill/>
                  </pic:spPr>
                </pic:pic>
              </a:graphicData>
            </a:graphic>
          </wp:anchor>
        </w:drawing>
      </w:r>
    </w:p>
    <w:p>
      <w:pPr>
        <w:jc w:val="both"/>
        <w:ind w:left="340" w:right="340" w:hanging="258"/>
        <w:spacing w:after="0" w:line="181"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-629920</wp:posOffset>
            </wp:positionV>
            <wp:extent cx="5842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024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2475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40" w:space="280"/>
            <w:col w:w="856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vMerge w:val="restart"/>
          </w:tcPr>
          <w:p>
            <w:pPr>
              <w:spacing w:after="0" w:line="239" w:lineRule="exact"/>
              <w:rPr>
                <w:rFonts w:ascii="Arial" w:cs="Arial" w:eastAsia="Arial" w:hAnsi="Arial"/>
                <w:sz w:val="21"/>
                <w:szCs w:val="21"/>
                <w:color w:val="0000EE"/>
                <w:w w:val="92"/>
              </w:rPr>
            </w:pPr>
            <w:hyperlink r:id="rId12">
              <w:r>
                <w:rPr>
                  <w:rFonts w:ascii="Arial" w:cs="Arial" w:eastAsia="Arial" w:hAnsi="Arial"/>
                  <w:sz w:val="21"/>
                  <w:szCs w:val="21"/>
                  <w:color w:val="0000EE"/>
                  <w:w w:val="92"/>
                </w:rPr>
                <w:t>Kelly Justin</w:t>
              </w:r>
            </w:hyperlink>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4"/>
          </w:tcPr>
          <w:p>
            <w:pPr>
              <w:ind w:left="6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TMC the metals Co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880" w:type="dxa"/>
            <w:vAlign w:val="bottom"/>
            <w:tcBorders>
              <w:bottom w:val="single" w:sz="8" w:color="0000EE"/>
            </w:tcBorders>
          </w:tcPr>
          <w:p>
            <w:pPr>
              <w:spacing w:after="0"/>
              <w:rPr>
                <w:sz w:val="2"/>
                <w:szCs w:val="2"/>
                <w:color w:val="auto"/>
              </w:rPr>
            </w:pPr>
          </w:p>
        </w:tc>
        <w:tc>
          <w:tcPr>
            <w:tcW w:w="1740" w:type="dxa"/>
            <w:vAlign w:val="bottom"/>
          </w:tcPr>
          <w:p>
            <w:pPr>
              <w:spacing w:after="0"/>
              <w:rPr>
                <w:sz w:val="2"/>
                <w:szCs w:val="2"/>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380" w:type="dxa"/>
            <w:vAlign w:val="bottom"/>
          </w:tcPr>
          <w:p>
            <w:pPr>
              <w:spacing w:after="0"/>
              <w:rPr>
                <w:sz w:val="2"/>
                <w:szCs w:val="2"/>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000" w:type="dxa"/>
            <w:vAlign w:val="bottom"/>
            <w:tcBorders>
              <w:bottom w:val="single" w:sz="8" w:color="0000EE"/>
            </w:tcBorders>
            <w:vMerge w:val="continue"/>
          </w:tcPr>
          <w:p>
            <w:pPr>
              <w:spacing w:after="0"/>
              <w:rPr>
                <w:sz w:val="5"/>
                <w:szCs w:val="5"/>
                <w:color w:val="auto"/>
              </w:rPr>
            </w:pPr>
          </w:p>
        </w:tc>
        <w:tc>
          <w:tcPr>
            <w:tcW w:w="100" w:type="dxa"/>
            <w:vAlign w:val="bottom"/>
            <w:vMerge w:val="restart"/>
          </w:tcPr>
          <w:p>
            <w:pPr>
              <w:spacing w:after="0"/>
              <w:rPr>
                <w:sz w:val="5"/>
                <w:szCs w:val="5"/>
                <w:color w:val="auto"/>
              </w:rPr>
            </w:pPr>
          </w:p>
        </w:tc>
        <w:tc>
          <w:tcPr>
            <w:tcW w:w="9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38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380" w:type="dxa"/>
            <w:vAlign w:val="bottom"/>
            <w:vMerge w:val="continue"/>
          </w:tcPr>
          <w:p>
            <w:pPr>
              <w:spacing w:after="0"/>
              <w:rPr>
                <w:sz w:val="6"/>
                <w:szCs w:val="6"/>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vMerge w:val="restart"/>
          </w:tcPr>
          <w:p>
            <w:pPr>
              <w:ind w:left="14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3300" w:type="dxa"/>
            <w:vAlign w:val="bottom"/>
            <w:gridSpan w:val="3"/>
            <w:vMerge w:val="restart"/>
          </w:tcPr>
          <w:p>
            <w:pPr>
              <w:ind w:left="1100"/>
              <w:spacing w:after="0"/>
              <w:rPr>
                <w:sz w:val="20"/>
                <w:szCs w:val="20"/>
                <w:color w:val="auto"/>
              </w:rPr>
            </w:pPr>
            <w:r>
              <w:rPr>
                <w:rFonts w:ascii="Arial" w:cs="Arial" w:eastAsia="Arial" w:hAnsi="Arial"/>
                <w:sz w:val="17"/>
                <w:szCs w:val="17"/>
                <w:color w:val="0000FF"/>
              </w:rPr>
              <w:t>Former Director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SUSTAINABLE OPPORTUNITIES</w:t>
            </w:r>
          </w:p>
        </w:tc>
        <w:tc>
          <w:tcPr>
            <w:tcW w:w="2160" w:type="dxa"/>
            <w:vAlign w:val="bottom"/>
            <w:gridSpan w:val="4"/>
            <w:vMerge w:val="restart"/>
          </w:tcPr>
          <w:p>
            <w:pPr>
              <w:ind w:left="140"/>
              <w:spacing w:after="0"/>
              <w:rPr>
                <w:sz w:val="20"/>
                <w:szCs w:val="20"/>
                <w:color w:val="auto"/>
              </w:rPr>
            </w:pPr>
            <w:r>
              <w:rPr>
                <w:rFonts w:ascii="Arial" w:cs="Arial" w:eastAsia="Arial" w:hAnsi="Arial"/>
                <w:sz w:val="17"/>
                <w:szCs w:val="17"/>
                <w:color w:val="0000FF"/>
              </w:rPr>
              <w:t>09/09/2021</w:t>
            </w:r>
          </w:p>
        </w:tc>
        <w:tc>
          <w:tcPr>
            <w:tcW w:w="1740" w:type="dxa"/>
            <w:vAlign w:val="bottom"/>
          </w:tcPr>
          <w:p>
            <w:pPr>
              <w:spacing w:after="0"/>
              <w:rPr>
                <w:sz w:val="10"/>
                <w:szCs w:val="10"/>
                <w:color w:val="auto"/>
              </w:rPr>
            </w:pPr>
          </w:p>
        </w:tc>
        <w:tc>
          <w:tcPr>
            <w:tcW w:w="33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60" w:type="dxa"/>
            <w:vAlign w:val="bottom"/>
            <w:gridSpan w:val="5"/>
            <w:vMerge w:val="continue"/>
          </w:tcPr>
          <w:p>
            <w:pPr>
              <w:spacing w:after="0"/>
              <w:rPr>
                <w:sz w:val="10"/>
                <w:szCs w:val="10"/>
                <w:color w:val="auto"/>
              </w:rPr>
            </w:pPr>
          </w:p>
        </w:tc>
        <w:tc>
          <w:tcPr>
            <w:tcW w:w="2160" w:type="dxa"/>
            <w:vAlign w:val="bottom"/>
            <w:gridSpan w:val="4"/>
            <w:vMerge w:val="continue"/>
          </w:tcPr>
          <w:p>
            <w:pPr>
              <w:spacing w:after="0"/>
              <w:rPr>
                <w:sz w:val="10"/>
                <w:szCs w:val="10"/>
                <w:color w:val="auto"/>
              </w:rPr>
            </w:pPr>
          </w:p>
        </w:tc>
        <w:tc>
          <w:tcPr>
            <w:tcW w:w="17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7"/>
                <w:szCs w:val="17"/>
                <w:color w:val="0000FF"/>
              </w:rPr>
              <w:t>HOLDINGS</w:t>
            </w:r>
          </w:p>
        </w:tc>
        <w:tc>
          <w:tcPr>
            <w:tcW w:w="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Arial" w:cs="Arial" w:eastAsia="Arial" w:hAnsi="Arial"/>
                <w:sz w:val="17"/>
                <w:szCs w:val="17"/>
                <w:color w:val="0000FF"/>
              </w:rPr>
              <w:t>LLC 1601 BRYAN STREET, SUITE 4141</w:t>
            </w: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660" w:type="dxa"/>
            <w:vAlign w:val="bottom"/>
            <w:gridSpan w:val="5"/>
            <w:vMerge w:val="continue"/>
          </w:tcPr>
          <w:p>
            <w:pPr>
              <w:spacing w:after="0"/>
              <w:rPr>
                <w:sz w:val="9"/>
                <w:szCs w:val="9"/>
                <w:color w:val="auto"/>
              </w:rPr>
            </w:pPr>
          </w:p>
        </w:tc>
        <w:tc>
          <w:tcPr>
            <w:tcW w:w="280" w:type="dxa"/>
            <w:vAlign w:val="bottom"/>
            <w:gridSpan w:val="3"/>
            <w:vMerge w:val="restart"/>
          </w:tcPr>
          <w:p>
            <w:pPr>
              <w:ind w:left="140"/>
              <w:spacing w:after="0"/>
              <w:rPr>
                <w:sz w:val="20"/>
                <w:szCs w:val="20"/>
                <w:color w:val="auto"/>
              </w:rPr>
            </w:pPr>
            <w:r>
              <w:rPr>
                <w:rFonts w:ascii="Arial" w:cs="Arial" w:eastAsia="Arial" w:hAnsi="Arial"/>
                <w:sz w:val="13"/>
                <w:szCs w:val="13"/>
                <w:color w:val="auto"/>
              </w:rPr>
              <w:t>4.</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80" w:type="dxa"/>
            <w:vAlign w:val="bottom"/>
            <w:gridSpan w:val="3"/>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3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2" w:right="359" w:bottom="1440" w:gutter="0" w:footer="0" w:header="0"/>
          <w:type w:val="continuous"/>
        </w:sectPr>
      </w:pP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8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75201</w:t>
            </w:r>
          </w:p>
        </w:tc>
      </w:tr>
      <w:tr>
        <w:trPr>
          <w:trHeight w:val="150"/>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left="328" w:hanging="328"/>
        <w:spacing w:after="0"/>
        <w:tabs>
          <w:tab w:leader="none" w:pos="328" w:val="left"/>
        </w:tabs>
        <w:numPr>
          <w:ilvl w:val="0"/>
          <w:numId w:val="2"/>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8" w:lineRule="exact"/>
        <w:rPr>
          <w:rFonts w:ascii="Arial" w:cs="Arial" w:eastAsia="Arial" w:hAnsi="Arial"/>
          <w:sz w:val="17"/>
          <w:szCs w:val="17"/>
          <w:color w:val="0000FF"/>
        </w:rPr>
      </w:pPr>
    </w:p>
    <w:p>
      <w:pPr>
        <w:ind w:left="328" w:right="560"/>
        <w:spacing w:after="0" w:line="239"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7" w:lineRule="exact"/>
        <w:rPr>
          <w:sz w:val="20"/>
          <w:szCs w:val="20"/>
          <w:color w:val="auto"/>
        </w:rPr>
      </w:pPr>
    </w:p>
    <w:p>
      <w:pPr>
        <w:sectPr>
          <w:pgSz w:w="11900" w:h="16838" w:orient="portrait"/>
          <w:cols w:equalWidth="0" w:num="2">
            <w:col w:w="7212" w:space="720"/>
            <w:col w:w="3148"/>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580" w:type="dxa"/>
            <w:vAlign w:val="bottom"/>
            <w:gridSpan w:val="5"/>
          </w:tcPr>
          <w:p>
            <w:pPr>
              <w:ind w:left="80"/>
              <w:spacing w:after="0" w:line="127"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36"/>
              <w:spacing w:after="0"/>
              <w:rPr>
                <w:sz w:val="20"/>
                <w:szCs w:val="20"/>
                <w:color w:val="auto"/>
              </w:rPr>
            </w:pPr>
            <w:r>
              <w:rPr>
                <w:rFonts w:ascii="Arial" w:cs="Arial" w:eastAsia="Arial" w:hAnsi="Arial"/>
                <w:sz w:val="17"/>
                <w:szCs w:val="17"/>
                <w:color w:val="0000FF"/>
                <w:w w:val="91"/>
              </w:rPr>
              <w:t>09/09/2021</w:t>
            </w:r>
          </w:p>
        </w:tc>
        <w:tc>
          <w:tcPr>
            <w:tcW w:w="9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84"/>
              </w:rPr>
              <w:t>30,000</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9"/>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30,000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9"/>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2"/>
              <w:spacing w:after="0" w:line="130"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92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220"/>
              <w:spacing w:after="0"/>
              <w:rPr>
                <w:sz w:val="20"/>
                <w:szCs w:val="20"/>
                <w:color w:val="auto"/>
              </w:rPr>
            </w:pPr>
            <w:r>
              <w:rPr>
                <w:rFonts w:ascii="Arial" w:cs="Arial" w:eastAsia="Arial" w:hAnsi="Arial"/>
                <w:sz w:val="11"/>
                <w:szCs w:val="11"/>
                <w:color w:val="008000"/>
              </w:rPr>
              <w:t>(1)</w:t>
            </w:r>
          </w:p>
        </w:tc>
        <w:tc>
          <w:tcPr>
            <w:tcW w:w="580" w:type="dxa"/>
            <w:vAlign w:val="bottom"/>
          </w:tcPr>
          <w:p>
            <w:pPr>
              <w:ind w:left="2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jc w:val="right"/>
              <w:ind w:right="19"/>
              <w:spacing w:after="0"/>
              <w:rPr>
                <w:sz w:val="20"/>
                <w:szCs w:val="20"/>
                <w:color w:val="auto"/>
              </w:rPr>
            </w:pPr>
            <w:r>
              <w:rPr>
                <w:rFonts w:ascii="Arial" w:cs="Arial" w:eastAsia="Arial" w:hAnsi="Arial"/>
                <w:sz w:val="17"/>
                <w:szCs w:val="17"/>
                <w:color w:val="0000FF"/>
                <w:w w:val="84"/>
              </w:rPr>
              <w:t>30,000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ordinary</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Arial" w:cs="Arial" w:eastAsia="Arial" w:hAnsi="Arial"/>
                <w:sz w:val="13"/>
                <w:szCs w:val="13"/>
                <w:color w:val="0000FF"/>
              </w:rPr>
              <w:t>09/09/2021</w:t>
            </w:r>
          </w:p>
        </w:tc>
        <w:tc>
          <w:tcPr>
            <w:tcW w:w="1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20" w:type="dxa"/>
            <w:vAlign w:val="bottom"/>
          </w:tcPr>
          <w:p>
            <w:pPr>
              <w:ind w:left="460"/>
              <w:spacing w:after="0" w:line="143" w:lineRule="exact"/>
              <w:rPr>
                <w:sz w:val="20"/>
                <w:szCs w:val="20"/>
                <w:color w:val="auto"/>
              </w:rPr>
            </w:pPr>
            <w:r>
              <w:rPr>
                <w:rFonts w:ascii="Arial" w:cs="Arial" w:eastAsia="Arial" w:hAnsi="Arial"/>
                <w:sz w:val="13"/>
                <w:szCs w:val="13"/>
                <w:color w:val="0000FF"/>
              </w:rPr>
              <w:t>30,000</w:t>
            </w: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80" w:type="dxa"/>
            <w:vAlign w:val="bottom"/>
          </w:tcPr>
          <w:p>
            <w:pPr>
              <w:ind w:left="20"/>
              <w:spacing w:after="0" w:line="143" w:lineRule="exact"/>
              <w:rPr>
                <w:sz w:val="20"/>
                <w:szCs w:val="20"/>
                <w:color w:val="auto"/>
              </w:rPr>
            </w:pPr>
            <w:r>
              <w:rPr>
                <w:rFonts w:ascii="Arial" w:cs="Arial" w:eastAsia="Arial" w:hAnsi="Arial"/>
                <w:sz w:val="13"/>
                <w:szCs w:val="13"/>
                <w:color w:val="0000FF"/>
              </w:rPr>
              <w:t>ordinary</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-2021840</wp:posOffset>
            </wp:positionV>
            <wp:extent cx="29210" cy="2026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692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200" w:firstLine="3"/>
        <w:spacing w:after="0" w:line="251" w:lineRule="auto"/>
        <w:tabs>
          <w:tab w:leader="none" w:pos="17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September 9, 2021, Sustainable Opportunities Acquisition Corp. (the former name of the Issuer), consummated its initial business combination (the "Business Combination") with DeepGreen Metals Inc. In connection with the Business Combination, each Class B ordinary share automatically converted into one common share on a one-for-one basis.</w:t>
      </w:r>
    </w:p>
    <w:p>
      <w:pPr>
        <w:spacing w:after="0" w:line="12"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Scott Leonard as Attorney-</w:t>
            </w:r>
          </w:p>
        </w:tc>
        <w:tc>
          <w:tcPr>
            <w:tcW w:w="18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09/10/2021</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Arial" w:cs="Arial" w:eastAsia="Arial" w:hAnsi="Arial"/>
                <w:sz w:val="17"/>
                <w:szCs w:val="17"/>
                <w:color w:val="0000FF"/>
                <w:w w:val="88"/>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6" w:lineRule="auto"/>
        <w:tabs>
          <w:tab w:leader="none" w:pos="17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8273"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2021-09-10T18:40:02Z</dcterms:created>
  <dcterms:modified xsi:type="dcterms:W3CDTF">2021-09-10T18:40:02Z</dcterms:modified>
</cp:coreProperties>
</file>