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-222250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-595630</wp:posOffset>
            </wp:positionV>
            <wp:extent cx="56515" cy="6089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896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-595630</wp:posOffset>
            </wp:positionV>
            <wp:extent cx="5651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96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17145</wp:posOffset>
            </wp:positionV>
            <wp:extent cx="7000240" cy="824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240" cy="824547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140" w:space="560"/>
            <w:col w:w="8380"/>
          </w:cols>
          <w:pgMar w:left="460" w:top="218"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ILVES Erika</w:t>
        </w:r>
      </w:hyperlink>
    </w:p>
    <w:p>
      <w:pPr>
        <w:spacing w:after="0" w:line="287"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TMC THE METALS COMPANY INC.</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595 HOWE STREET, 10TH FLOOR</w:t>
      </w:r>
    </w:p>
    <w:p>
      <w:pPr>
        <w:spacing w:after="0" w:line="278" w:lineRule="exact"/>
        <w:rPr>
          <w:sz w:val="24"/>
          <w:szCs w:val="24"/>
          <w:color w:val="auto"/>
        </w:rPr>
      </w:pPr>
    </w:p>
    <w:tbl>
      <w:tblPr>
        <w:tblLayout w:type="fixed"/>
        <w:tblInd w:w="80" w:type="dxa"/>
        <w:tblCellMar>
          <w:top w:w="0" w:type="dxa"/>
          <w:left w:w="0" w:type="dxa"/>
          <w:bottom w:w="0" w:type="dxa"/>
          <w:right w:w="0" w:type="dxa"/>
        </w:tblCellMar>
      </w:tblPr>
      <w:tr>
        <w:trPr>
          <w:trHeight w:val="147"/>
        </w:trPr>
        <w:tc>
          <w:tcPr>
            <w:tcW w:w="11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20"/>
        </w:trPr>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6"/>
                <w:szCs w:val="16"/>
                <w:color w:val="0000FF"/>
              </w:rPr>
              <w:t>VANCOUVER</w:t>
            </w:r>
          </w:p>
        </w:tc>
        <w:tc>
          <w:tcPr>
            <w:tcW w:w="920" w:type="dxa"/>
            <w:vAlign w:val="bottom"/>
          </w:tcPr>
          <w:p>
            <w:pPr>
              <w:ind w:left="120"/>
              <w:spacing w:after="0"/>
              <w:rPr>
                <w:sz w:val="20"/>
                <w:szCs w:val="20"/>
                <w:color w:val="auto"/>
              </w:rPr>
            </w:pPr>
            <w:r>
              <w:rPr>
                <w:rFonts w:ascii="Arial" w:cs="Arial" w:eastAsia="Arial" w:hAnsi="Arial"/>
                <w:sz w:val="16"/>
                <w:szCs w:val="16"/>
                <w:color w:val="0000FF"/>
              </w:rPr>
              <w:t>A1</w:t>
            </w:r>
          </w:p>
        </w:tc>
        <w:tc>
          <w:tcPr>
            <w:tcW w:w="1600" w:type="dxa"/>
            <w:vAlign w:val="bottom"/>
          </w:tcPr>
          <w:p>
            <w:pPr>
              <w:ind w:left="420"/>
              <w:spacing w:after="0"/>
              <w:rPr>
                <w:sz w:val="20"/>
                <w:szCs w:val="20"/>
                <w:color w:val="auto"/>
              </w:rPr>
            </w:pPr>
            <w:r>
              <w:rPr>
                <w:rFonts w:ascii="Arial" w:cs="Arial" w:eastAsia="Arial" w:hAnsi="Arial"/>
                <w:sz w:val="16"/>
                <w:szCs w:val="16"/>
                <w:color w:val="0000FF"/>
              </w:rPr>
              <w:t>V6C 2T5</w:t>
            </w:r>
          </w:p>
        </w:tc>
      </w:tr>
      <w:tr>
        <w:trPr>
          <w:trHeight w:val="140"/>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1"/>
        </w:trPr>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920" w:type="dxa"/>
            <w:vAlign w:val="bottom"/>
          </w:tcPr>
          <w:p>
            <w:pPr>
              <w:ind w:left="120"/>
              <w:spacing w:after="0"/>
              <w:rPr>
                <w:sz w:val="20"/>
                <w:szCs w:val="20"/>
                <w:color w:val="auto"/>
              </w:rPr>
            </w:pPr>
            <w:r>
              <w:rPr>
                <w:rFonts w:ascii="Arial" w:cs="Arial" w:eastAsia="Arial" w:hAnsi="Arial"/>
                <w:sz w:val="12"/>
                <w:szCs w:val="12"/>
                <w:color w:val="auto"/>
              </w:rPr>
              <w:t>(State)</w:t>
            </w:r>
          </w:p>
        </w:tc>
        <w:tc>
          <w:tcPr>
            <w:tcW w:w="160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3760" w:type="dxa"/>
            <w:vAlign w:val="bottom"/>
            <w:gridSpan w:val="3"/>
          </w:tcPr>
          <w:p>
            <w:pPr>
              <w:spacing w:after="0" w:line="130"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TMC the metals Co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TMC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8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48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tcPr>
          <w:p>
            <w:pPr>
              <w:spacing w:after="0"/>
              <w:rPr>
                <w:sz w:val="10"/>
                <w:szCs w:val="10"/>
                <w:color w:val="auto"/>
              </w:rPr>
            </w:pPr>
          </w:p>
        </w:tc>
        <w:tc>
          <w:tcPr>
            <w:tcW w:w="480" w:type="dxa"/>
            <w:vAlign w:val="bottom"/>
            <w:vMerge w:val="continue"/>
          </w:tcPr>
          <w:p>
            <w:pPr>
              <w:spacing w:after="0"/>
              <w:rPr>
                <w:sz w:val="10"/>
                <w:szCs w:val="10"/>
                <w:color w:val="auto"/>
              </w:rPr>
            </w:pPr>
          </w:p>
        </w:tc>
        <w:tc>
          <w:tcPr>
            <w:tcW w:w="1340" w:type="dxa"/>
            <w:vAlign w:val="bottom"/>
          </w:tcPr>
          <w:p>
            <w:pPr>
              <w:ind w:left="100"/>
              <w:spacing w:after="0" w:line="91" w:lineRule="exact"/>
              <w:rPr>
                <w:sz w:val="20"/>
                <w:szCs w:val="20"/>
                <w:color w:val="auto"/>
              </w:rPr>
            </w:pPr>
            <w:r>
              <w:rPr>
                <w:rFonts w:ascii="Arial" w:cs="Arial" w:eastAsia="Arial" w:hAnsi="Arial"/>
                <w:sz w:val="10"/>
                <w:szCs w:val="10"/>
                <w:color w:val="auto"/>
              </w:rPr>
              <w:t>below)</w:t>
            </w:r>
          </w:p>
        </w:tc>
        <w:tc>
          <w:tcPr>
            <w:tcW w:w="1480" w:type="dxa"/>
            <w:vAlign w:val="bottom"/>
          </w:tcPr>
          <w:p>
            <w:pPr>
              <w:ind w:left="340"/>
              <w:spacing w:after="0" w:line="91"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17"/>
                <w:szCs w:val="17"/>
                <w:color w:val="auto"/>
              </w:rPr>
            </w:pPr>
          </w:p>
        </w:tc>
        <w:tc>
          <w:tcPr>
            <w:tcW w:w="2820" w:type="dxa"/>
            <w:vAlign w:val="bottom"/>
            <w:gridSpan w:val="2"/>
          </w:tcPr>
          <w:p>
            <w:pPr>
              <w:ind w:left="200"/>
              <w:spacing w:after="0"/>
              <w:rPr>
                <w:sz w:val="20"/>
                <w:szCs w:val="20"/>
                <w:color w:val="auto"/>
              </w:rPr>
            </w:pPr>
            <w:r>
              <w:rPr>
                <w:rFonts w:ascii="Arial" w:cs="Arial" w:eastAsia="Arial" w:hAnsi="Arial"/>
                <w:sz w:val="16"/>
                <w:szCs w:val="16"/>
                <w:color w:val="0000FF"/>
              </w:rPr>
              <w:t>Head of Strategy &amp; Bus. Devt.</w:t>
            </w:r>
          </w:p>
        </w:tc>
        <w:tc>
          <w:tcPr>
            <w:tcW w:w="0" w:type="dxa"/>
            <w:vAlign w:val="bottom"/>
          </w:tcPr>
          <w:p>
            <w:pPr>
              <w:spacing w:after="0"/>
              <w:rPr>
                <w:sz w:val="1"/>
                <w:szCs w:val="1"/>
                <w:color w:val="auto"/>
              </w:rPr>
            </w:pPr>
          </w:p>
        </w:tc>
      </w:tr>
      <w:tr>
        <w:trPr>
          <w:trHeight w:val="204"/>
        </w:trPr>
        <w:tc>
          <w:tcPr>
            <w:tcW w:w="1960" w:type="dxa"/>
            <w:vAlign w:val="bottom"/>
            <w:gridSpan w:val="3"/>
          </w:tcPr>
          <w:p>
            <w:pPr>
              <w:ind w:left="60"/>
              <w:spacing w:after="0"/>
              <w:rPr>
                <w:sz w:val="20"/>
                <w:szCs w:val="20"/>
                <w:color w:val="auto"/>
              </w:rPr>
            </w:pPr>
            <w:r>
              <w:rPr>
                <w:rFonts w:ascii="Arial" w:cs="Arial" w:eastAsia="Arial" w:hAnsi="Arial"/>
                <w:sz w:val="16"/>
                <w:szCs w:val="16"/>
                <w:color w:val="0000FF"/>
              </w:rPr>
              <w:t>09/09/2021</w:t>
            </w:r>
          </w:p>
        </w:tc>
        <w:tc>
          <w:tcPr>
            <w:tcW w:w="1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0000FF"/>
              </w:rPr>
              <w:t>X</w:t>
            </w: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24" w:lineRule="exact"/>
        <w:rPr>
          <w:sz w:val="24"/>
          <w:szCs w:val="24"/>
          <w:color w:val="auto"/>
        </w:rPr>
      </w:pPr>
    </w:p>
    <w:p>
      <w:pPr>
        <w:sectPr>
          <w:pgSz w:w="11900" w:h="16838" w:orient="portrait"/>
          <w:cols w:equalWidth="0" w:num="2">
            <w:col w:w="3740" w:space="100"/>
            <w:col w:w="724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2"/>
                <w:szCs w:val="12"/>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2"/>
                <w:szCs w:val="12"/>
                <w:color w:val="auto"/>
              </w:rPr>
            </w:pPr>
          </w:p>
        </w:tc>
        <w:tc>
          <w:tcPr>
            <w:tcW w:w="200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6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Date</w:t>
            </w:r>
          </w:p>
        </w:tc>
        <w:tc>
          <w:tcPr>
            <w:tcW w:w="1160" w:type="dxa"/>
            <w:vAlign w:val="bottom"/>
            <w:gridSpan w:val="3"/>
          </w:tcPr>
          <w:p>
            <w:pPr>
              <w:ind w:left="180"/>
              <w:spacing w:after="0" w:line="119"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6"/>
          </w:tcPr>
          <w:p>
            <w:pPr>
              <w:ind w:left="10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  if any</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16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w w:val="96"/>
              </w:rPr>
              <w:t>Amount</w:t>
            </w:r>
          </w:p>
        </w:tc>
        <w:tc>
          <w:tcPr>
            <w:tcW w:w="760" w:type="dxa"/>
            <w:vAlign w:val="bottom"/>
            <w:gridSpan w:val="3"/>
          </w:tcPr>
          <w:p>
            <w:pPr>
              <w:ind w:left="42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jc w:val="right"/>
              <w:ind w:right="208"/>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color w:val="0000FF"/>
              </w:rPr>
              <w:t>Common Shares</w:t>
            </w: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0000FF"/>
              </w:rPr>
              <w:t>09/09/2021</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2"/>
                <w:szCs w:val="12"/>
                <w:color w:val="0000FF"/>
              </w:rPr>
              <w:t>A</w:t>
            </w:r>
          </w:p>
        </w:tc>
        <w:tc>
          <w:tcPr>
            <w:tcW w:w="26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0000FF"/>
              </w:rPr>
              <w:t>217,099</w:t>
            </w:r>
          </w:p>
        </w:tc>
        <w:tc>
          <w:tcPr>
            <w:tcW w:w="160" w:type="dxa"/>
            <w:vAlign w:val="bottom"/>
          </w:tcPr>
          <w:p>
            <w:pPr>
              <w:ind w:left="40"/>
              <w:spacing w:after="0"/>
              <w:rPr>
                <w:sz w:val="20"/>
                <w:szCs w:val="20"/>
                <w:color w:val="auto"/>
              </w:rPr>
            </w:pPr>
            <w:r>
              <w:rPr>
                <w:rFonts w:ascii="Arial" w:cs="Arial" w:eastAsia="Arial" w:hAnsi="Arial"/>
                <w:sz w:val="16"/>
                <w:szCs w:val="16"/>
                <w:color w:val="0000FF"/>
                <w:w w:val="93"/>
              </w:rPr>
              <w:t>A</w:t>
            </w:r>
          </w:p>
        </w:tc>
        <w:tc>
          <w:tcPr>
            <w:tcW w:w="80" w:type="dxa"/>
            <w:vAlign w:val="bottom"/>
          </w:tcPr>
          <w:p>
            <w:pPr>
              <w:spacing w:after="0"/>
              <w:rPr>
                <w:sz w:val="21"/>
                <w:szCs w:val="21"/>
                <w:color w:val="auto"/>
              </w:rPr>
            </w:pPr>
          </w:p>
        </w:tc>
        <w:tc>
          <w:tcPr>
            <w:tcW w:w="720" w:type="dxa"/>
            <w:vAlign w:val="bottom"/>
          </w:tcPr>
          <w:p>
            <w:pPr>
              <w:jc w:val="right"/>
              <w:ind w:right="188"/>
              <w:spacing w:after="0"/>
              <w:rPr>
                <w:sz w:val="20"/>
                <w:szCs w:val="20"/>
                <w:color w:val="auto"/>
              </w:rPr>
            </w:pPr>
            <w:r>
              <w:rPr>
                <w:rFonts w:ascii="Arial" w:cs="Arial" w:eastAsia="Arial" w:hAnsi="Arial"/>
                <w:sz w:val="10"/>
                <w:szCs w:val="10"/>
                <w:color w:val="008000"/>
              </w:rPr>
              <w:t>(1)</w:t>
            </w:r>
          </w:p>
        </w:tc>
        <w:tc>
          <w:tcPr>
            <w:tcW w:w="1180" w:type="dxa"/>
            <w:vAlign w:val="bottom"/>
            <w:gridSpan w:val="3"/>
          </w:tcPr>
          <w:p>
            <w:pPr>
              <w:jc w:val="right"/>
              <w:ind w:right="301"/>
              <w:spacing w:after="0"/>
              <w:rPr>
                <w:sz w:val="20"/>
                <w:szCs w:val="20"/>
                <w:color w:val="auto"/>
              </w:rPr>
            </w:pPr>
            <w:r>
              <w:rPr>
                <w:rFonts w:ascii="Arial" w:cs="Arial" w:eastAsia="Arial" w:hAnsi="Arial"/>
                <w:sz w:val="16"/>
                <w:szCs w:val="16"/>
                <w:color w:val="0000FF"/>
              </w:rPr>
              <w:t>217,099</w:t>
            </w:r>
          </w:p>
        </w:tc>
        <w:tc>
          <w:tcPr>
            <w:tcW w:w="34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Shares</w:t>
            </w: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0000FF"/>
              </w:rPr>
              <w:t>09/09/2021</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260" w:type="dxa"/>
            <w:vAlign w:val="bottom"/>
          </w:tcPr>
          <w:p>
            <w:pPr>
              <w:spacing w:after="0"/>
              <w:rPr>
                <w:sz w:val="20"/>
                <w:szCs w:val="20"/>
                <w:color w:val="auto"/>
              </w:rPr>
            </w:pPr>
          </w:p>
        </w:tc>
        <w:tc>
          <w:tcPr>
            <w:tcW w:w="1040" w:type="dxa"/>
            <w:vAlign w:val="bottom"/>
            <w:gridSpan w:val="3"/>
            <w:vMerge w:val="restart"/>
          </w:tcPr>
          <w:p>
            <w:pPr>
              <w:jc w:val="right"/>
              <w:ind w:right="300"/>
              <w:spacing w:after="0"/>
              <w:rPr>
                <w:sz w:val="20"/>
                <w:szCs w:val="20"/>
                <w:color w:val="auto"/>
              </w:rPr>
            </w:pPr>
            <w:r>
              <w:rPr>
                <w:rFonts w:ascii="Arial" w:cs="Arial" w:eastAsia="Arial" w:hAnsi="Arial"/>
                <w:sz w:val="16"/>
                <w:szCs w:val="16"/>
                <w:color w:val="0000FF"/>
              </w:rPr>
              <w:t>30,682</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0000FF"/>
                <w:w w:val="93"/>
              </w:rPr>
              <w:t>A</w:t>
            </w:r>
          </w:p>
        </w:tc>
        <w:tc>
          <w:tcPr>
            <w:tcW w:w="80" w:type="dxa"/>
            <w:vAlign w:val="bottom"/>
          </w:tcPr>
          <w:p>
            <w:pPr>
              <w:spacing w:after="0"/>
              <w:rPr>
                <w:sz w:val="20"/>
                <w:szCs w:val="20"/>
                <w:color w:val="auto"/>
              </w:rPr>
            </w:pPr>
          </w:p>
        </w:tc>
        <w:tc>
          <w:tcPr>
            <w:tcW w:w="720" w:type="dxa"/>
            <w:vAlign w:val="bottom"/>
            <w:vMerge w:val="restart"/>
          </w:tcPr>
          <w:p>
            <w:pPr>
              <w:jc w:val="right"/>
              <w:ind w:right="188"/>
              <w:spacing w:after="0"/>
              <w:rPr>
                <w:sz w:val="20"/>
                <w:szCs w:val="20"/>
                <w:color w:val="auto"/>
              </w:rPr>
            </w:pPr>
            <w:r>
              <w:rPr>
                <w:rFonts w:ascii="Arial" w:cs="Arial" w:eastAsia="Arial" w:hAnsi="Arial"/>
                <w:sz w:val="10"/>
                <w:szCs w:val="10"/>
                <w:color w:val="008000"/>
              </w:rPr>
              <w:t>(2)</w:t>
            </w:r>
          </w:p>
        </w:tc>
        <w:tc>
          <w:tcPr>
            <w:tcW w:w="1180" w:type="dxa"/>
            <w:vAlign w:val="bottom"/>
            <w:gridSpan w:val="3"/>
            <w:vMerge w:val="restart"/>
          </w:tcPr>
          <w:p>
            <w:pPr>
              <w:jc w:val="right"/>
              <w:ind w:right="341"/>
              <w:spacing w:after="0"/>
              <w:rPr>
                <w:sz w:val="20"/>
                <w:szCs w:val="20"/>
                <w:color w:val="auto"/>
              </w:rPr>
            </w:pPr>
            <w:r>
              <w:rPr>
                <w:rFonts w:ascii="Arial" w:cs="Arial" w:eastAsia="Arial" w:hAnsi="Arial"/>
                <w:sz w:val="16"/>
                <w:szCs w:val="16"/>
                <w:color w:val="0000FF"/>
              </w:rPr>
              <w:t>30,682</w:t>
            </w:r>
          </w:p>
        </w:tc>
        <w:tc>
          <w:tcPr>
            <w:tcW w:w="34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00" w:type="dxa"/>
            <w:vAlign w:val="bottom"/>
            <w:gridSpan w:val="3"/>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3"/>
            <w:vMerge w:val="restart"/>
          </w:tcPr>
          <w:p>
            <w:pPr>
              <w:spacing w:after="0"/>
              <w:rPr>
                <w:sz w:val="20"/>
                <w:szCs w:val="20"/>
                <w:color w:val="auto"/>
              </w:rPr>
            </w:pPr>
            <w:r>
              <w:rPr>
                <w:rFonts w:ascii="Arial" w:cs="Arial" w:eastAsia="Arial" w:hAnsi="Arial"/>
                <w:sz w:val="16"/>
                <w:szCs w:val="16"/>
                <w:color w:val="0000FF"/>
              </w:rPr>
              <w:t>children</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4680" w:type="dxa"/>
            <w:vAlign w:val="bottom"/>
            <w:tcBorders>
              <w:bottom w:val="single" w:sz="8" w:color="2C2C2C"/>
            </w:tcBorders>
            <w:gridSpan w:val="13"/>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400" w:type="dxa"/>
            <w:vAlign w:val="bottom"/>
            <w:tcBorders>
              <w:top w:val="single" w:sz="8" w:color="2C2C2C"/>
            </w:tcBorders>
            <w:gridSpan w:val="16"/>
          </w:tcPr>
          <w:p>
            <w:pPr>
              <w:jc w:val="center"/>
              <w:ind w:right="145"/>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80" w:type="dxa"/>
            <w:vAlign w:val="bottom"/>
            <w:gridSpan w:val="14"/>
          </w:tcPr>
          <w:p>
            <w:pPr>
              <w:jc w:val="center"/>
              <w:ind w:left="457"/>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6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9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440" w:type="dxa"/>
            <w:vAlign w:val="bottom"/>
          </w:tcPr>
          <w:p>
            <w:pPr>
              <w:spacing w:after="0"/>
              <w:rPr>
                <w:sz w:val="10"/>
                <w:szCs w:val="10"/>
                <w:color w:val="auto"/>
              </w:rPr>
            </w:pPr>
          </w:p>
        </w:tc>
        <w:tc>
          <w:tcPr>
            <w:tcW w:w="156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9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440" w:type="dxa"/>
            <w:vAlign w:val="bottom"/>
          </w:tcPr>
          <w:p>
            <w:pPr>
              <w:spacing w:after="0"/>
              <w:rPr>
                <w:sz w:val="10"/>
                <w:szCs w:val="10"/>
                <w:color w:val="auto"/>
              </w:rPr>
            </w:pPr>
          </w:p>
        </w:tc>
        <w:tc>
          <w:tcPr>
            <w:tcW w:w="156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Derivative Security (Instr. 3</w:t>
            </w:r>
          </w:p>
        </w:tc>
        <w:tc>
          <w:tcPr>
            <w:tcW w:w="2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8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Acquired (A)</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and 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or Disposed of</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 (Instr. 3, 4</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0.65</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3"/>
              </w:rPr>
              <w:t>1,099,968</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jc w:val="center"/>
              <w:ind w:right="227"/>
              <w:spacing w:after="0"/>
              <w:rPr>
                <w:sz w:val="20"/>
                <w:szCs w:val="20"/>
                <w:color w:val="auto"/>
              </w:rPr>
            </w:pPr>
            <w:r>
              <w:rPr>
                <w:rFonts w:ascii="Arial" w:cs="Arial" w:eastAsia="Arial" w:hAnsi="Arial"/>
                <w:sz w:val="10"/>
                <w:szCs w:val="10"/>
                <w:color w:val="008000"/>
                <w:w w:val="97"/>
              </w:rPr>
              <w:t>(3)</w:t>
            </w: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06/01/2028</w:t>
            </w: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6"/>
              </w:rPr>
              <w:t>1,099,968</w:t>
            </w:r>
            <w:r>
              <w:rPr>
                <w:rFonts w:ascii="Arial" w:cs="Arial" w:eastAsia="Arial" w:hAnsi="Arial"/>
                <w:sz w:val="20"/>
                <w:szCs w:val="20"/>
                <w:color w:val="008000"/>
                <w:w w:val="86"/>
                <w:vertAlign w:val="superscript"/>
              </w:rPr>
              <w:t>(4)</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(5)</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1,099,968</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line="150" w:lineRule="exact"/>
              <w:rPr>
                <w:sz w:val="20"/>
                <w:szCs w:val="20"/>
                <w:color w:val="auto"/>
              </w:rPr>
            </w:pPr>
            <w:r>
              <w:rPr>
                <w:rFonts w:ascii="Arial" w:cs="Arial" w:eastAsia="Arial" w:hAnsi="Arial"/>
                <w:sz w:val="11"/>
                <w:szCs w:val="11"/>
                <w:color w:val="0000FF"/>
                <w:w w:val="90"/>
              </w:rPr>
              <w:t>Shares</w:t>
            </w:r>
            <w:r>
              <w:rPr>
                <w:rFonts w:ascii="Arial" w:cs="Arial" w:eastAsia="Arial" w:hAnsi="Arial"/>
                <w:sz w:val="17"/>
                <w:szCs w:val="17"/>
                <w:color w:val="008000"/>
                <w:w w:val="90"/>
                <w:vertAlign w:val="superscript"/>
              </w:rPr>
              <w:t>(4)</w:t>
            </w:r>
          </w:p>
        </w:tc>
        <w:tc>
          <w:tcPr>
            <w:tcW w:w="96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0.65</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ind w:right="2"/>
              <w:spacing w:after="0"/>
              <w:rPr>
                <w:sz w:val="20"/>
                <w:szCs w:val="20"/>
                <w:color w:val="auto"/>
              </w:rPr>
            </w:pPr>
            <w:r>
              <w:rPr>
                <w:rFonts w:ascii="Arial" w:cs="Arial" w:eastAsia="Arial" w:hAnsi="Arial"/>
                <w:sz w:val="12"/>
                <w:szCs w:val="12"/>
                <w:color w:val="0000FF"/>
                <w:w w:val="92"/>
              </w:rPr>
              <w:t>262,109</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jc w:val="center"/>
              <w:ind w:right="227"/>
              <w:spacing w:after="0"/>
              <w:rPr>
                <w:sz w:val="20"/>
                <w:szCs w:val="20"/>
                <w:color w:val="auto"/>
              </w:rPr>
            </w:pPr>
            <w:r>
              <w:rPr>
                <w:rFonts w:ascii="Arial" w:cs="Arial" w:eastAsia="Arial" w:hAnsi="Arial"/>
                <w:sz w:val="10"/>
                <w:szCs w:val="10"/>
                <w:color w:val="008000"/>
                <w:w w:val="97"/>
              </w:rPr>
              <w:t>(6)</w:t>
            </w: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06/01/2028</w:t>
            </w: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86"/>
              </w:rPr>
              <w:t>262,109</w:t>
            </w:r>
            <w:r>
              <w:rPr>
                <w:rFonts w:ascii="Arial" w:cs="Arial" w:eastAsia="Arial" w:hAnsi="Arial"/>
                <w:sz w:val="20"/>
                <w:szCs w:val="20"/>
                <w:color w:val="008000"/>
                <w:w w:val="86"/>
                <w:vertAlign w:val="superscript"/>
              </w:rPr>
              <w:t>(7)</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(8)</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262,109</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line="150" w:lineRule="exact"/>
              <w:rPr>
                <w:sz w:val="20"/>
                <w:szCs w:val="20"/>
                <w:color w:val="auto"/>
              </w:rPr>
            </w:pPr>
            <w:r>
              <w:rPr>
                <w:rFonts w:ascii="Arial" w:cs="Arial" w:eastAsia="Arial" w:hAnsi="Arial"/>
                <w:sz w:val="11"/>
                <w:szCs w:val="11"/>
                <w:color w:val="0000FF"/>
                <w:w w:val="90"/>
              </w:rPr>
              <w:t>Shares</w:t>
            </w:r>
            <w:r>
              <w:rPr>
                <w:rFonts w:ascii="Arial" w:cs="Arial" w:eastAsia="Arial" w:hAnsi="Arial"/>
                <w:sz w:val="17"/>
                <w:szCs w:val="17"/>
                <w:color w:val="008000"/>
                <w:w w:val="90"/>
                <w:vertAlign w:val="superscript"/>
              </w:rPr>
              <w:t>(7)</w:t>
            </w: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0.65</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ind w:right="2"/>
              <w:spacing w:after="0"/>
              <w:rPr>
                <w:sz w:val="20"/>
                <w:szCs w:val="20"/>
                <w:color w:val="auto"/>
              </w:rPr>
            </w:pPr>
            <w:r>
              <w:rPr>
                <w:rFonts w:ascii="Arial" w:cs="Arial" w:eastAsia="Arial" w:hAnsi="Arial"/>
                <w:sz w:val="12"/>
                <w:szCs w:val="12"/>
                <w:color w:val="0000FF"/>
                <w:w w:val="89"/>
              </w:rPr>
              <w:t>1,011,259</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jc w:val="center"/>
              <w:ind w:right="227"/>
              <w:spacing w:after="0"/>
              <w:rPr>
                <w:sz w:val="20"/>
                <w:szCs w:val="20"/>
                <w:color w:val="auto"/>
              </w:rPr>
            </w:pPr>
            <w:r>
              <w:rPr>
                <w:rFonts w:ascii="Arial" w:cs="Arial" w:eastAsia="Arial" w:hAnsi="Arial"/>
                <w:sz w:val="10"/>
                <w:szCs w:val="10"/>
                <w:color w:val="008000"/>
                <w:w w:val="97"/>
              </w:rPr>
              <w:t>(9)</w:t>
            </w: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06/01/2028</w:t>
            </w: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4"/>
              </w:rPr>
              <w:t>1,011,259</w:t>
            </w:r>
            <w:r>
              <w:rPr>
                <w:rFonts w:ascii="Arial" w:cs="Arial" w:eastAsia="Arial" w:hAnsi="Arial"/>
                <w:sz w:val="20"/>
                <w:szCs w:val="20"/>
                <w:color w:val="008000"/>
                <w:w w:val="84"/>
                <w:vertAlign w:val="superscript"/>
              </w:rPr>
              <w:t>(10)</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(11)</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1,011,259</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gridSpan w:val="2"/>
          </w:tcPr>
          <w:p>
            <w:pPr>
              <w:ind w:left="80"/>
              <w:spacing w:after="0" w:line="150" w:lineRule="exact"/>
              <w:rPr>
                <w:sz w:val="20"/>
                <w:szCs w:val="20"/>
                <w:color w:val="auto"/>
              </w:rPr>
            </w:pPr>
            <w:r>
              <w:rPr>
                <w:rFonts w:ascii="Arial" w:cs="Arial" w:eastAsia="Arial" w:hAnsi="Arial"/>
                <w:sz w:val="11"/>
                <w:szCs w:val="11"/>
                <w:color w:val="0000FF"/>
                <w:w w:val="90"/>
              </w:rPr>
              <w:t>Shares</w:t>
            </w:r>
            <w:r>
              <w:rPr>
                <w:rFonts w:ascii="Arial" w:cs="Arial" w:eastAsia="Arial" w:hAnsi="Arial"/>
                <w:sz w:val="17"/>
                <w:szCs w:val="17"/>
                <w:color w:val="008000"/>
                <w:w w:val="90"/>
                <w:vertAlign w:val="superscript"/>
              </w:rPr>
              <w:t>(10)</w:t>
            </w:r>
          </w:p>
        </w:tc>
        <w:tc>
          <w:tcPr>
            <w:tcW w:w="96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Class A</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center"/>
              <w:ind w:right="207"/>
              <w:spacing w:after="0"/>
              <w:rPr>
                <w:sz w:val="20"/>
                <w:szCs w:val="20"/>
                <w:color w:val="auto"/>
              </w:rPr>
            </w:pPr>
            <w:r>
              <w:rPr>
                <w:rFonts w:ascii="Arial" w:cs="Arial" w:eastAsia="Arial" w:hAnsi="Arial"/>
                <w:sz w:val="10"/>
                <w:szCs w:val="10"/>
                <w:color w:val="008000"/>
              </w:rPr>
              <w:t>(12)</w:t>
            </w:r>
          </w:p>
        </w:tc>
        <w:tc>
          <w:tcPr>
            <w:tcW w:w="260" w:type="dxa"/>
            <w:vAlign w:val="bottom"/>
          </w:tcPr>
          <w:p>
            <w:pPr>
              <w:spacing w:after="0"/>
              <w:rPr>
                <w:sz w:val="15"/>
                <w:szCs w:val="15"/>
                <w:color w:val="auto"/>
              </w:rPr>
            </w:pPr>
          </w:p>
        </w:tc>
        <w:tc>
          <w:tcPr>
            <w:tcW w:w="440" w:type="dxa"/>
            <w:vAlign w:val="bottom"/>
            <w:vMerge w:val="restart"/>
          </w:tcPr>
          <w:p>
            <w:pPr>
              <w:jc w:val="center"/>
              <w:ind w:right="164"/>
              <w:spacing w:after="0"/>
              <w:rPr>
                <w:sz w:val="20"/>
                <w:szCs w:val="20"/>
                <w:color w:val="auto"/>
              </w:rPr>
            </w:pPr>
            <w:r>
              <w:rPr>
                <w:rFonts w:ascii="Arial" w:cs="Arial" w:eastAsia="Arial" w:hAnsi="Arial"/>
                <w:sz w:val="10"/>
                <w:szCs w:val="10"/>
                <w:color w:val="008000"/>
              </w:rPr>
              <w:t>(12)</w:t>
            </w: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center"/>
              <w:ind w:right="128"/>
              <w:spacing w:after="0"/>
              <w:rPr>
                <w:sz w:val="20"/>
                <w:szCs w:val="20"/>
                <w:color w:val="auto"/>
              </w:rPr>
            </w:pPr>
            <w:r>
              <w:rPr>
                <w:rFonts w:ascii="Arial" w:cs="Arial" w:eastAsia="Arial" w:hAnsi="Arial"/>
                <w:sz w:val="16"/>
                <w:szCs w:val="16"/>
                <w:color w:val="0000FF"/>
                <w:w w:val="89"/>
              </w:rPr>
              <w:t>4,737</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(12)</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160"/>
              <w:spacing w:after="0" w:line="135" w:lineRule="exact"/>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ind w:right="2"/>
              <w:spacing w:after="0" w:line="135" w:lineRule="exact"/>
              <w:rPr>
                <w:sz w:val="20"/>
                <w:szCs w:val="20"/>
                <w:color w:val="auto"/>
              </w:rPr>
            </w:pPr>
            <w:r>
              <w:rPr>
                <w:rFonts w:ascii="Arial" w:cs="Arial" w:eastAsia="Arial" w:hAnsi="Arial"/>
                <w:sz w:val="12"/>
                <w:szCs w:val="12"/>
                <w:color w:val="0000FF"/>
                <w:w w:val="93"/>
              </w:rPr>
              <w:t>4,737</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color w:val="0000FF"/>
                <w:w w:val="86"/>
              </w:rPr>
              <w:t>4,737</w:t>
            </w:r>
          </w:p>
        </w:tc>
        <w:tc>
          <w:tcPr>
            <w:tcW w:w="640" w:type="dxa"/>
            <w:vAlign w:val="bottom"/>
            <w:vMerge w:val="restart"/>
          </w:tcPr>
          <w:p>
            <w:pPr>
              <w:ind w:left="340"/>
              <w:spacing w:after="0" w:line="135"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4"/>
              </w:rPr>
              <w:t>Shares</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center"/>
              <w:ind w:right="207"/>
              <w:spacing w:after="0"/>
              <w:rPr>
                <w:sz w:val="20"/>
                <w:szCs w:val="20"/>
                <w:color w:val="auto"/>
              </w:rPr>
            </w:pPr>
            <w:r>
              <w:rPr>
                <w:rFonts w:ascii="Arial" w:cs="Arial" w:eastAsia="Arial" w:hAnsi="Arial"/>
                <w:sz w:val="10"/>
                <w:szCs w:val="10"/>
                <w:color w:val="008000"/>
              </w:rPr>
              <w:t>(12)</w:t>
            </w:r>
          </w:p>
        </w:tc>
        <w:tc>
          <w:tcPr>
            <w:tcW w:w="260" w:type="dxa"/>
            <w:vAlign w:val="bottom"/>
          </w:tcPr>
          <w:p>
            <w:pPr>
              <w:spacing w:after="0"/>
              <w:rPr>
                <w:sz w:val="15"/>
                <w:szCs w:val="15"/>
                <w:color w:val="auto"/>
              </w:rPr>
            </w:pPr>
          </w:p>
        </w:tc>
        <w:tc>
          <w:tcPr>
            <w:tcW w:w="440" w:type="dxa"/>
            <w:vAlign w:val="bottom"/>
            <w:vMerge w:val="restart"/>
          </w:tcPr>
          <w:p>
            <w:pPr>
              <w:jc w:val="center"/>
              <w:ind w:right="164"/>
              <w:spacing w:after="0"/>
              <w:rPr>
                <w:sz w:val="20"/>
                <w:szCs w:val="20"/>
                <w:color w:val="auto"/>
              </w:rPr>
            </w:pPr>
            <w:r>
              <w:rPr>
                <w:rFonts w:ascii="Arial" w:cs="Arial" w:eastAsia="Arial" w:hAnsi="Arial"/>
                <w:sz w:val="10"/>
                <w:szCs w:val="10"/>
                <w:color w:val="008000"/>
              </w:rPr>
              <w:t>(12)</w:t>
            </w: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center"/>
              <w:ind w:right="128"/>
              <w:spacing w:after="0"/>
              <w:rPr>
                <w:sz w:val="20"/>
                <w:szCs w:val="20"/>
                <w:color w:val="auto"/>
              </w:rPr>
            </w:pPr>
            <w:r>
              <w:rPr>
                <w:rFonts w:ascii="Arial" w:cs="Arial" w:eastAsia="Arial" w:hAnsi="Arial"/>
                <w:sz w:val="16"/>
                <w:szCs w:val="16"/>
                <w:color w:val="0000FF"/>
                <w:w w:val="89"/>
              </w:rPr>
              <w:t>9,473</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(12)</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160"/>
              <w:spacing w:after="0" w:line="135" w:lineRule="exact"/>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ind w:right="2"/>
              <w:spacing w:after="0" w:line="135" w:lineRule="exact"/>
              <w:rPr>
                <w:sz w:val="20"/>
                <w:szCs w:val="20"/>
                <w:color w:val="auto"/>
              </w:rPr>
            </w:pPr>
            <w:r>
              <w:rPr>
                <w:rFonts w:ascii="Arial" w:cs="Arial" w:eastAsia="Arial" w:hAnsi="Arial"/>
                <w:sz w:val="12"/>
                <w:szCs w:val="12"/>
                <w:color w:val="0000FF"/>
                <w:w w:val="93"/>
              </w:rPr>
              <w:t>9,473</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color w:val="0000FF"/>
                <w:w w:val="86"/>
              </w:rPr>
              <w:t>9,473</w:t>
            </w:r>
          </w:p>
        </w:tc>
        <w:tc>
          <w:tcPr>
            <w:tcW w:w="640" w:type="dxa"/>
            <w:vAlign w:val="bottom"/>
            <w:vMerge w:val="restart"/>
          </w:tcPr>
          <w:p>
            <w:pPr>
              <w:ind w:left="340"/>
              <w:spacing w:after="0" w:line="135"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4"/>
              </w:rPr>
              <w:t>Shares</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Class C</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center"/>
              <w:ind w:right="207"/>
              <w:spacing w:after="0"/>
              <w:rPr>
                <w:sz w:val="20"/>
                <w:szCs w:val="20"/>
                <w:color w:val="auto"/>
              </w:rPr>
            </w:pPr>
            <w:r>
              <w:rPr>
                <w:rFonts w:ascii="Arial" w:cs="Arial" w:eastAsia="Arial" w:hAnsi="Arial"/>
                <w:sz w:val="10"/>
                <w:szCs w:val="10"/>
                <w:color w:val="008000"/>
              </w:rPr>
              <w:t>(12)</w:t>
            </w:r>
          </w:p>
        </w:tc>
        <w:tc>
          <w:tcPr>
            <w:tcW w:w="260" w:type="dxa"/>
            <w:vAlign w:val="bottom"/>
          </w:tcPr>
          <w:p>
            <w:pPr>
              <w:spacing w:after="0"/>
              <w:rPr>
                <w:sz w:val="15"/>
                <w:szCs w:val="15"/>
                <w:color w:val="auto"/>
              </w:rPr>
            </w:pPr>
          </w:p>
        </w:tc>
        <w:tc>
          <w:tcPr>
            <w:tcW w:w="440" w:type="dxa"/>
            <w:vAlign w:val="bottom"/>
            <w:vMerge w:val="restart"/>
          </w:tcPr>
          <w:p>
            <w:pPr>
              <w:jc w:val="center"/>
              <w:ind w:right="164"/>
              <w:spacing w:after="0"/>
              <w:rPr>
                <w:sz w:val="20"/>
                <w:szCs w:val="20"/>
                <w:color w:val="auto"/>
              </w:rPr>
            </w:pPr>
            <w:r>
              <w:rPr>
                <w:rFonts w:ascii="Arial" w:cs="Arial" w:eastAsia="Arial" w:hAnsi="Arial"/>
                <w:sz w:val="10"/>
                <w:szCs w:val="10"/>
                <w:color w:val="008000"/>
              </w:rPr>
              <w:t>(12)</w:t>
            </w: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center"/>
              <w:ind w:right="128"/>
              <w:spacing w:after="0"/>
              <w:rPr>
                <w:sz w:val="20"/>
                <w:szCs w:val="20"/>
                <w:color w:val="auto"/>
              </w:rPr>
            </w:pPr>
            <w:r>
              <w:rPr>
                <w:rFonts w:ascii="Arial" w:cs="Arial" w:eastAsia="Arial" w:hAnsi="Arial"/>
                <w:sz w:val="16"/>
                <w:szCs w:val="16"/>
                <w:color w:val="0000FF"/>
                <w:w w:val="89"/>
              </w:rPr>
              <w:t>9,473</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(12)</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160"/>
              <w:spacing w:after="0" w:line="135" w:lineRule="exact"/>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ind w:right="2"/>
              <w:spacing w:after="0" w:line="135" w:lineRule="exact"/>
              <w:rPr>
                <w:sz w:val="20"/>
                <w:szCs w:val="20"/>
                <w:color w:val="auto"/>
              </w:rPr>
            </w:pPr>
            <w:r>
              <w:rPr>
                <w:rFonts w:ascii="Arial" w:cs="Arial" w:eastAsia="Arial" w:hAnsi="Arial"/>
                <w:sz w:val="12"/>
                <w:szCs w:val="12"/>
                <w:color w:val="0000FF"/>
                <w:w w:val="93"/>
              </w:rPr>
              <w:t>9,473</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color w:val="0000FF"/>
                <w:w w:val="86"/>
              </w:rPr>
              <w:t>9,473</w:t>
            </w:r>
          </w:p>
        </w:tc>
        <w:tc>
          <w:tcPr>
            <w:tcW w:w="640" w:type="dxa"/>
            <w:vAlign w:val="bottom"/>
            <w:vMerge w:val="restart"/>
          </w:tcPr>
          <w:p>
            <w:pPr>
              <w:ind w:left="340"/>
              <w:spacing w:after="0" w:line="135"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4"/>
              </w:rPr>
              <w:t>Shares</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Class D</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center"/>
              <w:ind w:right="207"/>
              <w:spacing w:after="0"/>
              <w:rPr>
                <w:sz w:val="20"/>
                <w:szCs w:val="20"/>
                <w:color w:val="auto"/>
              </w:rPr>
            </w:pPr>
            <w:r>
              <w:rPr>
                <w:rFonts w:ascii="Arial" w:cs="Arial" w:eastAsia="Arial" w:hAnsi="Arial"/>
                <w:sz w:val="10"/>
                <w:szCs w:val="10"/>
                <w:color w:val="008000"/>
              </w:rPr>
              <w:t>(12)</w:t>
            </w:r>
          </w:p>
        </w:tc>
        <w:tc>
          <w:tcPr>
            <w:tcW w:w="260" w:type="dxa"/>
            <w:vAlign w:val="bottom"/>
          </w:tcPr>
          <w:p>
            <w:pPr>
              <w:spacing w:after="0"/>
              <w:rPr>
                <w:sz w:val="15"/>
                <w:szCs w:val="15"/>
                <w:color w:val="auto"/>
              </w:rPr>
            </w:pPr>
          </w:p>
        </w:tc>
        <w:tc>
          <w:tcPr>
            <w:tcW w:w="440" w:type="dxa"/>
            <w:vAlign w:val="bottom"/>
            <w:vMerge w:val="restart"/>
          </w:tcPr>
          <w:p>
            <w:pPr>
              <w:jc w:val="center"/>
              <w:ind w:right="164"/>
              <w:spacing w:after="0"/>
              <w:rPr>
                <w:sz w:val="20"/>
                <w:szCs w:val="20"/>
                <w:color w:val="auto"/>
              </w:rPr>
            </w:pPr>
            <w:r>
              <w:rPr>
                <w:rFonts w:ascii="Arial" w:cs="Arial" w:eastAsia="Arial" w:hAnsi="Arial"/>
                <w:sz w:val="10"/>
                <w:szCs w:val="10"/>
                <w:color w:val="008000"/>
              </w:rPr>
              <w:t>(12)</w:t>
            </w: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center"/>
              <w:ind w:right="128"/>
              <w:spacing w:after="0"/>
              <w:rPr>
                <w:sz w:val="20"/>
                <w:szCs w:val="20"/>
                <w:color w:val="auto"/>
              </w:rPr>
            </w:pPr>
            <w:r>
              <w:rPr>
                <w:rFonts w:ascii="Arial" w:cs="Arial" w:eastAsia="Arial" w:hAnsi="Arial"/>
                <w:sz w:val="16"/>
                <w:szCs w:val="16"/>
                <w:color w:val="0000FF"/>
                <w:w w:val="89"/>
              </w:rPr>
              <w:t>18,947</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(12)</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160"/>
              <w:spacing w:after="0" w:line="135" w:lineRule="exact"/>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2"/>
              </w:rPr>
              <w:t>18,947</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color w:val="0000FF"/>
                <w:w w:val="92"/>
              </w:rPr>
              <w:t>18,947</w:t>
            </w:r>
          </w:p>
        </w:tc>
        <w:tc>
          <w:tcPr>
            <w:tcW w:w="640" w:type="dxa"/>
            <w:vAlign w:val="bottom"/>
            <w:vMerge w:val="restart"/>
          </w:tcPr>
          <w:p>
            <w:pPr>
              <w:ind w:left="340"/>
              <w:spacing w:after="0" w:line="135"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4"/>
              </w:rPr>
              <w:t>Shares</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Class E</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center"/>
              <w:ind w:right="207"/>
              <w:spacing w:after="0"/>
              <w:rPr>
                <w:sz w:val="20"/>
                <w:szCs w:val="20"/>
                <w:color w:val="auto"/>
              </w:rPr>
            </w:pPr>
            <w:r>
              <w:rPr>
                <w:rFonts w:ascii="Arial" w:cs="Arial" w:eastAsia="Arial" w:hAnsi="Arial"/>
                <w:sz w:val="10"/>
                <w:szCs w:val="10"/>
                <w:color w:val="008000"/>
              </w:rPr>
              <w:t>(12)</w:t>
            </w:r>
          </w:p>
        </w:tc>
        <w:tc>
          <w:tcPr>
            <w:tcW w:w="260" w:type="dxa"/>
            <w:vAlign w:val="bottom"/>
          </w:tcPr>
          <w:p>
            <w:pPr>
              <w:spacing w:after="0"/>
              <w:rPr>
                <w:sz w:val="15"/>
                <w:szCs w:val="15"/>
                <w:color w:val="auto"/>
              </w:rPr>
            </w:pPr>
          </w:p>
        </w:tc>
        <w:tc>
          <w:tcPr>
            <w:tcW w:w="440" w:type="dxa"/>
            <w:vAlign w:val="bottom"/>
            <w:vMerge w:val="restart"/>
          </w:tcPr>
          <w:p>
            <w:pPr>
              <w:jc w:val="center"/>
              <w:ind w:right="164"/>
              <w:spacing w:after="0"/>
              <w:rPr>
                <w:sz w:val="20"/>
                <w:szCs w:val="20"/>
                <w:color w:val="auto"/>
              </w:rPr>
            </w:pPr>
            <w:r>
              <w:rPr>
                <w:rFonts w:ascii="Arial" w:cs="Arial" w:eastAsia="Arial" w:hAnsi="Arial"/>
                <w:sz w:val="10"/>
                <w:szCs w:val="10"/>
                <w:color w:val="008000"/>
              </w:rPr>
              <w:t>(12)</w:t>
            </w: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center"/>
              <w:ind w:right="128"/>
              <w:spacing w:after="0"/>
              <w:rPr>
                <w:sz w:val="20"/>
                <w:szCs w:val="20"/>
                <w:color w:val="auto"/>
              </w:rPr>
            </w:pPr>
            <w:r>
              <w:rPr>
                <w:rFonts w:ascii="Arial" w:cs="Arial" w:eastAsia="Arial" w:hAnsi="Arial"/>
                <w:sz w:val="16"/>
                <w:szCs w:val="16"/>
                <w:color w:val="0000FF"/>
                <w:w w:val="89"/>
              </w:rPr>
              <w:t>18,947</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(12)</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160"/>
              <w:spacing w:after="0" w:line="135" w:lineRule="exact"/>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2"/>
              </w:rPr>
              <w:t>18,947</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color w:val="0000FF"/>
                <w:w w:val="92"/>
              </w:rPr>
              <w:t>18,947</w:t>
            </w:r>
          </w:p>
        </w:tc>
        <w:tc>
          <w:tcPr>
            <w:tcW w:w="640" w:type="dxa"/>
            <w:vAlign w:val="bottom"/>
            <w:vMerge w:val="restart"/>
          </w:tcPr>
          <w:p>
            <w:pPr>
              <w:ind w:left="340"/>
              <w:spacing w:after="0" w:line="135"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4"/>
              </w:rPr>
              <w:t>Shares</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Class F</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center"/>
              <w:ind w:right="207"/>
              <w:spacing w:after="0"/>
              <w:rPr>
                <w:sz w:val="20"/>
                <w:szCs w:val="20"/>
                <w:color w:val="auto"/>
              </w:rPr>
            </w:pPr>
            <w:r>
              <w:rPr>
                <w:rFonts w:ascii="Arial" w:cs="Arial" w:eastAsia="Arial" w:hAnsi="Arial"/>
                <w:sz w:val="10"/>
                <w:szCs w:val="10"/>
                <w:color w:val="008000"/>
              </w:rPr>
              <w:t>(12)</w:t>
            </w:r>
          </w:p>
        </w:tc>
        <w:tc>
          <w:tcPr>
            <w:tcW w:w="260" w:type="dxa"/>
            <w:vAlign w:val="bottom"/>
          </w:tcPr>
          <w:p>
            <w:pPr>
              <w:spacing w:after="0"/>
              <w:rPr>
                <w:sz w:val="15"/>
                <w:szCs w:val="15"/>
                <w:color w:val="auto"/>
              </w:rPr>
            </w:pPr>
          </w:p>
        </w:tc>
        <w:tc>
          <w:tcPr>
            <w:tcW w:w="440" w:type="dxa"/>
            <w:vAlign w:val="bottom"/>
            <w:vMerge w:val="restart"/>
          </w:tcPr>
          <w:p>
            <w:pPr>
              <w:jc w:val="center"/>
              <w:ind w:right="164"/>
              <w:spacing w:after="0"/>
              <w:rPr>
                <w:sz w:val="20"/>
                <w:szCs w:val="20"/>
                <w:color w:val="auto"/>
              </w:rPr>
            </w:pPr>
            <w:r>
              <w:rPr>
                <w:rFonts w:ascii="Arial" w:cs="Arial" w:eastAsia="Arial" w:hAnsi="Arial"/>
                <w:sz w:val="10"/>
                <w:szCs w:val="10"/>
                <w:color w:val="008000"/>
              </w:rPr>
              <w:t>(12)</w:t>
            </w: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center"/>
              <w:ind w:right="128"/>
              <w:spacing w:after="0"/>
              <w:rPr>
                <w:sz w:val="20"/>
                <w:szCs w:val="20"/>
                <w:color w:val="auto"/>
              </w:rPr>
            </w:pPr>
            <w:r>
              <w:rPr>
                <w:rFonts w:ascii="Arial" w:cs="Arial" w:eastAsia="Arial" w:hAnsi="Arial"/>
                <w:sz w:val="16"/>
                <w:szCs w:val="16"/>
                <w:color w:val="0000FF"/>
                <w:w w:val="89"/>
              </w:rPr>
              <w:t>18,947</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(12)</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160"/>
              <w:spacing w:after="0" w:line="135" w:lineRule="exact"/>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2"/>
              </w:rPr>
              <w:t>18,947</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color w:val="0000FF"/>
                <w:w w:val="92"/>
              </w:rPr>
              <w:t>18,947</w:t>
            </w:r>
          </w:p>
        </w:tc>
        <w:tc>
          <w:tcPr>
            <w:tcW w:w="640" w:type="dxa"/>
            <w:vAlign w:val="bottom"/>
            <w:vMerge w:val="restart"/>
          </w:tcPr>
          <w:p>
            <w:pPr>
              <w:ind w:left="340"/>
              <w:spacing w:after="0" w:line="135"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4"/>
              </w:rPr>
              <w:t>Shares</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Class G</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center"/>
              <w:ind w:right="207"/>
              <w:spacing w:after="0"/>
              <w:rPr>
                <w:sz w:val="20"/>
                <w:szCs w:val="20"/>
                <w:color w:val="auto"/>
              </w:rPr>
            </w:pPr>
            <w:r>
              <w:rPr>
                <w:rFonts w:ascii="Arial" w:cs="Arial" w:eastAsia="Arial" w:hAnsi="Arial"/>
                <w:sz w:val="10"/>
                <w:szCs w:val="10"/>
                <w:color w:val="008000"/>
              </w:rPr>
              <w:t>(12)</w:t>
            </w:r>
          </w:p>
        </w:tc>
        <w:tc>
          <w:tcPr>
            <w:tcW w:w="260" w:type="dxa"/>
            <w:vAlign w:val="bottom"/>
          </w:tcPr>
          <w:p>
            <w:pPr>
              <w:spacing w:after="0"/>
              <w:rPr>
                <w:sz w:val="15"/>
                <w:szCs w:val="15"/>
                <w:color w:val="auto"/>
              </w:rPr>
            </w:pPr>
          </w:p>
        </w:tc>
        <w:tc>
          <w:tcPr>
            <w:tcW w:w="440" w:type="dxa"/>
            <w:vAlign w:val="bottom"/>
            <w:vMerge w:val="restart"/>
          </w:tcPr>
          <w:p>
            <w:pPr>
              <w:jc w:val="center"/>
              <w:ind w:right="164"/>
              <w:spacing w:after="0"/>
              <w:rPr>
                <w:sz w:val="20"/>
                <w:szCs w:val="20"/>
                <w:color w:val="auto"/>
              </w:rPr>
            </w:pPr>
            <w:r>
              <w:rPr>
                <w:rFonts w:ascii="Arial" w:cs="Arial" w:eastAsia="Arial" w:hAnsi="Arial"/>
                <w:sz w:val="10"/>
                <w:szCs w:val="10"/>
                <w:color w:val="008000"/>
              </w:rPr>
              <w:t>(12)</w:t>
            </w: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center"/>
              <w:ind w:right="128"/>
              <w:spacing w:after="0"/>
              <w:rPr>
                <w:sz w:val="20"/>
                <w:szCs w:val="20"/>
                <w:color w:val="auto"/>
              </w:rPr>
            </w:pPr>
            <w:r>
              <w:rPr>
                <w:rFonts w:ascii="Arial" w:cs="Arial" w:eastAsia="Arial" w:hAnsi="Arial"/>
                <w:sz w:val="16"/>
                <w:szCs w:val="16"/>
                <w:color w:val="0000FF"/>
                <w:w w:val="89"/>
              </w:rPr>
              <w:t>23,683</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(12)</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160"/>
              <w:spacing w:after="0" w:line="135" w:lineRule="exact"/>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2"/>
              </w:rPr>
              <w:t>23,683</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color w:val="0000FF"/>
                <w:w w:val="92"/>
              </w:rPr>
              <w:t>23,683</w:t>
            </w:r>
          </w:p>
        </w:tc>
        <w:tc>
          <w:tcPr>
            <w:tcW w:w="640" w:type="dxa"/>
            <w:vAlign w:val="bottom"/>
            <w:vMerge w:val="restart"/>
          </w:tcPr>
          <w:p>
            <w:pPr>
              <w:ind w:left="340"/>
              <w:spacing w:after="0" w:line="135"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4"/>
              </w:rPr>
              <w:t>Shares</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Class H</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center"/>
              <w:ind w:right="207"/>
              <w:spacing w:after="0"/>
              <w:rPr>
                <w:sz w:val="20"/>
                <w:szCs w:val="20"/>
                <w:color w:val="auto"/>
              </w:rPr>
            </w:pPr>
            <w:r>
              <w:rPr>
                <w:rFonts w:ascii="Arial" w:cs="Arial" w:eastAsia="Arial" w:hAnsi="Arial"/>
                <w:sz w:val="10"/>
                <w:szCs w:val="10"/>
                <w:color w:val="008000"/>
              </w:rPr>
              <w:t>(12)</w:t>
            </w:r>
          </w:p>
        </w:tc>
        <w:tc>
          <w:tcPr>
            <w:tcW w:w="260" w:type="dxa"/>
            <w:vAlign w:val="bottom"/>
          </w:tcPr>
          <w:p>
            <w:pPr>
              <w:spacing w:after="0"/>
              <w:rPr>
                <w:sz w:val="15"/>
                <w:szCs w:val="15"/>
                <w:color w:val="auto"/>
              </w:rPr>
            </w:pPr>
          </w:p>
        </w:tc>
        <w:tc>
          <w:tcPr>
            <w:tcW w:w="440" w:type="dxa"/>
            <w:vAlign w:val="bottom"/>
            <w:vMerge w:val="restart"/>
          </w:tcPr>
          <w:p>
            <w:pPr>
              <w:jc w:val="center"/>
              <w:ind w:right="164"/>
              <w:spacing w:after="0"/>
              <w:rPr>
                <w:sz w:val="20"/>
                <w:szCs w:val="20"/>
                <w:color w:val="auto"/>
              </w:rPr>
            </w:pPr>
            <w:r>
              <w:rPr>
                <w:rFonts w:ascii="Arial" w:cs="Arial" w:eastAsia="Arial" w:hAnsi="Arial"/>
                <w:sz w:val="10"/>
                <w:szCs w:val="10"/>
                <w:color w:val="008000"/>
              </w:rPr>
              <w:t>(12)</w:t>
            </w: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center"/>
              <w:ind w:right="128"/>
              <w:spacing w:after="0"/>
              <w:rPr>
                <w:sz w:val="20"/>
                <w:szCs w:val="20"/>
                <w:color w:val="auto"/>
              </w:rPr>
            </w:pPr>
            <w:r>
              <w:rPr>
                <w:rFonts w:ascii="Arial" w:cs="Arial" w:eastAsia="Arial" w:hAnsi="Arial"/>
                <w:sz w:val="16"/>
                <w:szCs w:val="16"/>
                <w:color w:val="0000FF"/>
                <w:w w:val="89"/>
              </w:rPr>
              <w:t>23,683</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(12)</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160"/>
              <w:spacing w:after="0" w:line="135" w:lineRule="exact"/>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line="135" w:lineRule="exact"/>
              <w:rPr>
                <w:sz w:val="20"/>
                <w:szCs w:val="20"/>
                <w:color w:val="auto"/>
              </w:rPr>
            </w:pPr>
            <w:r>
              <w:rPr>
                <w:rFonts w:ascii="Arial" w:cs="Arial" w:eastAsia="Arial" w:hAnsi="Arial"/>
                <w:sz w:val="12"/>
                <w:szCs w:val="12"/>
                <w:color w:val="0000FF"/>
                <w:w w:val="92"/>
              </w:rPr>
              <w:t>23,683</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color w:val="0000FF"/>
                <w:w w:val="92"/>
              </w:rPr>
              <w:t>23,683</w:t>
            </w:r>
          </w:p>
        </w:tc>
        <w:tc>
          <w:tcPr>
            <w:tcW w:w="640" w:type="dxa"/>
            <w:vAlign w:val="bottom"/>
            <w:vMerge w:val="restart"/>
          </w:tcPr>
          <w:p>
            <w:pPr>
              <w:ind w:left="340"/>
              <w:spacing w:after="0" w:line="135"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4"/>
              </w:rPr>
              <w:t>Shares</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-5204460</wp:posOffset>
            </wp:positionV>
            <wp:extent cx="28575" cy="5209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52095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4"/>
          <w:szCs w:val="24"/>
          <w:color w:val="auto"/>
        </w:rPr>
      </w:pPr>
    </w:p>
    <w:p>
      <w:pPr>
        <w:ind w:left="40" w:right="220" w:hanging="5"/>
        <w:spacing w:after="0" w:line="249"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September 9, 2021, Sustainable Opportunities Acquisition Corp. ("SOAC") (the former name of the Issuer), consummated its initial business combination (the "Business Combination") with DeepGreen Metals Inc. ("DeepGreen") and changed its name to "TMC the metals company Inc." or "TMC". In connection with the Business Combination, these Common Shares were received in exchange for 217,099 Class A ordinary shares of SOAC.</w:t>
      </w:r>
    </w:p>
    <w:p>
      <w:pPr>
        <w:spacing w:after="0" w:line="24" w:lineRule="exact"/>
        <w:rPr>
          <w:rFonts w:ascii="Arial" w:cs="Arial" w:eastAsia="Arial" w:hAnsi="Arial"/>
          <w:sz w:val="12"/>
          <w:szCs w:val="12"/>
          <w:color w:val="008000"/>
        </w:rPr>
      </w:pPr>
    </w:p>
    <w:p>
      <w:pPr>
        <w:ind w:left="40" w:right="480" w:hanging="5"/>
        <w:spacing w:after="0" w:line="264"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closing of the transactions contemplated by the Business Combination, these Common Shares were received in exchange for 30,682 Class A ordinary shares of SOAC. The Reporting Person disclaims beneficial ownership over any securities reported except to the extent of her pecuniary interest therein, if any.</w:t>
      </w:r>
    </w:p>
    <w:p>
      <w:pPr>
        <w:spacing w:after="0" w:line="15"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Fully vested as of September 1, 2020.</w:t>
      </w:r>
    </w:p>
    <w:p>
      <w:pPr>
        <w:spacing w:after="0" w:line="45" w:lineRule="exact"/>
        <w:rPr>
          <w:rFonts w:ascii="Arial" w:cs="Arial" w:eastAsia="Arial" w:hAnsi="Arial"/>
          <w:sz w:val="12"/>
          <w:szCs w:val="12"/>
          <w:color w:val="008000"/>
        </w:rPr>
      </w:pPr>
    </w:p>
    <w:p>
      <w:pPr>
        <w:ind w:left="40" w:right="280" w:hanging="5"/>
        <w:spacing w:after="0" w:line="264"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Also includes the right to purchase 23,999 Class A Special Shares, 47,999 Class B Special Shares, 47,999 Class C Special Shares, 95,998 Class D Special Shares, 95,998 Class E Special Shares, 95,998 Class F Special Shares, 119,998 Class G Special Shares and 119,998 Class H Special Shares.</w:t>
      </w:r>
    </w:p>
    <w:p>
      <w:pPr>
        <w:spacing w:after="0" w:line="15"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Received in connection with the Business Combination in exchange for a stock option to acquire 950,000 shares of DeepGreen common stock for $0.75 per share.</w:t>
      </w:r>
    </w:p>
    <w:p>
      <w:pPr>
        <w:spacing w:after="0" w:line="45"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Fully vested as of March 6, 2021.</w:t>
      </w:r>
    </w:p>
    <w:p>
      <w:pPr>
        <w:sectPr>
          <w:pgSz w:w="11900" w:h="16838" w:orient="portrait"/>
          <w:cols w:equalWidth="0" w:num="1">
            <w:col w:w="11080"/>
          </w:cols>
          <w:pgMar w:left="460" w:top="218" w:right="359" w:bottom="0" w:gutter="0" w:footer="0" w:header="0"/>
          <w:type w:val="continuous"/>
        </w:sectPr>
      </w:pPr>
    </w:p>
    <w:bookmarkStart w:id="1" w:name="page2"/>
    <w:bookmarkEnd w:id="1"/>
    <w:p>
      <w:pPr>
        <w:ind w:left="5" w:right="140" w:hanging="5"/>
        <w:spacing w:after="0" w:line="264"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Also includes the right to purchase 5,718 Class A Special Shares, 11,437 Class B Special Shares, 11,437 Class C Special Shares, 22,875 Class D Special Shares, 22,875 Class E Special Shares, 22,875 Class F Special Shares, 28,594 Class G Special Shares and 28,594 Class H Special Shares.</w:t>
      </w:r>
    </w:p>
    <w:p>
      <w:pPr>
        <w:spacing w:after="0" w:line="15" w:lineRule="exact"/>
        <w:rPr>
          <w:rFonts w:ascii="Arial" w:cs="Arial" w:eastAsia="Arial" w:hAnsi="Arial"/>
          <w:sz w:val="12"/>
          <w:szCs w:val="12"/>
          <w:color w:val="008000"/>
        </w:rPr>
      </w:pPr>
    </w:p>
    <w:p>
      <w:pPr>
        <w:ind w:left="125" w:hanging="125"/>
        <w:spacing w:after="0"/>
        <w:tabs>
          <w:tab w:leader="none" w:pos="12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Received in connection with the Business Combination in exchange for a stock option to acquire 226,374 shares of DeepGreen common stock for $0.75 per share.</w:t>
      </w:r>
    </w:p>
    <w:p>
      <w:pPr>
        <w:spacing w:after="0" w:line="45" w:lineRule="exact"/>
        <w:rPr>
          <w:rFonts w:ascii="Arial" w:cs="Arial" w:eastAsia="Arial" w:hAnsi="Arial"/>
          <w:sz w:val="12"/>
          <w:szCs w:val="12"/>
          <w:color w:val="008000"/>
        </w:rPr>
      </w:pPr>
    </w:p>
    <w:p>
      <w:pPr>
        <w:ind w:left="5" w:hanging="5"/>
        <w:spacing w:after="0" w:line="249"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stock options vest as follows, subject to continued service through each vesting threshold: (i) 25% if TMC's market capitalization equals or exceeds $3.0 billion; (ii) 35% if TMC's market capitalization equals or exceeds $6.0 billion; (iii) 20% if the International Seabed Authority grants an exploitation contract to TMC; and (iv) 20% upon the commencement of the first commercial production following the grant of the exploitation contract.</w:t>
      </w:r>
    </w:p>
    <w:p>
      <w:pPr>
        <w:spacing w:after="0" w:line="24" w:lineRule="exact"/>
        <w:rPr>
          <w:rFonts w:ascii="Arial" w:cs="Arial" w:eastAsia="Arial" w:hAnsi="Arial"/>
          <w:sz w:val="12"/>
          <w:szCs w:val="12"/>
          <w:color w:val="008000"/>
        </w:rPr>
      </w:pPr>
    </w:p>
    <w:p>
      <w:pPr>
        <w:ind w:left="5" w:right="20" w:hanging="5"/>
        <w:spacing w:after="0" w:line="264" w:lineRule="auto"/>
        <w:tabs>
          <w:tab w:leader="none" w:pos="18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Also includes the right to purchase 22,064 Class A Special Shares, 44,128 Class B Special Shares, 44,128 Class C Special Shares, 88,256 Class D Special Shares, 88,256 Class E Special Shares, 88,256 Class F Special Shares, 110,321 Class G Special Shares and 110,321 Class H Special Shares.</w:t>
      </w:r>
    </w:p>
    <w:p>
      <w:pPr>
        <w:spacing w:after="0" w:line="15" w:lineRule="exact"/>
        <w:rPr>
          <w:rFonts w:ascii="Arial" w:cs="Arial" w:eastAsia="Arial" w:hAnsi="Arial"/>
          <w:sz w:val="12"/>
          <w:szCs w:val="12"/>
          <w:color w:val="008000"/>
        </w:rPr>
      </w:pPr>
    </w:p>
    <w:p>
      <w:pPr>
        <w:ind w:left="185" w:hanging="185"/>
        <w:spacing w:after="0"/>
        <w:tabs>
          <w:tab w:leader="none" w:pos="18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Received in connection with the Business Combination in exchange for a stock option to acquire 873,385 shares of DeepGreen common stock for $0.75 per share.</w:t>
      </w:r>
    </w:p>
    <w:p>
      <w:pPr>
        <w:spacing w:after="0" w:line="45" w:lineRule="exact"/>
        <w:rPr>
          <w:rFonts w:ascii="Arial" w:cs="Arial" w:eastAsia="Arial" w:hAnsi="Arial"/>
          <w:sz w:val="12"/>
          <w:szCs w:val="12"/>
          <w:color w:val="008000"/>
        </w:rPr>
      </w:pPr>
    </w:p>
    <w:p>
      <w:pPr>
        <w:ind w:left="5" w:hanging="5"/>
        <w:spacing w:after="0" w:line="242" w:lineRule="auto"/>
        <w:tabs>
          <w:tab w:leader="none" w:pos="18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the Class A Special Shares, the Class B Special Shares, the Class C Special Shares, the Class D Special Shares, the Class E Special Shares, the Class F Special Shares, the Class G Special Shares and the Class H Special Shares (collectively,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36" w:lineRule="exact"/>
        <w:rPr>
          <w:sz w:val="20"/>
          <w:szCs w:val="20"/>
          <w:color w:val="auto"/>
        </w:rPr>
      </w:pPr>
    </w:p>
    <w:tbl>
      <w:tblPr>
        <w:tblLayout w:type="fixed"/>
        <w:tblInd w:w="6565" w:type="dxa"/>
        <w:tblCellMar>
          <w:top w:w="0" w:type="dxa"/>
          <w:left w:w="0" w:type="dxa"/>
          <w:bottom w:w="0" w:type="dxa"/>
          <w:right w:w="0" w:type="dxa"/>
        </w:tblCellMar>
      </w:tblPr>
      <w:tr>
        <w:trPr>
          <w:trHeight w:val="184"/>
        </w:trPr>
        <w:tc>
          <w:tcPr>
            <w:tcW w:w="2100" w:type="dxa"/>
            <w:vAlign w:val="bottom"/>
            <w:gridSpan w:val="2"/>
          </w:tcPr>
          <w:p>
            <w:pPr>
              <w:spacing w:after="0"/>
              <w:rPr>
                <w:sz w:val="20"/>
                <w:szCs w:val="20"/>
                <w:color w:val="auto"/>
              </w:rPr>
            </w:pPr>
            <w:r>
              <w:rPr>
                <w:rFonts w:ascii="Arial" w:cs="Arial" w:eastAsia="Arial" w:hAnsi="Arial"/>
                <w:sz w:val="16"/>
                <w:szCs w:val="16"/>
                <w:color w:val="0000FF"/>
                <w:w w:val="95"/>
              </w:rPr>
              <w:t>/s/ Jaime Lee, Attorney-in-Fact</w:t>
            </w: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w w:val="87"/>
              </w:rPr>
              <w:t>09/13/2021</w:t>
            </w:r>
          </w:p>
        </w:tc>
      </w:tr>
      <w:tr>
        <w:trPr>
          <w:trHeight w:val="20"/>
        </w:trPr>
        <w:tc>
          <w:tcPr>
            <w:tcW w:w="1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2"/>
        </w:trPr>
        <w:tc>
          <w:tcPr>
            <w:tcW w:w="1980" w:type="dxa"/>
            <w:vAlign w:val="bottom"/>
          </w:tcPr>
          <w:p>
            <w:pPr>
              <w:spacing w:after="0"/>
              <w:rPr>
                <w:sz w:val="20"/>
                <w:szCs w:val="20"/>
                <w:color w:val="auto"/>
              </w:rPr>
            </w:pPr>
            <w:r>
              <w:rPr>
                <w:rFonts w:ascii="Arial" w:cs="Arial" w:eastAsia="Arial" w:hAnsi="Arial"/>
                <w:sz w:val="12"/>
                <w:szCs w:val="12"/>
                <w:color w:val="auto"/>
              </w:rPr>
              <w:t>** Signature of Reporting Person</w:t>
            </w:r>
          </w:p>
        </w:tc>
        <w:tc>
          <w:tcPr>
            <w:tcW w:w="12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Date</w:t>
            </w:r>
          </w:p>
        </w:tc>
      </w:tr>
    </w:tbl>
    <w:p>
      <w:pPr>
        <w:spacing w:after="0" w:line="37"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5" w:right="3780" w:hanging="5"/>
        <w:spacing w:after="0" w:line="31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5"/>
      </w:cols>
      <w:pgMar w:left="495"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7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2021-09-13T18:35:05Z</dcterms:created>
  <dcterms:modified xsi:type="dcterms:W3CDTF">2021-09-13T18:35:05Z</dcterms:modified>
</cp:coreProperties>
</file>