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-598805</wp:posOffset>
            </wp:positionV>
            <wp:extent cx="5651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140"/>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-598805</wp:posOffset>
            </wp:positionV>
            <wp:extent cx="5651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1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7049135" cy="5066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50660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Madsbjerg Christian</w:t>
        </w:r>
      </w:hyperlink>
    </w:p>
    <w:p>
      <w:pPr>
        <w:spacing w:after="0" w:line="29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TMC THE METALS COMPANY INC.</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595 HOWE STREET, 10TH FLOOR</w:t>
      </w:r>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1960" w:type="dxa"/>
            <w:vAlign w:val="bottom"/>
          </w:tcPr>
          <w:p>
            <w:pPr>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12"/>
                <w:szCs w:val="12"/>
                <w:color w:val="auto"/>
              </w:rPr>
            </w:pPr>
          </w:p>
        </w:tc>
      </w:tr>
      <w:tr>
        <w:trPr>
          <w:trHeight w:val="222"/>
        </w:trPr>
        <w:tc>
          <w:tcPr>
            <w:tcW w:w="1960" w:type="dxa"/>
            <w:vAlign w:val="bottom"/>
          </w:tcPr>
          <w:p>
            <w:pPr>
              <w:ind w:left="20"/>
              <w:spacing w:after="0"/>
              <w:rPr>
                <w:sz w:val="20"/>
                <w:szCs w:val="20"/>
                <w:color w:val="auto"/>
              </w:rPr>
            </w:pPr>
            <w:r>
              <w:rPr>
                <w:rFonts w:ascii="Arial" w:cs="Arial" w:eastAsia="Arial" w:hAnsi="Arial"/>
                <w:sz w:val="16"/>
                <w:szCs w:val="16"/>
                <w:color w:val="0000FF"/>
              </w:rPr>
              <w:t>VANCOUVER   A1</w:t>
            </w:r>
          </w:p>
        </w:tc>
        <w:tc>
          <w:tcPr>
            <w:tcW w:w="1120" w:type="dxa"/>
            <w:vAlign w:val="bottom"/>
          </w:tcPr>
          <w:p>
            <w:pPr>
              <w:ind w:left="520"/>
              <w:spacing w:after="0"/>
              <w:rPr>
                <w:sz w:val="20"/>
                <w:szCs w:val="20"/>
                <w:color w:val="auto"/>
              </w:rPr>
            </w:pPr>
            <w:r>
              <w:rPr>
                <w:rFonts w:ascii="Arial" w:cs="Arial" w:eastAsia="Arial" w:hAnsi="Arial"/>
                <w:sz w:val="16"/>
                <w:szCs w:val="16"/>
                <w:color w:val="0000FF"/>
                <w:w w:val="91"/>
              </w:rPr>
              <w:t>V6C 2T5</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3840" w:type="dxa"/>
            <w:vAlign w:val="bottom"/>
            <w:gridSpan w:val="4"/>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TMC the metals Co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TMC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20" w:type="dxa"/>
            <w:vAlign w:val="bottom"/>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1860" w:type="dxa"/>
            <w:vAlign w:val="bottom"/>
            <w:tcBorders>
              <w:bottom w:val="single" w:sz="8" w:color="808080"/>
            </w:tcBorders>
          </w:tcPr>
          <w:p>
            <w:pPr>
              <w:spacing w:after="0"/>
              <w:rPr>
                <w:sz w:val="18"/>
                <w:szCs w:val="18"/>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2"/>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tcPr>
          <w:p>
            <w:pPr>
              <w:ind w:left="580"/>
              <w:spacing w:after="0" w:line="103" w:lineRule="exact"/>
              <w:rPr>
                <w:sz w:val="20"/>
                <w:szCs w:val="20"/>
                <w:color w:val="auto"/>
              </w:rPr>
            </w:pPr>
            <w:r>
              <w:rPr>
                <w:rFonts w:ascii="Arial" w:cs="Arial" w:eastAsia="Arial" w:hAnsi="Arial"/>
                <w:sz w:val="11"/>
                <w:szCs w:val="11"/>
                <w:color w:val="auto"/>
              </w:rPr>
              <w:t>below)</w:t>
            </w:r>
          </w:p>
        </w:tc>
        <w:tc>
          <w:tcPr>
            <w:tcW w:w="1460" w:type="dxa"/>
            <w:vAlign w:val="bottom"/>
          </w:tcPr>
          <w:p>
            <w:pPr>
              <w:ind w:left="340"/>
              <w:spacing w:after="0" w:line="103"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66"/>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980" w:type="dxa"/>
            <w:vAlign w:val="bottom"/>
            <w:gridSpan w:val="3"/>
          </w:tcPr>
          <w:p>
            <w:pPr>
              <w:ind w:left="60"/>
              <w:spacing w:after="0"/>
              <w:rPr>
                <w:sz w:val="20"/>
                <w:szCs w:val="20"/>
                <w:color w:val="auto"/>
              </w:rPr>
            </w:pPr>
            <w:r>
              <w:rPr>
                <w:rFonts w:ascii="Arial" w:cs="Arial" w:eastAsia="Arial" w:hAnsi="Arial"/>
                <w:sz w:val="16"/>
                <w:szCs w:val="16"/>
                <w:color w:val="0000FF"/>
              </w:rPr>
              <w:t>09/09/2021</w:t>
            </w:r>
          </w:p>
        </w:tc>
        <w:tc>
          <w:tcPr>
            <w:tcW w:w="18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80" w:type="dxa"/>
            <w:vAlign w:val="bottom"/>
            <w:gridSpan w:val="2"/>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60" w:space="680"/>
            <w:col w:w="7240"/>
          </w:cols>
          <w:pgMar w:left="460" w:top="219" w:right="359" w:bottom="1440" w:gutter="0" w:footer="0" w:header="0"/>
          <w:type w:val="continuous"/>
        </w:sectPr>
      </w:pPr>
    </w:p>
    <w:p>
      <w:pPr>
        <w:spacing w:after="0" w:line="1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1860" w:type="dxa"/>
            <w:vAlign w:val="bottom"/>
          </w:tcPr>
          <w:p>
            <w:pPr>
              <w:ind w:left="880"/>
              <w:spacing w:after="0" w:line="120"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ind w:left="88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10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5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5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 (Instr.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and 4)</w:t>
            </w:r>
          </w:p>
        </w:tc>
        <w:tc>
          <w:tcPr>
            <w:tcW w:w="88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Expiration</w:t>
            </w:r>
          </w:p>
        </w:tc>
        <w:tc>
          <w:tcPr>
            <w:tcW w:w="70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120"/>
              <w:spacing w:after="0"/>
              <w:rPr>
                <w:sz w:val="20"/>
                <w:szCs w:val="20"/>
                <w:color w:val="auto"/>
              </w:rPr>
            </w:pPr>
            <w:r>
              <w:rPr>
                <w:rFonts w:ascii="Arial" w:cs="Arial" w:eastAsia="Arial" w:hAnsi="Arial"/>
                <w:sz w:val="12"/>
                <w:szCs w:val="12"/>
                <w:color w:val="0000FF"/>
              </w:rPr>
              <w:t>Common</w:t>
            </w: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60" w:type="dxa"/>
            <w:vAlign w:val="bottom"/>
          </w:tcPr>
          <w:p>
            <w:pPr>
              <w:ind w:left="60"/>
              <w:spacing w:after="0" w:line="120"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2.6</w:t>
            </w: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ind w:right="3"/>
              <w:spacing w:after="0"/>
              <w:rPr>
                <w:sz w:val="20"/>
                <w:szCs w:val="20"/>
                <w:color w:val="auto"/>
              </w:rPr>
            </w:pPr>
            <w:r>
              <w:rPr>
                <w:rFonts w:ascii="Arial" w:cs="Arial" w:eastAsia="Arial" w:hAnsi="Arial"/>
                <w:sz w:val="12"/>
                <w:szCs w:val="12"/>
                <w:color w:val="0000FF"/>
                <w:w w:val="92"/>
              </w:rPr>
              <w:t>578,931</w:t>
            </w:r>
          </w:p>
        </w:tc>
        <w:tc>
          <w:tcPr>
            <w:tcW w:w="220" w:type="dxa"/>
            <w:vAlign w:val="bottom"/>
          </w:tcPr>
          <w:p>
            <w:pPr>
              <w:spacing w:after="0"/>
              <w:rPr>
                <w:sz w:val="10"/>
                <w:szCs w:val="10"/>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0000FF"/>
                <w:w w:val="93"/>
              </w:rPr>
              <w:t>06/30/2028</w:t>
            </w:r>
          </w:p>
        </w:tc>
        <w:tc>
          <w:tcPr>
            <w:tcW w:w="70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4"/>
              </w:rPr>
              <w:t>578,931</w:t>
            </w:r>
            <w:r>
              <w:rPr>
                <w:rFonts w:ascii="Arial" w:cs="Arial" w:eastAsia="Arial" w:hAnsi="Arial"/>
                <w:sz w:val="20"/>
                <w:szCs w:val="20"/>
                <w:color w:val="008000"/>
                <w:w w:val="84"/>
                <w:vertAlign w:val="superscript"/>
              </w:rPr>
              <w:t>(2)(3)</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2"/>
              </w:rPr>
              <w:t>578,931</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00" w:type="dxa"/>
            <w:vAlign w:val="bottom"/>
          </w:tcPr>
          <w:p>
            <w:pPr>
              <w:ind w:left="60"/>
              <w:spacing w:after="0" w:line="151" w:lineRule="exact"/>
              <w:rPr>
                <w:sz w:val="20"/>
                <w:szCs w:val="20"/>
                <w:color w:val="auto"/>
              </w:rPr>
            </w:pPr>
            <w:r>
              <w:rPr>
                <w:rFonts w:ascii="Arial" w:cs="Arial" w:eastAsia="Arial" w:hAnsi="Arial"/>
                <w:sz w:val="11"/>
                <w:szCs w:val="11"/>
                <w:color w:val="0000FF"/>
                <w:w w:val="99"/>
              </w:rPr>
              <w:t>Shares</w:t>
            </w:r>
            <w:r>
              <w:rPr>
                <w:rFonts w:ascii="Arial" w:cs="Arial" w:eastAsia="Arial" w:hAnsi="Arial"/>
                <w:sz w:val="17"/>
                <w:szCs w:val="17"/>
                <w:color w:val="008000"/>
                <w:w w:val="99"/>
                <w:vertAlign w:val="superscript"/>
              </w:rPr>
              <w:t>(2)(3)</w:t>
            </w:r>
          </w:p>
        </w:tc>
        <w:tc>
          <w:tcPr>
            <w:tcW w:w="8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120"/>
              <w:spacing w:after="0"/>
              <w:rPr>
                <w:sz w:val="20"/>
                <w:szCs w:val="20"/>
                <w:color w:val="auto"/>
              </w:rPr>
            </w:pPr>
            <w:r>
              <w:rPr>
                <w:rFonts w:ascii="Arial" w:cs="Arial" w:eastAsia="Arial" w:hAnsi="Arial"/>
                <w:sz w:val="12"/>
                <w:szCs w:val="12"/>
                <w:color w:val="0000FF"/>
              </w:rPr>
              <w:t>Common</w:t>
            </w: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60" w:type="dxa"/>
            <w:vAlign w:val="bottom"/>
          </w:tcPr>
          <w:p>
            <w:pPr>
              <w:ind w:left="60"/>
              <w:spacing w:after="0" w:line="120"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0.52</w:t>
            </w: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11,578</w:t>
            </w:r>
          </w:p>
        </w:tc>
        <w:tc>
          <w:tcPr>
            <w:tcW w:w="220" w:type="dxa"/>
            <w:vAlign w:val="bottom"/>
          </w:tcPr>
          <w:p>
            <w:pPr>
              <w:spacing w:after="0"/>
              <w:rPr>
                <w:sz w:val="10"/>
                <w:szCs w:val="10"/>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0000FF"/>
                <w:w w:val="93"/>
              </w:rPr>
              <w:t>02/17/2026</w:t>
            </w:r>
          </w:p>
        </w:tc>
        <w:tc>
          <w:tcPr>
            <w:tcW w:w="70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5"/>
              </w:rPr>
              <w:t>11,578</w:t>
            </w:r>
            <w:r>
              <w:rPr>
                <w:rFonts w:ascii="Arial" w:cs="Arial" w:eastAsia="Arial" w:hAnsi="Arial"/>
                <w:sz w:val="20"/>
                <w:szCs w:val="20"/>
                <w:color w:val="008000"/>
                <w:w w:val="85"/>
                <w:vertAlign w:val="superscript"/>
              </w:rPr>
              <w:t>(6)</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87"/>
              </w:rPr>
              <w:t>11,578</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00" w:type="dxa"/>
            <w:vAlign w:val="bottom"/>
          </w:tcPr>
          <w:p>
            <w:pPr>
              <w:ind w:left="120"/>
              <w:spacing w:after="0" w:line="151" w:lineRule="exact"/>
              <w:rPr>
                <w:sz w:val="20"/>
                <w:szCs w:val="20"/>
                <w:color w:val="auto"/>
              </w:rPr>
            </w:pPr>
            <w:r>
              <w:rPr>
                <w:rFonts w:ascii="Arial" w:cs="Arial" w:eastAsia="Arial" w:hAnsi="Arial"/>
                <w:sz w:val="11"/>
                <w:szCs w:val="11"/>
                <w:color w:val="0000FF"/>
              </w:rPr>
              <w:t>Shares</w:t>
            </w:r>
            <w:r>
              <w:rPr>
                <w:rFonts w:ascii="Arial" w:cs="Arial" w:eastAsia="Arial" w:hAnsi="Arial"/>
                <w:sz w:val="17"/>
                <w:szCs w:val="17"/>
                <w:color w:val="008000"/>
                <w:vertAlign w:val="superscript"/>
              </w:rPr>
              <w:t>(6)</w:t>
            </w:r>
          </w:p>
        </w:tc>
        <w:tc>
          <w:tcPr>
            <w:tcW w:w="8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120"/>
              <w:spacing w:after="0"/>
              <w:rPr>
                <w:sz w:val="20"/>
                <w:szCs w:val="20"/>
                <w:color w:val="auto"/>
              </w:rPr>
            </w:pPr>
            <w:r>
              <w:rPr>
                <w:rFonts w:ascii="Arial" w:cs="Arial" w:eastAsia="Arial" w:hAnsi="Arial"/>
                <w:sz w:val="12"/>
                <w:szCs w:val="12"/>
                <w:color w:val="0000FF"/>
              </w:rPr>
              <w:t>Common</w:t>
            </w: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60" w:type="dxa"/>
            <w:vAlign w:val="bottom"/>
          </w:tcPr>
          <w:p>
            <w:pPr>
              <w:ind w:left="60"/>
              <w:spacing w:after="0" w:line="120"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0.65</w:t>
            </w:r>
          </w:p>
        </w:tc>
        <w:tc>
          <w:tcPr>
            <w:tcW w:w="102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ind w:right="3"/>
              <w:spacing w:after="0"/>
              <w:rPr>
                <w:sz w:val="20"/>
                <w:szCs w:val="20"/>
                <w:color w:val="auto"/>
              </w:rPr>
            </w:pPr>
            <w:r>
              <w:rPr>
                <w:rFonts w:ascii="Arial" w:cs="Arial" w:eastAsia="Arial" w:hAnsi="Arial"/>
                <w:sz w:val="12"/>
                <w:szCs w:val="12"/>
                <w:color w:val="0000FF"/>
                <w:w w:val="92"/>
              </w:rPr>
              <w:t>126,407</w:t>
            </w:r>
          </w:p>
        </w:tc>
        <w:tc>
          <w:tcPr>
            <w:tcW w:w="220" w:type="dxa"/>
            <w:vAlign w:val="bottom"/>
          </w:tcPr>
          <w:p>
            <w:pPr>
              <w:spacing w:after="0"/>
              <w:rPr>
                <w:sz w:val="10"/>
                <w:szCs w:val="10"/>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70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6"/>
              </w:rPr>
              <w:t>126,407</w:t>
            </w:r>
            <w:r>
              <w:rPr>
                <w:rFonts w:ascii="Arial" w:cs="Arial" w:eastAsia="Arial" w:hAnsi="Arial"/>
                <w:sz w:val="20"/>
                <w:szCs w:val="20"/>
                <w:color w:val="008000"/>
                <w:w w:val="86"/>
                <w:vertAlign w:val="superscript"/>
              </w:rPr>
              <w:t>(9)</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2"/>
              </w:rPr>
              <w:t>126,407</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tcPr>
          <w:p>
            <w:pPr>
              <w:ind w:left="120"/>
              <w:spacing w:after="0" w:line="162"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(9)</w:t>
            </w:r>
          </w:p>
        </w:tc>
        <w:tc>
          <w:tcPr>
            <w:tcW w:w="8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 as of July 1, 2021.</w:t>
      </w:r>
    </w:p>
    <w:p>
      <w:pPr>
        <w:spacing w:after="0" w:line="46" w:lineRule="exact"/>
        <w:rPr>
          <w:rFonts w:ascii="Arial" w:cs="Arial" w:eastAsia="Arial" w:hAnsi="Arial"/>
          <w:sz w:val="12"/>
          <w:szCs w:val="12"/>
          <w:color w:val="008000"/>
        </w:rPr>
      </w:pPr>
    </w:p>
    <w:p>
      <w:pPr>
        <w:jc w:val="both"/>
        <w:ind w:left="40" w:right="140" w:hanging="4"/>
        <w:spacing w:after="0" w:line="243"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28" w:lineRule="exact"/>
        <w:rPr>
          <w:rFonts w:ascii="Arial" w:cs="Arial" w:eastAsia="Arial" w:hAnsi="Arial"/>
          <w:sz w:val="12"/>
          <w:szCs w:val="12"/>
          <w:color w:val="008000"/>
        </w:rPr>
      </w:pPr>
    </w:p>
    <w:p>
      <w:pPr>
        <w:ind w:left="40" w:right="220" w:hanging="4"/>
        <w:spacing w:after="0" w:line="266"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Also includes the right to purchase 12,631 Class A Special Shares, 25,262 Class B Special Shares, 25,262 Class C Special Shares, 50,525 Class D Special Shares, 50,525 Class E Special Shares, 50,525 Class F Special Shares, 63,157 Class G Special Shares and 63,157 Class H Special Shares.</w:t>
      </w:r>
    </w:p>
    <w:p>
      <w:pPr>
        <w:spacing w:after="0" w:line="14"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500,000 shares of DeepGreen common stock for $3.00 per share.</w:t>
      </w:r>
    </w:p>
    <w:p>
      <w:pPr>
        <w:spacing w:after="0" w:line="46"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 as of February 26, 2021.</w:t>
      </w:r>
    </w:p>
    <w:p>
      <w:pPr>
        <w:spacing w:after="0" w:line="46" w:lineRule="exact"/>
        <w:rPr>
          <w:rFonts w:ascii="Arial" w:cs="Arial" w:eastAsia="Arial" w:hAnsi="Arial"/>
          <w:sz w:val="12"/>
          <w:szCs w:val="12"/>
          <w:color w:val="008000"/>
        </w:rPr>
      </w:pPr>
    </w:p>
    <w:p>
      <w:pPr>
        <w:ind w:left="40" w:right="160" w:hanging="4"/>
        <w:spacing w:after="0" w:line="266"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Also includes the right to purchase 252 Class A Special Shares, 505 Class B Special Shares, 505 Class C Special Shares, 1,010 Class D Special Shares, 1,010 Class E Special Shares, 1,010 Class F Special Shares, 1,263 Class G Special Shares and 1,263 Class H Special Shares.</w:t>
      </w:r>
    </w:p>
    <w:p>
      <w:pPr>
        <w:spacing w:after="0" w:line="14"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10,000 shares of DeepGreen common stock for $0.60 per share.</w:t>
      </w:r>
    </w:p>
    <w:p>
      <w:pPr>
        <w:spacing w:after="0" w:line="46" w:lineRule="exact"/>
        <w:rPr>
          <w:rFonts w:ascii="Arial" w:cs="Arial" w:eastAsia="Arial" w:hAnsi="Arial"/>
          <w:sz w:val="12"/>
          <w:szCs w:val="12"/>
          <w:color w:val="008000"/>
        </w:rPr>
      </w:pPr>
    </w:p>
    <w:p>
      <w:pPr>
        <w:ind w:left="40" w:right="140" w:hanging="4"/>
        <w:spacing w:after="0" w:line="285" w:lineRule="auto"/>
        <w:tabs>
          <w:tab w:leader="none" w:pos="16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stock options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 exploitation contract. These stock options are exercisable at any time until March 5 of the year following vesting of such stock option (any such date, the "Exercise Date"). These stock options expire on the day after the Exercise Date.</w:t>
      </w:r>
    </w:p>
    <w:p>
      <w:pPr>
        <w:spacing w:after="0" w:line="5" w:lineRule="exact"/>
        <w:rPr>
          <w:rFonts w:ascii="Arial" w:cs="Arial" w:eastAsia="Arial" w:hAnsi="Arial"/>
          <w:sz w:val="11"/>
          <w:szCs w:val="11"/>
          <w:color w:val="008000"/>
        </w:rPr>
      </w:pPr>
    </w:p>
    <w:p>
      <w:pPr>
        <w:ind w:left="40" w:right="420" w:hanging="4"/>
        <w:spacing w:after="0" w:line="266"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Also includes the right to purchase 2,758 Class A Special Shares, 5,516 Class B Special Shares, 5,516 Class C Special Shares, 11,032 Class D Special Shares, 11,032 Class E Special Shares, 11,032 Class F Special Shares, 13,790 Class G Special Shares and 13,790 Class H Special Shares.</w:t>
      </w:r>
    </w:p>
    <w:p>
      <w:pPr>
        <w:spacing w:after="0" w:line="14" w:lineRule="exact"/>
        <w:rPr>
          <w:rFonts w:ascii="Arial" w:cs="Arial" w:eastAsia="Arial" w:hAnsi="Arial"/>
          <w:sz w:val="12"/>
          <w:szCs w:val="12"/>
          <w:color w:val="008000"/>
        </w:rPr>
      </w:pPr>
    </w:p>
    <w:p>
      <w:pPr>
        <w:ind w:left="220" w:hanging="184"/>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109,173 shares of DeepGreen common stock for $0.75 per share.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Arial" w:cs="Arial" w:eastAsia="Arial" w:hAnsi="Arial"/>
                <w:sz w:val="16"/>
                <w:szCs w:val="16"/>
                <w:color w:val="0000FF"/>
                <w:w w:val="90"/>
              </w:rPr>
              <w:t>/s/ Jaime Lee, Attorney-in-Fact</w:t>
            </w:r>
          </w:p>
        </w:tc>
        <w:tc>
          <w:tcPr>
            <w:tcW w:w="10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w w:val="87"/>
              </w:rPr>
              <w:t>09/13/2021</w:t>
            </w:r>
          </w:p>
        </w:tc>
      </w:tr>
      <w:tr>
        <w:trPr>
          <w:trHeight w:val="20"/>
        </w:trPr>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1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40" w:hanging="4"/>
        <w:spacing w:after="0" w:line="319"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443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2021-09-13T18:38:19Z</dcterms:created>
  <dcterms:modified xsi:type="dcterms:W3CDTF">2021-09-13T18:38:19Z</dcterms:modified>
</cp:coreProperties>
</file>