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7580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75806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Shesky Craig</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595 HOWE STREET,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TMC the metals Co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09/09/2021</w:t>
      </w:r>
    </w:p>
    <w:p>
      <w:pPr>
        <w:spacing w:after="0" w:line="20" w:lineRule="exact"/>
        <w:rPr>
          <w:sz w:val="24"/>
          <w:szCs w:val="24"/>
          <w:color w:val="auto"/>
        </w:rPr>
      </w:pPr>
      <w:r>
        <w:rPr>
          <w:sz w:val="24"/>
          <w:szCs w:val="24"/>
          <w:color w:val="auto"/>
        </w:rPr>
        <w:br w:type="column"/>
      </w:r>
    </w:p>
    <w:p>
      <w:pPr>
        <w:ind w:right="680"/>
        <w:spacing w:after="0" w:line="23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20"/>
        <w:spacing w:after="0"/>
        <w:rPr>
          <w:sz w:val="20"/>
          <w:szCs w:val="20"/>
          <w:color w:val="auto"/>
        </w:rPr>
      </w:pPr>
      <w:r>
        <w:rPr>
          <w:rFonts w:ascii="Arial" w:cs="Arial" w:eastAsia="Arial" w:hAnsi="Arial"/>
          <w:sz w:val="16"/>
          <w:szCs w:val="16"/>
          <w:color w:val="0000FF"/>
        </w:rPr>
        <w:t>Chief Financial Officer</w:t>
      </w:r>
    </w:p>
    <w:p>
      <w:pPr>
        <w:spacing w:after="0" w:line="305" w:lineRule="exact"/>
        <w:rPr>
          <w:sz w:val="24"/>
          <w:szCs w:val="24"/>
          <w:color w:val="auto"/>
        </w:rPr>
      </w:pPr>
    </w:p>
    <w:p>
      <w:pPr>
        <w:sectPr>
          <w:pgSz w:w="11900" w:h="16838" w:orient="portrait"/>
          <w:cols w:equalWidth="0" w:num="3">
            <w:col w:w="3180" w:space="720"/>
            <w:col w:w="3120" w:space="720"/>
            <w:col w:w="3340"/>
          </w:cols>
          <w:pgMar w:left="460" w:top="219"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4"/>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VANCOUVER,</w:t>
            </w:r>
          </w:p>
        </w:tc>
        <w:tc>
          <w:tcPr>
            <w:tcW w:w="900" w:type="dxa"/>
            <w:vAlign w:val="bottom"/>
          </w:tcPr>
          <w:p>
            <w:pPr>
              <w:ind w:left="100"/>
              <w:spacing w:after="0"/>
              <w:rPr>
                <w:sz w:val="20"/>
                <w:szCs w:val="20"/>
                <w:color w:val="auto"/>
              </w:rPr>
            </w:pPr>
            <w:r>
              <w:rPr>
                <w:rFonts w:ascii="Arial" w:cs="Arial" w:eastAsia="Arial" w:hAnsi="Arial"/>
                <w:sz w:val="16"/>
                <w:szCs w:val="16"/>
                <w:color w:val="0000FF"/>
              </w:rPr>
              <w:t>A1</w:t>
            </w:r>
          </w:p>
        </w:tc>
        <w:tc>
          <w:tcPr>
            <w:tcW w:w="1620" w:type="dxa"/>
            <w:vAlign w:val="bottom"/>
          </w:tcPr>
          <w:p>
            <w:pPr>
              <w:ind w:left="420"/>
              <w:spacing w:after="0"/>
              <w:rPr>
                <w:sz w:val="20"/>
                <w:szCs w:val="20"/>
                <w:color w:val="auto"/>
              </w:rPr>
            </w:pPr>
            <w:r>
              <w:rPr>
                <w:rFonts w:ascii="Arial" w:cs="Arial" w:eastAsia="Arial" w:hAnsi="Arial"/>
                <w:sz w:val="16"/>
                <w:szCs w:val="16"/>
                <w:color w:val="0000FF"/>
              </w:rPr>
              <w:t>V6C 2T5</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2"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87" w:lineRule="exact"/>
        <w:rPr>
          <w:sz w:val="24"/>
          <w:szCs w:val="24"/>
          <w:color w:val="auto"/>
        </w:rPr>
      </w:pPr>
    </w:p>
    <w:p>
      <w:pPr>
        <w:sectPr>
          <w:pgSz w:w="11900" w:h="16838" w:orient="portrait"/>
          <w:cols w:equalWidth="0" w:num="2">
            <w:col w:w="3760" w:space="140"/>
            <w:col w:w="718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2620" w:type="dxa"/>
            <w:vAlign w:val="bottom"/>
            <w:gridSpan w:val="6"/>
          </w:tcPr>
          <w:p>
            <w:pPr>
              <w:ind w:left="60"/>
              <w:spacing w:after="0" w:line="123"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color w:val="0000FF"/>
              </w:rPr>
              <w:t>Common Shares</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Arial" w:cs="Arial" w:eastAsia="Arial" w:hAnsi="Arial"/>
                <w:sz w:val="16"/>
                <w:szCs w:val="16"/>
                <w:color w:val="0000FF"/>
              </w:rPr>
              <w:t>09/09/2021</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266"/>
              <w:spacing w:after="0"/>
              <w:rPr>
                <w:sz w:val="20"/>
                <w:szCs w:val="20"/>
                <w:color w:val="auto"/>
              </w:rPr>
            </w:pPr>
            <w:r>
              <w:rPr>
                <w:rFonts w:ascii="Arial" w:cs="Arial" w:eastAsia="Arial" w:hAnsi="Arial"/>
                <w:sz w:val="13"/>
                <w:szCs w:val="13"/>
                <w:color w:val="0000FF"/>
              </w:rPr>
              <w:t>A</w:t>
            </w:r>
          </w:p>
        </w:tc>
        <w:tc>
          <w:tcPr>
            <w:tcW w:w="1200" w:type="dxa"/>
            <w:vAlign w:val="bottom"/>
            <w:gridSpan w:val="2"/>
          </w:tcPr>
          <w:p>
            <w:pPr>
              <w:ind w:left="320"/>
              <w:spacing w:after="0"/>
              <w:rPr>
                <w:sz w:val="20"/>
                <w:szCs w:val="20"/>
                <w:color w:val="auto"/>
              </w:rPr>
            </w:pPr>
            <w:r>
              <w:rPr>
                <w:rFonts w:ascii="Arial" w:cs="Arial" w:eastAsia="Arial" w:hAnsi="Arial"/>
                <w:sz w:val="16"/>
                <w:szCs w:val="16"/>
                <w:color w:val="0000FF"/>
              </w:rPr>
              <w:t>308,762</w:t>
            </w:r>
          </w:p>
        </w:tc>
        <w:tc>
          <w:tcPr>
            <w:tcW w:w="120" w:type="dxa"/>
            <w:vAlign w:val="bottom"/>
          </w:tcPr>
          <w:p>
            <w:pPr>
              <w:spacing w:after="0"/>
              <w:rPr>
                <w:sz w:val="20"/>
                <w:szCs w:val="20"/>
                <w:color w:val="auto"/>
              </w:rPr>
            </w:pPr>
            <w:r>
              <w:rPr>
                <w:rFonts w:ascii="Arial" w:cs="Arial" w:eastAsia="Arial" w:hAnsi="Arial"/>
                <w:sz w:val="16"/>
                <w:szCs w:val="16"/>
                <w:color w:val="0000FF"/>
                <w:w w:val="93"/>
              </w:rPr>
              <w:t>A</w:t>
            </w:r>
          </w:p>
        </w:tc>
        <w:tc>
          <w:tcPr>
            <w:tcW w:w="80" w:type="dxa"/>
            <w:vAlign w:val="bottom"/>
          </w:tcPr>
          <w:p>
            <w:pPr>
              <w:spacing w:after="0"/>
              <w:rPr>
                <w:sz w:val="21"/>
                <w:szCs w:val="21"/>
                <w:color w:val="auto"/>
              </w:rPr>
            </w:pPr>
          </w:p>
        </w:tc>
        <w:tc>
          <w:tcPr>
            <w:tcW w:w="640" w:type="dxa"/>
            <w:vAlign w:val="bottom"/>
          </w:tcPr>
          <w:p>
            <w:pPr>
              <w:jc w:val="right"/>
              <w:ind w:right="84"/>
              <w:spacing w:after="0"/>
              <w:rPr>
                <w:sz w:val="20"/>
                <w:szCs w:val="20"/>
                <w:color w:val="auto"/>
              </w:rPr>
            </w:pPr>
            <w:r>
              <w:rPr>
                <w:rFonts w:ascii="Arial" w:cs="Arial" w:eastAsia="Arial" w:hAnsi="Arial"/>
                <w:sz w:val="10"/>
                <w:szCs w:val="10"/>
                <w:color w:val="008000"/>
              </w:rPr>
              <w:t>(1)</w:t>
            </w:r>
          </w:p>
        </w:tc>
        <w:tc>
          <w:tcPr>
            <w:tcW w:w="1280" w:type="dxa"/>
            <w:vAlign w:val="bottom"/>
            <w:gridSpan w:val="3"/>
          </w:tcPr>
          <w:p>
            <w:pPr>
              <w:jc w:val="right"/>
              <w:ind w:right="300"/>
              <w:spacing w:after="0"/>
              <w:rPr>
                <w:sz w:val="20"/>
                <w:szCs w:val="20"/>
                <w:color w:val="auto"/>
              </w:rPr>
            </w:pPr>
            <w:r>
              <w:rPr>
                <w:rFonts w:ascii="Arial" w:cs="Arial" w:eastAsia="Arial" w:hAnsi="Arial"/>
                <w:sz w:val="16"/>
                <w:szCs w:val="16"/>
                <w:color w:val="0000FF"/>
              </w:rPr>
              <w:t>308,762</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1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Derivative</w:t>
            </w:r>
          </w:p>
        </w:tc>
        <w:tc>
          <w:tcPr>
            <w:tcW w:w="240" w:type="dxa"/>
            <w:vAlign w:val="bottom"/>
          </w:tcPr>
          <w:p>
            <w:pPr>
              <w:spacing w:after="0"/>
              <w:rPr>
                <w:sz w:val="10"/>
                <w:szCs w:val="10"/>
                <w:color w:val="auto"/>
              </w:rPr>
            </w:pP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240" w:type="dxa"/>
            <w:vAlign w:val="bottom"/>
          </w:tcPr>
          <w:p>
            <w:pPr>
              <w:spacing w:after="0"/>
              <w:rPr>
                <w:sz w:val="10"/>
                <w:szCs w:val="10"/>
                <w:color w:val="auto"/>
              </w:rPr>
            </w:pP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8.64</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405,251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(2)</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(2)</w:t>
            </w: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8"/>
              </w:rPr>
              <w:t>405,251</w:t>
            </w:r>
            <w:r>
              <w:rPr>
                <w:rFonts w:ascii="Arial" w:cs="Arial" w:eastAsia="Arial" w:hAnsi="Arial"/>
                <w:sz w:val="20"/>
                <w:szCs w:val="20"/>
                <w:color w:val="008000"/>
                <w:w w:val="88"/>
                <w:vertAlign w:val="superscript"/>
              </w:rPr>
              <w:t>(3)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(4)</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405,251</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00" w:type="dxa"/>
            <w:vAlign w:val="bottom"/>
          </w:tcPr>
          <w:p>
            <w:pPr>
              <w:ind w:left="20"/>
              <w:spacing w:after="0" w:line="155" w:lineRule="exact"/>
              <w:rPr>
                <w:sz w:val="20"/>
                <w:szCs w:val="20"/>
                <w:color w:val="auto"/>
              </w:rPr>
            </w:pPr>
            <w:r>
              <w:rPr>
                <w:rFonts w:ascii="Arial" w:cs="Arial" w:eastAsia="Arial" w:hAnsi="Arial"/>
                <w:sz w:val="11"/>
                <w:szCs w:val="11"/>
                <w:color w:val="0000FF"/>
                <w:w w:val="94"/>
              </w:rPr>
              <w:t>Shares</w:t>
            </w:r>
            <w:r>
              <w:rPr>
                <w:rFonts w:ascii="Arial" w:cs="Arial" w:eastAsia="Arial" w:hAnsi="Arial"/>
                <w:sz w:val="17"/>
                <w:szCs w:val="17"/>
                <w:color w:val="008000"/>
                <w:w w:val="94"/>
                <w:vertAlign w:val="superscript"/>
              </w:rPr>
              <w:t>(3)</w:t>
            </w: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0.65</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89"/>
              </w:rPr>
              <w:t>252,814</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(5)</w:t>
            </w:r>
          </w:p>
        </w:tc>
        <w:tc>
          <w:tcPr>
            <w:tcW w:w="5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8"/>
              </w:rPr>
              <w:t>252,814</w:t>
            </w:r>
            <w:r>
              <w:rPr>
                <w:rFonts w:ascii="Arial" w:cs="Arial" w:eastAsia="Arial" w:hAnsi="Arial"/>
                <w:sz w:val="20"/>
                <w:szCs w:val="20"/>
                <w:color w:val="008000"/>
                <w:w w:val="88"/>
                <w:vertAlign w:val="superscript"/>
              </w:rPr>
              <w:t>(6)</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(7)</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252,814</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500" w:type="dxa"/>
            <w:vAlign w:val="bottom"/>
          </w:tcPr>
          <w:p>
            <w:pPr>
              <w:ind w:left="20"/>
              <w:spacing w:after="0" w:line="155" w:lineRule="exact"/>
              <w:rPr>
                <w:sz w:val="20"/>
                <w:szCs w:val="20"/>
                <w:color w:val="auto"/>
              </w:rPr>
            </w:pPr>
            <w:r>
              <w:rPr>
                <w:rFonts w:ascii="Arial" w:cs="Arial" w:eastAsia="Arial" w:hAnsi="Arial"/>
                <w:sz w:val="11"/>
                <w:szCs w:val="11"/>
                <w:color w:val="0000FF"/>
                <w:w w:val="94"/>
              </w:rPr>
              <w:t>Shares</w:t>
            </w:r>
            <w:r>
              <w:rPr>
                <w:rFonts w:ascii="Arial" w:cs="Arial" w:eastAsia="Arial" w:hAnsi="Arial"/>
                <w:sz w:val="17"/>
                <w:szCs w:val="17"/>
                <w:color w:val="008000"/>
                <w:w w:val="94"/>
                <w:vertAlign w:val="superscript"/>
              </w:rPr>
              <w:t>(6)</w:t>
            </w: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4"/>
              </w:rPr>
              <w:t>6,737</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6,737</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85"/>
              </w:rPr>
              <w:t>6,737</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13,473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13,473</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13,473</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C</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13,473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13,473</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13,473</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26,946</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26,946</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26,946</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E</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26,946</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26,946</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26,946</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F</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26,946</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26,946</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26,946</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G</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33,683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33,683</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33,683</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H</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vMerge w:val="restart"/>
          </w:tcPr>
          <w:p>
            <w:pPr>
              <w:jc w:val="right"/>
              <w:ind w:right="306"/>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ind w:left="240"/>
              <w:spacing w:after="0"/>
              <w:rPr>
                <w:sz w:val="20"/>
                <w:szCs w:val="20"/>
                <w:color w:val="auto"/>
              </w:rPr>
            </w:pPr>
            <w:r>
              <w:rPr>
                <w:rFonts w:ascii="Arial" w:cs="Arial" w:eastAsia="Arial" w:hAnsi="Arial"/>
                <w:sz w:val="10"/>
                <w:szCs w:val="10"/>
                <w:color w:val="008000"/>
              </w:rPr>
              <w:t>(8)</w:t>
            </w:r>
          </w:p>
        </w:tc>
        <w:tc>
          <w:tcPr>
            <w:tcW w:w="500" w:type="dxa"/>
            <w:vAlign w:val="bottom"/>
            <w:vMerge w:val="restart"/>
          </w:tcPr>
          <w:p>
            <w:pPr>
              <w:ind w:left="20"/>
              <w:spacing w:after="0"/>
              <w:rPr>
                <w:sz w:val="20"/>
                <w:szCs w:val="20"/>
                <w:color w:val="auto"/>
              </w:rPr>
            </w:pPr>
            <w:r>
              <w:rPr>
                <w:rFonts w:ascii="Arial" w:cs="Arial" w:eastAsia="Arial" w:hAnsi="Arial"/>
                <w:sz w:val="13"/>
                <w:szCs w:val="13"/>
                <w:color w:val="0000FF"/>
                <w:w w:val="87"/>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center"/>
              <w:ind w:right="64"/>
              <w:spacing w:after="0"/>
              <w:rPr>
                <w:sz w:val="20"/>
                <w:szCs w:val="20"/>
                <w:color w:val="auto"/>
              </w:rPr>
            </w:pPr>
            <w:r>
              <w:rPr>
                <w:rFonts w:ascii="Arial" w:cs="Arial" w:eastAsia="Arial" w:hAnsi="Arial"/>
                <w:sz w:val="16"/>
                <w:szCs w:val="16"/>
                <w:color w:val="0000FF"/>
                <w:w w:val="93"/>
              </w:rPr>
              <w:t>33,683</w:t>
            </w: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(8)</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Special</w:t>
            </w:r>
          </w:p>
        </w:tc>
        <w:tc>
          <w:tcPr>
            <w:tcW w:w="76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6"/>
              </w:rPr>
              <w:t>09/09/2021</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5"/>
              </w:rPr>
              <w:t>33,683</w:t>
            </w: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line="139" w:lineRule="exact"/>
              <w:rPr>
                <w:sz w:val="20"/>
                <w:szCs w:val="20"/>
                <w:color w:val="auto"/>
              </w:rPr>
            </w:pPr>
            <w:r>
              <w:rPr>
                <w:rFonts w:ascii="Arial" w:cs="Arial" w:eastAsia="Arial" w:hAnsi="Arial"/>
                <w:sz w:val="13"/>
                <w:szCs w:val="13"/>
                <w:color w:val="0000FF"/>
                <w:w w:val="90"/>
              </w:rPr>
              <w:t>33,683</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3"/>
                <w:szCs w:val="13"/>
                <w:color w:val="0000FF"/>
                <w:w w:val="92"/>
              </w:rPr>
              <w:t>Shares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Shares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-4918075</wp:posOffset>
            </wp:positionV>
            <wp:extent cx="28575" cy="4923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92379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jc w:val="both"/>
        <w:ind w:left="40" w:right="16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9, 2021, Sustainable Opportunities Acquisition Corp. ("SOAC") (the former name of the Issuer), consummated its initial business combination (the "Business Combination") with DeepGreen Metals Inc. ("DeepGreen") and changed its name to "TMC the metals company Inc." or "TMC". In connection with the Business Combination, these Common Shares were received in exchange for 308,762 Class A ordinary shares of SOAC.</w:t>
      </w:r>
    </w:p>
    <w:p>
      <w:pPr>
        <w:spacing w:after="0" w:line="29" w:lineRule="exact"/>
        <w:rPr>
          <w:rFonts w:ascii="Arial" w:cs="Arial" w:eastAsia="Arial" w:hAnsi="Arial"/>
          <w:sz w:val="13"/>
          <w:szCs w:val="13"/>
          <w:color w:val="008000"/>
        </w:rPr>
      </w:pPr>
    </w:p>
    <w:p>
      <w:pPr>
        <w:jc w:val="both"/>
        <w:ind w:left="40" w:right="32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over a three year period as follows, subject to continued service through each vesting date: 1/3 on the first anniversary of February 20, 2021 (the "Employment Date"), 1/3 on the second anniversary of the Employment Date and 1/3 on the third anniversary of the Employment Date. These stock options are exercisable at any time until March 5 of the year following vesting of such stock option (any such date, the "Exercise Date"). These stock options expire on the day after their respective Exercise Date.</w:t>
      </w:r>
    </w:p>
    <w:p>
      <w:pPr>
        <w:spacing w:after="0" w:line="29" w:lineRule="exact"/>
        <w:rPr>
          <w:rFonts w:ascii="Arial" w:cs="Arial" w:eastAsia="Arial" w:hAnsi="Arial"/>
          <w:sz w:val="13"/>
          <w:szCs w:val="13"/>
          <w:color w:val="008000"/>
        </w:rPr>
      </w:pPr>
    </w:p>
    <w:p>
      <w:pPr>
        <w:ind w:left="40" w:right="440" w:hanging="1"/>
        <w:spacing w:after="0" w:line="239"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Also includes the right to purchase 8,842 Class A Special Shares, 17,684 Class B Special Shares, 17,684 Class C Special Shares, 35,368 Class D Special Shares, 35,368 Class E Special Shares, 35,368 Class F Special Shares, 44,210 Class G Special Shares and 44,210 Class H Special Shares.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connection with the Business Combination in exchange for a stock option to acquire 350,000 shares of DeepGreen common stock for $10.00 per share.</w:t>
      </w:r>
    </w:p>
    <w:p>
      <w:pPr>
        <w:spacing w:after="0" w:line="39" w:lineRule="exact"/>
        <w:rPr>
          <w:rFonts w:ascii="Arial" w:cs="Arial" w:eastAsia="Arial" w:hAnsi="Arial"/>
          <w:sz w:val="13"/>
          <w:szCs w:val="13"/>
          <w:color w:val="008000"/>
        </w:rPr>
      </w:pPr>
    </w:p>
    <w:p>
      <w:pPr>
        <w:ind w:left="40" w:right="22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 These stock options are exercisable at any time until March 5 of the year following vesting of such stock option (any such date, the "Exercise Date"). These stock options expire on the day after the Exercise Date.</w:t>
      </w:r>
    </w:p>
    <w:p>
      <w:pPr>
        <w:spacing w:after="0" w:line="29" w:lineRule="exact"/>
        <w:rPr>
          <w:rFonts w:ascii="Arial" w:cs="Arial" w:eastAsia="Arial" w:hAnsi="Arial"/>
          <w:sz w:val="13"/>
          <w:szCs w:val="13"/>
          <w:color w:val="008000"/>
        </w:rPr>
      </w:pPr>
    </w:p>
    <w:p>
      <w:pPr>
        <w:ind w:left="40" w:right="440" w:hanging="1"/>
        <w:spacing w:after="0" w:line="239"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Also includes the right to purchase 5,516 Class A Special Shares, 11,032 Class B Special Shares, 11,032 Class C Special Shares, 22,064 Class D Special Shares, 22,064 Class E Special Shares, 22,064 Class F Special Shares, 27,580 Class G Special Shares and 27,580 Class H Special Shares.</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connection with the Business Combination in exchange for a stock option to acquire 218,346 shares of DeepGreen common stock for $0.75 per share.</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left="1" w:hanging="1"/>
        <w:spacing w:after="0" w:line="250" w:lineRule="auto"/>
        <w:tabs>
          <w:tab w:leader="none" w:pos="12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39"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120" w:type="dxa"/>
            <w:vAlign w:val="bottom"/>
            <w:gridSpan w:val="2"/>
          </w:tcPr>
          <w:p>
            <w:pPr>
              <w:spacing w:after="0"/>
              <w:rPr>
                <w:sz w:val="20"/>
                <w:szCs w:val="20"/>
                <w:color w:val="auto"/>
              </w:rPr>
            </w:pPr>
            <w:r>
              <w:rPr>
                <w:rFonts w:ascii="Arial" w:cs="Arial" w:eastAsia="Arial" w:hAnsi="Arial"/>
                <w:sz w:val="16"/>
                <w:szCs w:val="16"/>
                <w:color w:val="0000FF"/>
                <w:w w:val="96"/>
              </w:rPr>
              <w:t>/s/ Jaime Lee, Attorney-in-Fact</w:t>
            </w:r>
          </w:p>
        </w:tc>
        <w:tc>
          <w:tcPr>
            <w:tcW w:w="820" w:type="dxa"/>
            <w:vAlign w:val="bottom"/>
            <w:gridSpan w:val="2"/>
          </w:tcPr>
          <w:p>
            <w:pPr>
              <w:ind w:left="80"/>
              <w:spacing w:after="0"/>
              <w:rPr>
                <w:sz w:val="20"/>
                <w:szCs w:val="20"/>
                <w:color w:val="auto"/>
              </w:rPr>
            </w:pPr>
            <w:r>
              <w:rPr>
                <w:rFonts w:ascii="Arial" w:cs="Arial" w:eastAsia="Arial" w:hAnsi="Arial"/>
                <w:sz w:val="16"/>
                <w:szCs w:val="16"/>
                <w:color w:val="0000FF"/>
                <w:w w:val="89"/>
              </w:rPr>
              <w:t>09/13/2021</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480" w:hanging="1"/>
        <w:spacing w:after="0" w:line="325"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1"/>
      </w:cols>
      <w:pgMar w:left="499" w:top="13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2021-09-13T18:41:23Z</dcterms:created>
  <dcterms:modified xsi:type="dcterms:W3CDTF">2021-09-13T18:41:23Z</dcterms:modified>
</cp:coreProperties>
</file>