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50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086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Leonard Scott Edward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540"/>
        <w:spacing w:after="0" w:line="395" w:lineRule="auto"/>
        <w:rPr>
          <w:sz w:val="20"/>
          <w:szCs w:val="20"/>
          <w:color w:val="auto"/>
        </w:rPr>
      </w:pPr>
      <w:r>
        <w:rPr>
          <w:rFonts w:ascii="Arial" w:cs="Arial" w:eastAsia="Arial" w:hAnsi="Arial"/>
          <w:sz w:val="16"/>
          <w:szCs w:val="16"/>
          <w:color w:val="0000FF"/>
        </w:rPr>
        <w:t>C/O TMC THE METALS COMPANY INC. 595 HOWE STREET, 10TH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VANCOUVER</w:t>
            </w:r>
          </w:p>
        </w:tc>
        <w:tc>
          <w:tcPr>
            <w:tcW w:w="900" w:type="dxa"/>
            <w:vAlign w:val="bottom"/>
          </w:tcPr>
          <w:p>
            <w:pPr>
              <w:ind w:left="80"/>
              <w:spacing w:after="0"/>
              <w:rPr>
                <w:sz w:val="20"/>
                <w:szCs w:val="20"/>
                <w:color w:val="auto"/>
              </w:rPr>
            </w:pPr>
            <w:r>
              <w:rPr>
                <w:rFonts w:ascii="Arial" w:cs="Arial" w:eastAsia="Arial" w:hAnsi="Arial"/>
                <w:sz w:val="17"/>
                <w:szCs w:val="17"/>
                <w:color w:val="0000FF"/>
              </w:rPr>
              <w:t>A1</w:t>
            </w:r>
          </w:p>
        </w:tc>
        <w:tc>
          <w:tcPr>
            <w:tcW w:w="1600" w:type="dxa"/>
            <w:vAlign w:val="bottom"/>
          </w:tcPr>
          <w:p>
            <w:pPr>
              <w:ind w:left="400"/>
              <w:spacing w:after="0"/>
              <w:rPr>
                <w:sz w:val="20"/>
                <w:szCs w:val="20"/>
                <w:color w:val="auto"/>
              </w:rPr>
            </w:pPr>
            <w:r>
              <w:rPr>
                <w:rFonts w:ascii="Arial" w:cs="Arial" w:eastAsia="Arial" w:hAnsi="Arial"/>
                <w:sz w:val="17"/>
                <w:szCs w:val="17"/>
                <w:color w:val="0000FF"/>
              </w:rPr>
              <w:t>V6C 2T5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TMC the metals Co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TMC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94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140" w:type="dxa"/>
            <w:vAlign w:val="bottom"/>
            <w:gridSpan w:val="3"/>
          </w:tcPr>
          <w:p>
            <w:pPr>
              <w:ind w:left="80"/>
              <w:spacing w:after="0"/>
              <w:rPr>
                <w:sz w:val="20"/>
                <w:szCs w:val="20"/>
                <w:color w:val="auto"/>
              </w:rPr>
            </w:pPr>
            <w:r>
              <w:rPr>
                <w:rFonts w:ascii="Arial" w:cs="Arial" w:eastAsia="Arial" w:hAnsi="Arial"/>
                <w:sz w:val="17"/>
                <w:szCs w:val="17"/>
                <w:color w:val="0000FF"/>
              </w:rPr>
              <w:t>09/13/2021</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94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8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320" w:type="dxa"/>
            <w:vAlign w:val="bottom"/>
          </w:tcPr>
          <w:p>
            <w:pPr>
              <w:spacing w:after="0"/>
              <w:rPr>
                <w:sz w:val="13"/>
                <w:szCs w:val="13"/>
                <w:color w:val="auto"/>
              </w:rPr>
            </w:pP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12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w:t>
            </w:r>
          </w:p>
        </w:tc>
        <w:tc>
          <w:tcPr>
            <w:tcW w:w="40" w:type="dxa"/>
            <w:vAlign w:val="bottom"/>
          </w:tcPr>
          <w:p>
            <w:pPr>
              <w:spacing w:after="0"/>
              <w:rPr>
                <w:sz w:val="11"/>
                <w:szCs w:val="11"/>
                <w:color w:val="auto"/>
              </w:rPr>
            </w:pPr>
          </w:p>
        </w:tc>
        <w:tc>
          <w:tcPr>
            <w:tcW w:w="78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52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Indirect</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Indirect (I)</w:t>
            </w:r>
          </w:p>
        </w:tc>
        <w:tc>
          <w:tcPr>
            <w:tcW w:w="240" w:type="dxa"/>
            <w:vAlign w:val="bottom"/>
          </w:tcPr>
          <w:p>
            <w:pPr>
              <w:spacing w:after="0"/>
              <w:rPr>
                <w:sz w:val="11"/>
                <w:szCs w:val="11"/>
                <w:color w:val="auto"/>
              </w:rPr>
            </w:pPr>
          </w:p>
        </w:tc>
        <w:tc>
          <w:tcPr>
            <w:tcW w:w="12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6"/>
                <w:szCs w:val="6"/>
                <w:color w:val="auto"/>
              </w:rPr>
            </w:pPr>
          </w:p>
        </w:tc>
        <w:tc>
          <w:tcPr>
            <w:tcW w:w="122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ind w:left="80"/>
              <w:spacing w:after="0"/>
              <w:rPr>
                <w:sz w:val="20"/>
                <w:szCs w:val="20"/>
                <w:color w:val="auto"/>
              </w:rPr>
            </w:pPr>
            <w:r>
              <w:rPr>
                <w:rFonts w:ascii="Arial" w:cs="Arial" w:eastAsia="Arial" w:hAnsi="Arial"/>
                <w:sz w:val="17"/>
                <w:szCs w:val="17"/>
                <w:color w:val="0000FF"/>
              </w:rPr>
              <w:t>By</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4"/>
          </w:tcPr>
          <w:p>
            <w:pPr>
              <w:ind w:left="80"/>
              <w:spacing w:after="0"/>
              <w:rPr>
                <w:sz w:val="20"/>
                <w:szCs w:val="20"/>
                <w:color w:val="auto"/>
              </w:rPr>
            </w:pPr>
            <w:r>
              <w:rPr>
                <w:rFonts w:ascii="Arial" w:cs="Arial" w:eastAsia="Arial" w:hAnsi="Arial"/>
                <w:sz w:val="17"/>
                <w:szCs w:val="17"/>
                <w:color w:val="0000FF"/>
              </w:rPr>
              <w:t>Sustainable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7"/>
                <w:szCs w:val="17"/>
                <w:color w:val="0000FF"/>
              </w:rPr>
              <w:t>6,669,000</w:t>
            </w:r>
          </w:p>
        </w:tc>
        <w:tc>
          <w:tcPr>
            <w:tcW w:w="660" w:type="dxa"/>
            <w:vAlign w:val="bottom"/>
          </w:tcPr>
          <w:p>
            <w:pPr>
              <w:ind w:left="360"/>
              <w:spacing w:after="0" w:line="213" w:lineRule="exact"/>
              <w:rPr>
                <w:sz w:val="20"/>
                <w:szCs w:val="20"/>
                <w:color w:val="auto"/>
              </w:rPr>
            </w:pPr>
            <w:r>
              <w:rPr>
                <w:rFonts w:ascii="Arial" w:cs="Arial" w:eastAsia="Arial" w:hAnsi="Arial"/>
                <w:sz w:val="24"/>
                <w:szCs w:val="24"/>
                <w:color w:val="0000FF"/>
                <w:vertAlign w:val="subscript"/>
              </w:rPr>
              <w:t>I</w:t>
            </w:r>
            <w:r>
              <w:rPr>
                <w:rFonts w:ascii="Arial" w:cs="Arial" w:eastAsia="Arial" w:hAnsi="Arial"/>
                <w:sz w:val="10"/>
                <w:szCs w:val="10"/>
                <w:color w:val="008000"/>
              </w:rPr>
              <w:t>(1)</w:t>
            </w:r>
          </w:p>
        </w:tc>
        <w:tc>
          <w:tcPr>
            <w:tcW w:w="240" w:type="dxa"/>
            <w:vAlign w:val="bottom"/>
          </w:tcPr>
          <w:p>
            <w:pPr>
              <w:spacing w:after="0"/>
              <w:rPr>
                <w:sz w:val="18"/>
                <w:szCs w:val="18"/>
                <w:color w:val="auto"/>
              </w:rPr>
            </w:pPr>
          </w:p>
        </w:tc>
        <w:tc>
          <w:tcPr>
            <w:tcW w:w="1220" w:type="dxa"/>
            <w:vAlign w:val="bottom"/>
            <w:gridSpan w:val="4"/>
          </w:tcPr>
          <w:p>
            <w:pPr>
              <w:ind w:left="80"/>
              <w:spacing w:after="0"/>
              <w:rPr>
                <w:sz w:val="20"/>
                <w:szCs w:val="20"/>
                <w:color w:val="auto"/>
              </w:rPr>
            </w:pPr>
            <w:r>
              <w:rPr>
                <w:rFonts w:ascii="Arial" w:cs="Arial" w:eastAsia="Arial" w:hAnsi="Arial"/>
                <w:sz w:val="17"/>
                <w:szCs w:val="17"/>
                <w:color w:val="0000FF"/>
              </w:rPr>
              <w:t>Opportunities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4"/>
          </w:tcPr>
          <w:p>
            <w:pPr>
              <w:ind w:left="8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ind w:left="80"/>
              <w:spacing w:after="0"/>
              <w:rPr>
                <w:sz w:val="20"/>
                <w:szCs w:val="20"/>
                <w:color w:val="auto"/>
              </w:rPr>
            </w:pPr>
            <w:r>
              <w:rPr>
                <w:rFonts w:ascii="Arial" w:cs="Arial" w:eastAsia="Arial" w:hAnsi="Arial"/>
                <w:sz w:val="17"/>
                <w:szCs w:val="17"/>
                <w:color w:val="0000FF"/>
              </w:rPr>
              <w:t>LLC</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09/13/2021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Arial" w:cs="Arial" w:eastAsia="Arial" w:hAnsi="Arial"/>
                <w:sz w:val="13"/>
                <w:szCs w:val="13"/>
                <w:color w:val="0000FF"/>
              </w:rPr>
              <w:t>A</w:t>
            </w:r>
          </w:p>
        </w:tc>
        <w:tc>
          <w:tcPr>
            <w:tcW w:w="8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8,032</w:t>
            </w:r>
            <w:r>
              <w:rPr>
                <w:rFonts w:ascii="Arial" w:cs="Arial" w:eastAsia="Arial" w:hAnsi="Arial"/>
                <w:sz w:val="22"/>
                <w:szCs w:val="22"/>
                <w:color w:val="008000"/>
                <w:vertAlign w:val="superscript"/>
              </w:rPr>
              <w:t>(2)</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82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8,032</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9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spacing w:after="0"/>
              <w:rPr>
                <w:sz w:val="20"/>
                <w:szCs w:val="20"/>
                <w:color w:val="auto"/>
              </w:rPr>
            </w:pPr>
            <w:r>
              <w:rPr>
                <w:rFonts w:ascii="Arial" w:cs="Arial" w:eastAsia="Arial" w:hAnsi="Arial"/>
                <w:sz w:val="12"/>
                <w:szCs w:val="12"/>
                <w:b w:val="1"/>
                <w:bCs w:val="1"/>
                <w:color w:val="auto"/>
              </w:rPr>
              <w:t>10.</w:t>
            </w:r>
          </w:p>
        </w:tc>
        <w:tc>
          <w:tcPr>
            <w:tcW w:w="520" w:type="dxa"/>
            <w:vAlign w:val="bottom"/>
          </w:tcPr>
          <w:p>
            <w:pPr>
              <w:spacing w:after="0"/>
              <w:rPr>
                <w:sz w:val="14"/>
                <w:szCs w:val="14"/>
                <w:color w:val="auto"/>
              </w:rPr>
            </w:pPr>
          </w:p>
        </w:tc>
        <w:tc>
          <w:tcPr>
            <w:tcW w:w="70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5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2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has voting and investment discretion with respect to certain securities held by Sustainable Opportunities Holdings LLC (the "Sponsor") and may be deemed to have shared beneficial ownership of such securities held directly by the Sponsor. The reporting person disclaims beneficial ownership of these securities except to the extent of his pecuniary interest therein, and the inclusion of these securities in this report shall not be deemed an admission of beneficial ownership of all of the reported securities for purposes of Section 16 or for any other purpose.</w:t>
      </w:r>
    </w:p>
    <w:p>
      <w:pPr>
        <w:spacing w:after="0" w:line="8" w:lineRule="exact"/>
        <w:rPr>
          <w:rFonts w:ascii="Arial" w:cs="Arial" w:eastAsia="Arial" w:hAnsi="Arial"/>
          <w:sz w:val="12"/>
          <w:szCs w:val="12"/>
          <w:color w:val="008000"/>
        </w:rPr>
      </w:pPr>
    </w:p>
    <w:p>
      <w:pPr>
        <w:ind w:left="40" w:right="1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8,032 restricted stock units granted under the Issuer's 2021 Incentive Equity Plan which will vest over a three year period as follows, subject to continued service through each vesting date: 1/3 on the first anniversary of September 13, 2021 (the "Grant Date"), 1/3 on the second anniversary of the Grant Date and 1/3 on the third anniversary of the Grant Date.</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Jaime Lee, Attorney-in-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09/15/2021</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94940"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2021-09-15T16:00:45Z</dcterms:created>
  <dcterms:modified xsi:type="dcterms:W3CDTF">2021-09-15T16:00:45Z</dcterms:modified>
</cp:coreProperties>
</file>