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British Columbia, Canada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001-39281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41"/>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595 Howe Street, 10th Floor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vMerge w:val="restart"/>
          </w:tcPr>
          <w:p>
            <w:pPr>
              <w:jc w:val="center"/>
              <w:ind w:right="1810"/>
              <w:spacing w:after="0"/>
              <w:rPr>
                <w:sz w:val="20"/>
                <w:szCs w:val="20"/>
                <w:color w:val="auto"/>
              </w:rPr>
            </w:pPr>
            <w:r>
              <w:rPr>
                <w:rFonts w:ascii="Arial" w:cs="Arial" w:eastAsia="Arial" w:hAnsi="Arial"/>
                <w:sz w:val="18"/>
                <w:szCs w:val="18"/>
                <w:b w:val="1"/>
                <w:bCs w:val="1"/>
                <w:color w:val="auto"/>
                <w:w w:val="98"/>
              </w:rPr>
              <w:t>V6C 2T5</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1"/>
              </w:rPr>
              <w:t>Vancouver, British Columbia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(574) 252-9333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TMC Common Shares without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TMC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Redeemable warrants, each whole warrant</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8"/>
              </w:rPr>
              <w:t>TMCWW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 for one TMC Common Share, each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an exercise 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Due to the large number of events reported under the specified items of Form 8-K, this Current Report on Form 8-K is being filed in two parts. An amendment to this Form 8-K is being submitted for filing on the same date to include additional matters under Items 3.01, 5.03, 7.01 and 8.01 of Form 8-K.</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9, 2021 (the “</w:t>
      </w:r>
      <w:r>
        <w:rPr>
          <w:rFonts w:ascii="Arial" w:cs="Arial" w:eastAsia="Arial" w:hAnsi="Arial"/>
          <w:sz w:val="17"/>
          <w:szCs w:val="17"/>
          <w:u w:val="single" w:color="auto"/>
          <w:color w:val="auto"/>
        </w:rPr>
        <w:t>Closing Date</w:t>
      </w:r>
      <w:r>
        <w:rPr>
          <w:rFonts w:ascii="Arial" w:cs="Arial" w:eastAsia="Arial" w:hAnsi="Arial"/>
          <w:sz w:val="17"/>
          <w:szCs w:val="17"/>
          <w:color w:val="auto"/>
        </w:rPr>
        <w:t>”), Sustainable Opportunities Acquisition Corp., a Cayman Islands exempted company limited by shares (“</w:t>
      </w:r>
      <w:r>
        <w:rPr>
          <w:rFonts w:ascii="Arial" w:cs="Arial" w:eastAsia="Arial" w:hAnsi="Arial"/>
          <w:sz w:val="17"/>
          <w:szCs w:val="17"/>
          <w:u w:val="single" w:color="auto"/>
          <w:color w:val="auto"/>
        </w:rPr>
        <w:t>SOAC</w:t>
      </w:r>
      <w:r>
        <w:rPr>
          <w:rFonts w:ascii="Arial" w:cs="Arial" w:eastAsia="Arial" w:hAnsi="Arial"/>
          <w:sz w:val="17"/>
          <w:szCs w:val="17"/>
          <w:color w:val="auto"/>
        </w:rPr>
        <w:t>” and after the Business Combination described herein, the “</w:t>
      </w:r>
      <w:r>
        <w:rPr>
          <w:rFonts w:ascii="Arial" w:cs="Arial" w:eastAsia="Arial" w:hAnsi="Arial"/>
          <w:sz w:val="17"/>
          <w:szCs w:val="17"/>
          <w:u w:val="single" w:color="auto"/>
          <w:color w:val="auto"/>
        </w:rPr>
        <w:t>Company</w:t>
      </w:r>
      <w:r>
        <w:rPr>
          <w:rFonts w:ascii="Arial" w:cs="Arial" w:eastAsia="Arial" w:hAnsi="Arial"/>
          <w:sz w:val="17"/>
          <w:szCs w:val="17"/>
          <w:color w:val="auto"/>
        </w:rPr>
        <w:t>”), consummated the previously announced business combination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pursuant to the terms of the Business Combination Agreement, dated as of March 4, 2021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SOAC, 1291924 B.C. Unlimited Liability Company, an unlimited liability company existing under the laws of British Columbia, Canada (“</w:t>
      </w:r>
      <w:r>
        <w:rPr>
          <w:rFonts w:ascii="Arial" w:cs="Arial" w:eastAsia="Arial" w:hAnsi="Arial"/>
          <w:sz w:val="17"/>
          <w:szCs w:val="17"/>
          <w:u w:val="single" w:color="auto"/>
          <w:color w:val="auto"/>
        </w:rPr>
        <w:t>NewCo Sub</w:t>
      </w:r>
      <w:r>
        <w:rPr>
          <w:rFonts w:ascii="Arial" w:cs="Arial" w:eastAsia="Arial" w:hAnsi="Arial"/>
          <w:sz w:val="17"/>
          <w:szCs w:val="17"/>
          <w:color w:val="auto"/>
        </w:rPr>
        <w:t>”), and DeepGreen Metals Inc., a company existing under the laws of British Columbia, Canada (“</w:t>
      </w:r>
      <w:r>
        <w:rPr>
          <w:rFonts w:ascii="Arial" w:cs="Arial" w:eastAsia="Arial" w:hAnsi="Arial"/>
          <w:sz w:val="17"/>
          <w:szCs w:val="17"/>
          <w:u w:val="single" w:color="auto"/>
          <w:color w:val="auto"/>
        </w:rPr>
        <w:t>DeepGreen</w:t>
      </w:r>
      <w:r>
        <w:rPr>
          <w:rFonts w:ascii="Arial" w:cs="Arial" w:eastAsia="Arial" w:hAnsi="Arial"/>
          <w:sz w:val="17"/>
          <w:szCs w:val="17"/>
          <w:color w:val="auto"/>
        </w:rPr>
        <w:t>”). A description of the Business Combination and the terms of the Business Combination Agreement are included in the proxy statement/prospectus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August 13, 2021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in the section entitled “</w:t>
      </w:r>
      <w:r>
        <w:rPr>
          <w:rFonts w:ascii="Arial" w:cs="Arial" w:eastAsia="Arial" w:hAnsi="Arial"/>
          <w:sz w:val="17"/>
          <w:szCs w:val="17"/>
          <w:i w:val="1"/>
          <w:iCs w:val="1"/>
          <w:color w:val="auto"/>
        </w:rPr>
        <w:t>Proposal No. 2 –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w:t>
      </w:r>
      <w:r>
        <w:rPr>
          <w:rFonts w:ascii="Arial" w:cs="Arial" w:eastAsia="Arial" w:hAnsi="Arial"/>
          <w:sz w:val="17"/>
          <w:szCs w:val="17"/>
          <w:color w:val="auto"/>
        </w:rPr>
        <w:t>” beginning on page 207 of the Proxy Statement. As used in this Current Report on Form 8-K, “TMC” refers to SOAC after giving</w:t>
      </w:r>
      <w:r>
        <w:rPr>
          <w:rFonts w:ascii="Arial" w:cs="Arial" w:eastAsia="Arial" w:hAnsi="Arial"/>
          <w:sz w:val="17"/>
          <w:szCs w:val="17"/>
          <w:i w:val="1"/>
          <w:iCs w:val="1"/>
          <w:color w:val="auto"/>
        </w:rPr>
        <w:t xml:space="preserve"> </w:t>
      </w:r>
      <w:r>
        <w:rPr>
          <w:rFonts w:ascii="Arial" w:cs="Arial" w:eastAsia="Arial" w:hAnsi="Arial"/>
          <w:sz w:val="17"/>
          <w:szCs w:val="17"/>
          <w:color w:val="auto"/>
        </w:rPr>
        <w:t>effect to the consummation of the Continuance (as defined below).</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w:t>
      </w:r>
      <w:r>
        <w:rPr>
          <w:rFonts w:ascii="Arial" w:cs="Arial" w:eastAsia="Arial" w:hAnsi="Arial"/>
          <w:sz w:val="17"/>
          <w:szCs w:val="17"/>
          <w:u w:val="single" w:color="auto"/>
          <w:color w:val="auto"/>
        </w:rPr>
        <w:t>BCBCA</w:t>
      </w:r>
      <w:r>
        <w:rPr>
          <w:rFonts w:ascii="Arial" w:cs="Arial" w:eastAsia="Arial" w:hAnsi="Arial"/>
          <w:sz w:val="17"/>
          <w:szCs w:val="17"/>
          <w:color w:val="auto"/>
        </w:rPr>
        <w:t>”) (such continuance, the “</w:t>
      </w:r>
      <w:r>
        <w:rPr>
          <w:rFonts w:ascii="Arial" w:cs="Arial" w:eastAsia="Arial" w:hAnsi="Arial"/>
          <w:sz w:val="17"/>
          <w:szCs w:val="17"/>
          <w:u w:val="single" w:color="auto"/>
          <w:color w:val="auto"/>
        </w:rPr>
        <w:t>Continuance</w:t>
      </w:r>
      <w:r>
        <w:rPr>
          <w:rFonts w:ascii="Arial" w:cs="Arial" w:eastAsia="Arial" w:hAnsi="Arial"/>
          <w:sz w:val="17"/>
          <w:szCs w:val="17"/>
          <w:color w:val="auto"/>
        </w:rPr>
        <w:t>”). As a result and upon the consummation of the Continuance, (i) the identifying name of the Class A ordinary shares of SOAC, par value $0.0001 per share (the “</w:t>
      </w:r>
      <w:r>
        <w:rPr>
          <w:rFonts w:ascii="Arial" w:cs="Arial" w:eastAsia="Arial" w:hAnsi="Arial"/>
          <w:sz w:val="17"/>
          <w:szCs w:val="17"/>
          <w:u w:val="single" w:color="auto"/>
          <w:color w:val="auto"/>
        </w:rPr>
        <w:t>Class A ordinary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and Class B ordinary shares of SOAC, par value $0.0001 per share (the “</w:t>
      </w:r>
      <w:r>
        <w:rPr>
          <w:rFonts w:ascii="Arial" w:cs="Arial" w:eastAsia="Arial" w:hAnsi="Arial"/>
          <w:sz w:val="17"/>
          <w:szCs w:val="17"/>
          <w:u w:val="single" w:color="auto"/>
          <w:color w:val="auto"/>
        </w:rPr>
        <w:t>Class B ordinary shares</w:t>
      </w:r>
      <w:r>
        <w:rPr>
          <w:rFonts w:ascii="Arial" w:cs="Arial" w:eastAsia="Arial" w:hAnsi="Arial"/>
          <w:sz w:val="17"/>
          <w:szCs w:val="17"/>
          <w:color w:val="auto"/>
        </w:rPr>
        <w:t>”), were changed to common shares of the Company (the “</w:t>
      </w:r>
      <w:r>
        <w:rPr>
          <w:rFonts w:ascii="Arial" w:cs="Arial" w:eastAsia="Arial" w:hAnsi="Arial"/>
          <w:sz w:val="17"/>
          <w:szCs w:val="17"/>
          <w:u w:val="single" w:color="auto"/>
          <w:color w:val="auto"/>
        </w:rPr>
        <w:t>TMC Common Shares</w:t>
      </w:r>
      <w:r>
        <w:rPr>
          <w:rFonts w:ascii="Arial" w:cs="Arial" w:eastAsia="Arial" w:hAnsi="Arial"/>
          <w:sz w:val="17"/>
          <w:szCs w:val="17"/>
          <w:color w:val="auto"/>
        </w:rPr>
        <w:t>”)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TMC Common Shares, as described in the notice of articles and articles of the Company; (iii) the number of authorized TMC Common Shares were unlimited; (iv) each issued and outstanding whole warrant to purchase one Class A ordinary share automatically represented the right to purchase one TMC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17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the Closing Date, promptly following the Continuance, pursuant to a court-approved plan of arrangement (the “</w:t>
      </w:r>
      <w:r>
        <w:rPr>
          <w:rFonts w:ascii="Arial" w:cs="Arial" w:eastAsia="Arial" w:hAnsi="Arial"/>
          <w:sz w:val="16"/>
          <w:szCs w:val="16"/>
          <w:u w:val="single" w:color="auto"/>
          <w:color w:val="auto"/>
        </w:rPr>
        <w:t>Plan of Arrangement</w:t>
      </w:r>
      <w:r>
        <w:rPr>
          <w:rFonts w:ascii="Arial" w:cs="Arial" w:eastAsia="Arial" w:hAnsi="Arial"/>
          <w:sz w:val="16"/>
          <w:szCs w:val="16"/>
          <w:color w:val="auto"/>
        </w:rPr>
        <w:t>,” and the arrangement pursuant to such Plan of Arrangement, the “</w:t>
      </w:r>
      <w:r>
        <w:rPr>
          <w:rFonts w:ascii="Arial" w:cs="Arial" w:eastAsia="Arial" w:hAnsi="Arial"/>
          <w:sz w:val="16"/>
          <w:szCs w:val="16"/>
          <w:u w:val="single" w:color="auto"/>
          <w:color w:val="auto"/>
        </w:rPr>
        <w:t>Arrangement</w:t>
      </w:r>
      <w:r>
        <w:rPr>
          <w:rFonts w:ascii="Arial" w:cs="Arial" w:eastAsia="Arial" w:hAnsi="Arial"/>
          <w:sz w:val="16"/>
          <w:szCs w:val="16"/>
          <w:color w:val="auto"/>
        </w:rPr>
        <w:t>”) under the BCBCA, (i) SOAC acquired all of the issued and outstanding common shares in the capital of DeepGreen (the “</w:t>
      </w:r>
      <w:r>
        <w:rPr>
          <w:rFonts w:ascii="Arial" w:cs="Arial" w:eastAsia="Arial" w:hAnsi="Arial"/>
          <w:sz w:val="16"/>
          <w:szCs w:val="16"/>
          <w:u w:val="single" w:color="auto"/>
          <w:color w:val="auto"/>
        </w:rPr>
        <w:t>DeepGreen Common Shares</w:t>
      </w:r>
      <w:r>
        <w:rPr>
          <w:rFonts w:ascii="Arial" w:cs="Arial" w:eastAsia="Arial" w:hAnsi="Arial"/>
          <w:sz w:val="16"/>
          <w:szCs w:val="16"/>
          <w:color w:val="auto"/>
        </w:rPr>
        <w:t>”); (ii) the shareholders and the optionholders of DeepGreen became entitled to receive at the Effective Time, in exchange for their DeepGreen Common Shares and options to purchase DeepGreen Common Shares, as applicable, an aggregate of (a) 229,162,651 TMC Common Shares (which includes TMC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w:t>
      </w:r>
    </w:p>
    <w:p>
      <w:pPr>
        <w:spacing w:after="0" w:line="2" w:lineRule="exact"/>
        <w:rPr>
          <w:sz w:val="20"/>
          <w:szCs w:val="20"/>
          <w:color w:val="auto"/>
        </w:rPr>
      </w:pPr>
    </w:p>
    <w:p>
      <w:pPr>
        <w:jc w:val="both"/>
        <w:ind w:firstLine="8"/>
        <w:spacing w:after="0" w:line="284"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TMC Common Shares on a one-for-one basis (unless adjusted as described in the Proxy Statement) if certain TMC Common Share price thresholds are met as described in the Proxy Statement (collectively, the “</w:t>
      </w:r>
      <w:r>
        <w:rPr>
          <w:rFonts w:ascii="Arial" w:cs="Arial" w:eastAsia="Arial" w:hAnsi="Arial"/>
          <w:sz w:val="16"/>
          <w:szCs w:val="16"/>
          <w:u w:val="single" w:color="auto"/>
          <w:color w:val="auto"/>
        </w:rPr>
        <w:t>DeepGreen Earnout Shares</w:t>
      </w:r>
      <w:r>
        <w:rPr>
          <w:rFonts w:ascii="Arial" w:cs="Arial" w:eastAsia="Arial" w:hAnsi="Arial"/>
          <w:sz w:val="16"/>
          <w:szCs w:val="16"/>
          <w:color w:val="auto"/>
        </w:rPr>
        <w:t>”); (iii) DeepGreen became a wholly-owned subsidiary of the Company; and (iv) DeepGreen and NewCo Sub amalgamated to continue as one unlimited liability company existing under the laws of British Columbia, Canada. In addition, the Allseas Warrant (as defined in the Proxy Statement) was assumed by the Company and became a warrant to purchase TMC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TMC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 of such option immediately prior to the Effective Time divided by the Per Share Consideration, rounded up to the nearest whole cent. The time that the Arrangement became effective is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324"/>
        <w:spacing w:after="0" w:line="255" w:lineRule="auto"/>
        <w:rPr>
          <w:sz w:val="20"/>
          <w:szCs w:val="20"/>
          <w:color w:val="auto"/>
        </w:rPr>
      </w:pPr>
      <w:r>
        <w:rPr>
          <w:rFonts w:ascii="Arial" w:cs="Arial" w:eastAsia="Arial" w:hAnsi="Arial"/>
          <w:sz w:val="18"/>
          <w:szCs w:val="18"/>
          <w:color w:val="auto"/>
        </w:rPr>
        <w:t>Immediately following the Continuance and prior to the Effective Time, Sustainable Opportunities Holdings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exchanged 741,000 TMC Common Shares (which consisted of the SOAC Class B ordinary shares prior to the Continuance) for 500,000 Class I Special Shares (the “</w:t>
      </w:r>
      <w:r>
        <w:rPr>
          <w:rFonts w:ascii="Arial" w:cs="Arial" w:eastAsia="Arial" w:hAnsi="Arial"/>
          <w:sz w:val="18"/>
          <w:szCs w:val="18"/>
          <w:u w:val="single" w:color="auto"/>
          <w:color w:val="auto"/>
        </w:rPr>
        <w:t>Class I Special Shares</w:t>
      </w:r>
      <w:r>
        <w:rPr>
          <w:rFonts w:ascii="Arial" w:cs="Arial" w:eastAsia="Arial" w:hAnsi="Arial"/>
          <w:sz w:val="18"/>
          <w:szCs w:val="18"/>
          <w:color w:val="auto"/>
        </w:rPr>
        <w:t>”) and 741,000 Class J Special Shares, each of which is automatically convertible into TMC Common Shares on a one-for-one basis (unless adjusted as described in the Proxy Statement), if certain TMC Common Share price thresholds are met as described in the Proxy Statement (the “</w:t>
      </w:r>
      <w:r>
        <w:rPr>
          <w:rFonts w:ascii="Arial" w:cs="Arial" w:eastAsia="Arial" w:hAnsi="Arial"/>
          <w:sz w:val="18"/>
          <w:szCs w:val="18"/>
          <w:u w:val="single" w:color="auto"/>
          <w:color w:val="auto"/>
        </w:rPr>
        <w:t>Class J Special Shares</w:t>
      </w:r>
      <w:r>
        <w:rPr>
          <w:rFonts w:ascii="Arial" w:cs="Arial" w:eastAsia="Arial" w:hAnsi="Arial"/>
          <w:sz w:val="18"/>
          <w:szCs w:val="18"/>
          <w:color w:val="auto"/>
        </w:rPr>
        <w:t>” and, together with the Class I Special Shares, the “</w:t>
      </w:r>
      <w:r>
        <w:rPr>
          <w:rFonts w:ascii="Arial" w:cs="Arial" w:eastAsia="Arial" w:hAnsi="Arial"/>
          <w:sz w:val="18"/>
          <w:szCs w:val="18"/>
          <w:u w:val="single" w:color="auto"/>
          <w:color w:val="auto"/>
        </w:rPr>
        <w:t>Sponsor Earnout Shares</w:t>
      </w:r>
      <w:r>
        <w:rPr>
          <w:rFonts w:ascii="Arial" w:cs="Arial" w:eastAsia="Arial" w:hAnsi="Arial"/>
          <w:sz w:val="18"/>
          <w:szCs w:val="18"/>
          <w:color w:val="auto"/>
        </w:rPr>
        <w:t>” and, collectively with the DeepGreen Earnout Shares, the “</w:t>
      </w:r>
      <w:r>
        <w:rPr>
          <w:rFonts w:ascii="Arial" w:cs="Arial" w:eastAsia="Arial" w:hAnsi="Arial"/>
          <w:sz w:val="18"/>
          <w:szCs w:val="18"/>
          <w:u w:val="single" w:color="auto"/>
          <w:color w:val="auto"/>
        </w:rPr>
        <w:t>TMC Special Shares</w:t>
      </w:r>
      <w:r>
        <w:rPr>
          <w:rFonts w:ascii="Arial" w:cs="Arial" w:eastAsia="Arial" w:hAnsi="Arial"/>
          <w:sz w:val="18"/>
          <w:szCs w:val="18"/>
          <w:color w:val="auto"/>
        </w:rPr>
        <w:t>”).</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foregoing and concurrently with the execution of the Business Combination Agreement, SOAC entered into Subscription Agreements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certain investors (the “</w:t>
      </w:r>
      <w:r>
        <w:rPr>
          <w:rFonts w:ascii="Arial" w:cs="Arial" w:eastAsia="Arial" w:hAnsi="Arial"/>
          <w:sz w:val="16"/>
          <w:szCs w:val="16"/>
          <w:u w:val="single" w:color="auto"/>
          <w:color w:val="auto"/>
        </w:rPr>
        <w:t>PIPE Investors</w:t>
      </w:r>
      <w:r>
        <w:rPr>
          <w:rFonts w:ascii="Arial" w:cs="Arial" w:eastAsia="Arial" w:hAnsi="Arial"/>
          <w:sz w:val="16"/>
          <w:szCs w:val="16"/>
          <w:color w:val="auto"/>
        </w:rPr>
        <w:t>”), pursuant to which the PIPE Investors agreed to purchase an aggregate of 11,030,000 TMC Common Shares at a purchase price of $10.00 per share, for aggregate gross proceeds of $110,300,000 (the “</w:t>
      </w:r>
      <w:r>
        <w:rPr>
          <w:rFonts w:ascii="Arial" w:cs="Arial" w:eastAsia="Arial" w:hAnsi="Arial"/>
          <w:sz w:val="16"/>
          <w:szCs w:val="16"/>
          <w:u w:val="single" w:color="auto"/>
          <w:color w:val="auto"/>
        </w:rPr>
        <w:t>PIPE</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plans to aggressively pursue its available remedies with respect to such investors.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number  of  TMC  Common  Shares  outstanding  immediately  following  the  Closing  was  approximately  224,385,324  comprising</w:t>
      </w:r>
    </w:p>
    <w:p>
      <w:pPr>
        <w:spacing w:after="0" w:line="35" w:lineRule="exact"/>
        <w:rPr>
          <w:sz w:val="20"/>
          <w:szCs w:val="20"/>
          <w:color w:val="auto"/>
        </w:rPr>
      </w:pPr>
    </w:p>
    <w:p>
      <w:pPr>
        <w:jc w:val="both"/>
        <w:ind w:firstLine="8"/>
        <w:spacing w:after="0" w:line="253"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203,874,981 TMC Common Shares issued to DeepGreen shareholders, (ii) 11,030,000 TMC Common Shares issued in connection with the Closing to the PIPE Investors pursuant to the PIPE Financing, (iii) 6,759,000 TMC Common Shares held by the initial shareholders (which includes the Sponsor, Rick Gaenzle, Isaac Barchas and Justin Kelly, the “</w:t>
      </w:r>
      <w:r>
        <w:rPr>
          <w:rFonts w:ascii="Arial" w:cs="Arial" w:eastAsia="Arial" w:hAnsi="Arial"/>
          <w:sz w:val="18"/>
          <w:szCs w:val="18"/>
          <w:u w:val="single" w:color="auto"/>
          <w:color w:val="auto"/>
        </w:rPr>
        <w:t>initial shareholders</w:t>
      </w:r>
      <w:r>
        <w:rPr>
          <w:rFonts w:ascii="Arial" w:cs="Arial" w:eastAsia="Arial" w:hAnsi="Arial"/>
          <w:sz w:val="18"/>
          <w:szCs w:val="18"/>
          <w:color w:val="auto"/>
        </w:rPr>
        <w:t>”) and (iv) 2,721,343 TMC Common Shares held by public shareholders, reflecting redemptions of 27,278,657 Class A ordinary shares.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Closing, SOAC’s units, Class A ordinary shares and public warrants ceased trading on the New York Stock Exchange (the “NYSE”) and the TMC Common Shares and public warrants to purchase TMC Common Shares (the “</w:t>
      </w:r>
      <w:r>
        <w:rPr>
          <w:rFonts w:ascii="Arial" w:cs="Arial" w:eastAsia="Arial" w:hAnsi="Arial"/>
          <w:sz w:val="17"/>
          <w:szCs w:val="17"/>
          <w:u w:val="single" w:color="auto"/>
          <w:color w:val="auto"/>
        </w:rPr>
        <w:t>Public Warrants</w:t>
      </w:r>
      <w:r>
        <w:rPr>
          <w:rFonts w:ascii="Arial" w:cs="Arial" w:eastAsia="Arial" w:hAnsi="Arial"/>
          <w:sz w:val="17"/>
          <w:szCs w:val="17"/>
          <w:color w:val="auto"/>
        </w:rPr>
        <w:t>”) commenced trading on the Nasdaq Global Select Market (the “</w:t>
      </w:r>
      <w:r>
        <w:rPr>
          <w:rFonts w:ascii="Arial" w:cs="Arial" w:eastAsia="Arial" w:hAnsi="Arial"/>
          <w:sz w:val="17"/>
          <w:szCs w:val="17"/>
          <w:u w:val="single" w:color="auto"/>
          <w:color w:val="auto"/>
        </w:rPr>
        <w:t>Nasdaq</w:t>
      </w:r>
      <w:r>
        <w:rPr>
          <w:rFonts w:ascii="Arial" w:cs="Arial" w:eastAsia="Arial" w:hAnsi="Arial"/>
          <w:sz w:val="17"/>
          <w:szCs w:val="17"/>
          <w:color w:val="auto"/>
        </w:rPr>
        <w:t>”) under the symbols “TMC” and “TMCWW,” respectively, on September 10, 2021.</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descriptions of the Business Combination, the PIPE Financing and the Subscription Agreements do not purport to be complete and are qualified in their entirety by the full text of the Business Combination Agreement and the forms of Subscription Agreement, respectively, which are attached hereto as Exhibits 2.1, 10.1 and 10.2, respectively, and are incorporated herein by reference.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context otherwise requires, references in this Current Report on Form 8-K to “we,” “us,” “our,” “TMC” and the “Company” refer to “TMC the metals company Inc.” following the Business Combination, and references to “SOAC” and “DeepGreen” refer to Sustainable Opportunities Acquisition Corp. and DeepGreen Metals Inc. and its subsidiaries, respectively, prior to the Business Combination. All references herein to the “Board” refer to the board of directors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At the Closing, the Company, the initial shareholders, including the Sponsor (the “</w:t>
      </w:r>
      <w:r>
        <w:rPr>
          <w:rFonts w:ascii="Arial" w:cs="Arial" w:eastAsia="Arial" w:hAnsi="Arial"/>
          <w:sz w:val="16"/>
          <w:szCs w:val="16"/>
          <w:u w:val="single" w:color="auto"/>
          <w:color w:val="auto"/>
        </w:rPr>
        <w:t>Sponsor Group Holders</w:t>
      </w:r>
      <w:r>
        <w:rPr>
          <w:rFonts w:ascii="Arial" w:cs="Arial" w:eastAsia="Arial" w:hAnsi="Arial"/>
          <w:sz w:val="16"/>
          <w:szCs w:val="16"/>
          <w:color w:val="auto"/>
        </w:rPr>
        <w:t>”), and certain holders of DeepGreen securities immediately prior to the Effective Time (the “</w:t>
      </w:r>
      <w:r>
        <w:rPr>
          <w:rFonts w:ascii="Arial" w:cs="Arial" w:eastAsia="Arial" w:hAnsi="Arial"/>
          <w:sz w:val="16"/>
          <w:szCs w:val="16"/>
          <w:u w:val="single" w:color="auto"/>
          <w:color w:val="auto"/>
        </w:rPr>
        <w:t>DeepGreen Holders</w:t>
      </w:r>
      <w:r>
        <w:rPr>
          <w:rFonts w:ascii="Arial" w:cs="Arial" w:eastAsia="Arial" w:hAnsi="Arial"/>
          <w:sz w:val="16"/>
          <w:szCs w:val="16"/>
          <w:color w:val="auto"/>
        </w:rPr>
        <w:t>”) entered into an amended and restated registration rights agreement (the “</w:t>
      </w:r>
      <w:r>
        <w:rPr>
          <w:rFonts w:ascii="Arial" w:cs="Arial" w:eastAsia="Arial" w:hAnsi="Arial"/>
          <w:sz w:val="16"/>
          <w:szCs w:val="16"/>
          <w:u w:val="single" w:color="auto"/>
          <w:color w:val="auto"/>
        </w:rPr>
        <w:t>Amended and Restated Registration Rights Agreement</w:t>
      </w:r>
      <w:r>
        <w:rPr>
          <w:rFonts w:ascii="Arial" w:cs="Arial" w:eastAsia="Arial" w:hAnsi="Arial"/>
          <w:sz w:val="16"/>
          <w:szCs w:val="16"/>
          <w:color w:val="auto"/>
        </w:rPr>
        <w:t>”), pursuant to which, among other things, the Sponsor Group Holders and the DeepGreen Holders were granted certain registration rights with respect to their respective TMC Common Shares on the terms and subject to the conditions therein. The Sponsor Group Holders and the DeepGreen Holders also agreed not to effect any sale or distribution of certain equity securities of the Company held by them during the period ending on the earlier of (a) 180 days after the Closing, subject to certain customary exceptions, and (b) subsequent to the Closing,</w:t>
      </w:r>
    </w:p>
    <w:p>
      <w:pPr>
        <w:spacing w:after="0" w:line="4" w:lineRule="exact"/>
        <w:rPr>
          <w:sz w:val="20"/>
          <w:szCs w:val="20"/>
          <w:color w:val="auto"/>
        </w:rPr>
      </w:pPr>
    </w:p>
    <w:p>
      <w:pPr>
        <w:jc w:val="both"/>
        <w:ind w:firstLine="8"/>
        <w:spacing w:after="0" w:line="290" w:lineRule="auto"/>
        <w:tabs>
          <w:tab w:leader="none" w:pos="256"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last reported sale price of the TMC Common Shares equals or exceeds $12.00 per share for any 20 trading days within any 30 consecutive trading days commencing after the Closing or (y) the date on which the Company completes a liquidation, merger, stock exchange, reorganization or other similar transaction that results in all of the Company’s public shareholders having the right to exchange their TMC Common Shares for cash, securities or other property. Certain TMC Common Shares held by the Sponsor Group Holders shall not be offered, sold, pledged or distributed for periods of six months or twelve months, as applicable, and certain TMC Common Shares held by the DeepGreen Holders shall not be offered, sold, pledged or distributed for periods of six months or eighteen months, as applicable, subject to the exceptions described in the Amended and Restated Registration Rights Agreement.</w:t>
      </w:r>
    </w:p>
    <w:p>
      <w:pPr>
        <w:spacing w:after="0" w:line="16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material terms of the Amended and Restated Registration Rights Agreement are described in the section of the Proxy Statement beginning on page 219 entitled “</w:t>
      </w:r>
      <w:r>
        <w:rPr>
          <w:rFonts w:ascii="Arial" w:cs="Arial" w:eastAsia="Arial" w:hAnsi="Arial"/>
          <w:sz w:val="17"/>
          <w:szCs w:val="17"/>
          <w:i w:val="1"/>
          <w:iCs w:val="1"/>
          <w:color w:val="auto"/>
        </w:rPr>
        <w:t>Business Combination Proposal—Related Agreements—Amended and Restated Registration Rights Agreement.</w:t>
      </w:r>
      <w:r>
        <w:rPr>
          <w:rFonts w:ascii="Arial" w:cs="Arial" w:eastAsia="Arial" w:hAnsi="Arial"/>
          <w:sz w:val="17"/>
          <w:szCs w:val="17"/>
          <w:color w:val="auto"/>
        </w:rPr>
        <w:t>”</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does not purport to be complete and is qualified in its entirety by the full text of the Amended and Restated Registration Rights Agreement, which is attached hereto as Exhibit 10.5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the Closing Date,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the indemnity agreements does not purport to be complete and is qualified in its entirety by the terms and conditions of the form of indemnity agreement, which is attached hereto as Exhibit 10.18 and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set forth in the “Introductory Note” above is incorporated into this Item 2.01 by reference.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previously reported, at an extraordinary general meeting of shareholders held on September 3, 2021 (the “</w:t>
      </w:r>
      <w:r>
        <w:rPr>
          <w:rFonts w:ascii="Arial" w:cs="Arial" w:eastAsia="Arial" w:hAnsi="Arial"/>
          <w:sz w:val="18"/>
          <w:szCs w:val="18"/>
          <w:u w:val="single" w:color="auto"/>
          <w:color w:val="auto"/>
        </w:rPr>
        <w:t>extraordinary general meeting</w:t>
      </w:r>
      <w:r>
        <w:rPr>
          <w:rFonts w:ascii="Arial" w:cs="Arial" w:eastAsia="Arial" w:hAnsi="Arial"/>
          <w:sz w:val="18"/>
          <w:szCs w:val="18"/>
          <w:color w:val="auto"/>
        </w:rPr>
        <w:t>”), SOAC’s shareholders approved the Business Combination. The Business Combination was completed on September 9,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the Closing Date and following the consummation of the Business Combination, the Company had the following outstanding securities:</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224,385,324 TMC Common Shares;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to purchase approximately 24,500,000 TMC Common Shares, each exercisable beginning on October 9, 2021 at a price of $11.50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 including approximately 15,000,000 Public Warrants and 9,500,000 private placement warrants issued in connection with SOAC’s initial public offering;</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options to purchase an aggregate of approximately 25,287,670 shares of TMC Common Shares and 14,896,783 TMC Special Shares convertible into an aggregate of 14,896,783 TMC Common Shares if the TMC Common Share applicable price thresholds are exceeded following the closing of the Business Combination at a weighted average exercise price of $1.11 per share;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aggregate of 121,343,181 TMC Special Shares convertible into an aggregate of 121,343,181 TMC Common Shares if the TMC Common Share applicable price thresholds are exceeded following the closing of the Business Combination;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Allseas Warrant, contingent upon the successful completion of the pilot mining test system (the “PMTS”), exercisable at a price of $0.01 per share for up to 11,578,620 TMC Common Shares depending on the date of successful completion of the PMTS.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Closing Date, the Company was a shell company (as defined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no operations, formed for the purpose of effecting a merger, share exchange, asset acquisition, share purchase, reorganization or similar business combination with one or more businesses. On the Closing Date and after the consummation of the Business Combination, the Company became a holding company whose only assets consist of equity interests in DeepGreen.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makes forward-looking statements in this Current Report on Form 8-K and in documents incorporated herein by reference. All statements, other than statements of present or historical fact included in or incorporated by reference in this Current Report on Form 8-K, regarding the Company’s future financial performance, as well as the Company’s strategy, future operations, financial position, estimated revenues, and losses, projected costs, prospects, plans and objectives of management are forward-looking statements. When used in this Current Report on Form 8-K, the words “anticipate,” “believe,” “contemplate,” “continue,” “could,” “estimate,” “expect,” “intends,” “may,” “might,” “plan,” “possible,” “potential,” “predict,” “project,” “should,” “will,” “would,” and the negative of such terms and other similar expressions, are intended to identify forward-looking statements, although not all forward-looking statements contain such identifying words.</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forward-looking statements are based on information available as of the date of this Current Report on Form 8-K, and on management’s current expectations, forecasts, assumptions, hopes, beliefs, intentions and strategies regarding future events. The Company cautions you that these forward-looking statements are subject to all of the risks and uncertainties, most of which are difficult to predict and many of which are beyond the control of the Company, incident to its business. Accordingly, forward-looking statements in this Current Report on Form 8-K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170"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the commercial and technical feasibility of seafloor polymetallic nodule collection and processing;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and demand for battery metals and manganese alloys;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future prices of battery metal and manganese alloys;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content of International Seabed Authority’s exploitation regulations that will create the legal and technical framework for exploitation of polymetallic nodules in the Clarion Clipperton Zone of the Pacific Ocean;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regulation of deep seabed mining operations and changes in mining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risks of developing and deploying equipment for operations to collect polymetallic nodules at sea and to process such nodules on land;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and amount of estimated future production, costs of production, capital expenditures and requirements for additional capital;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reclamation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in mineral resource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risks posed by the Company’s material weakness in its internal control over financial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in geological, hydrological, metallurgical and geotechnical studies and opinions;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downturns and political and market conditions beyond our control could adversely affect our business, financial condition and results of operations;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and other factors that could cause actual results to differ from those implied by the forward-looking statements, which are more fully described under the heading “Risk Factors” in the Proxy Statement beginning on page 47. The risks described under the heading “Risk Factors” beginning on page 47 of the Proxy Statement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business of SOAC prior to the Business Combination is described in the Proxy Statement in the section entitled “</w:t>
      </w:r>
      <w:r>
        <w:rPr>
          <w:rFonts w:ascii="Arial" w:cs="Arial" w:eastAsia="Arial" w:hAnsi="Arial"/>
          <w:sz w:val="16"/>
          <w:szCs w:val="16"/>
          <w:i w:val="1"/>
          <w:iCs w:val="1"/>
          <w:color w:val="auto"/>
        </w:rPr>
        <w:t>Information about SOAC</w:t>
      </w:r>
      <w:r>
        <w:rPr>
          <w:rFonts w:ascii="Arial" w:cs="Arial" w:eastAsia="Arial" w:hAnsi="Arial"/>
          <w:sz w:val="16"/>
          <w:szCs w:val="16"/>
          <w:color w:val="auto"/>
        </w:rPr>
        <w:t>” beginning on page 101 of the Proxy Statement, which is incorporated herein by reference. The business of the Company is described in the Proxy Statement in the section entitled “</w:t>
      </w:r>
      <w:r>
        <w:rPr>
          <w:rFonts w:ascii="Arial" w:cs="Arial" w:eastAsia="Arial" w:hAnsi="Arial"/>
          <w:sz w:val="16"/>
          <w:szCs w:val="16"/>
          <w:i w:val="1"/>
          <w:iCs w:val="1"/>
          <w:color w:val="auto"/>
        </w:rPr>
        <w:t>Information about DeepGreen</w:t>
      </w:r>
      <w:r>
        <w:rPr>
          <w:rFonts w:ascii="Arial" w:cs="Arial" w:eastAsia="Arial" w:hAnsi="Arial"/>
          <w:sz w:val="16"/>
          <w:szCs w:val="16"/>
          <w:color w:val="auto"/>
        </w:rPr>
        <w:t>” beginning on page 120 of the Proxy Statement, which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risk factors related to the Company’s business and operations are set forth in the Proxy Statement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47 of the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properties of SOAC prior to the Business Combination are described in the Proxy Statement in the section entitled “</w:t>
      </w:r>
      <w:r>
        <w:rPr>
          <w:rFonts w:ascii="Arial" w:cs="Arial" w:eastAsia="Arial" w:hAnsi="Arial"/>
          <w:sz w:val="18"/>
          <w:szCs w:val="18"/>
          <w:i w:val="1"/>
          <w:iCs w:val="1"/>
          <w:color w:val="auto"/>
        </w:rPr>
        <w:t>Information about SOAC –</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w:t>
      </w:r>
      <w:r>
        <w:rPr>
          <w:rFonts w:ascii="Arial" w:cs="Arial" w:eastAsia="Arial" w:hAnsi="Arial"/>
          <w:sz w:val="18"/>
          <w:szCs w:val="18"/>
          <w:color w:val="auto"/>
        </w:rPr>
        <w:t>” beginning on page 113 of the Proxy Statement, which is incorporated herein by reference. The properties of the Company are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in the section entitled “</w:t>
      </w:r>
      <w:r>
        <w:rPr>
          <w:rFonts w:ascii="Arial" w:cs="Arial" w:eastAsia="Arial" w:hAnsi="Arial"/>
          <w:sz w:val="18"/>
          <w:szCs w:val="18"/>
          <w:i w:val="1"/>
          <w:iCs w:val="1"/>
          <w:color w:val="auto"/>
        </w:rPr>
        <w:t>Information about DeepGreen – Properties</w:t>
      </w:r>
      <w:r>
        <w:rPr>
          <w:rFonts w:ascii="Arial" w:cs="Arial" w:eastAsia="Arial" w:hAnsi="Arial"/>
          <w:sz w:val="18"/>
          <w:szCs w:val="18"/>
          <w:color w:val="auto"/>
        </w:rPr>
        <w:t>” beginning on page 143 of the Proxy Statement, which is incorporated herein by reference.</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a physical office in Vancouver, British Columbia, its directors and executive officers work remotely in various countries around the world, and the Vancouver, British Columbia address disclosed as its principal executive office has been provided because it is the Company’s records office required under the BCBCA.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condensed financial statements as of June 30, 2021 and for the six months ended June 30, 2021 of DeepGreen have been prepared in accordance with U.S. generally accepted accounting principles and pursuant to the regulations of the SEC and are attached hereto as Exhibit 99.2 and are incorporated herein by reference.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unaudited condensed financial statements should be read in conjunction with the historical audited financial statements of DeepGreen as of and for the years ended December 31, 2020 and 2019, and the related notes included in the Proxy Statement beginning on page F-44 of the Proxy Statement, which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as of June 30, 2021 and for the six months ended June 30, 2021 and for the year ended December 31, 2020 is attached hereto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Management’s discussion and analysis of the financial condition and results of operation of DeepGreen for the six months ended June 30, 2021 is attached hereto as Exhibit 99.3 and is incorporated herein by reference. Management’s discussion and analysis of the financial condition and results of operation of DeepGreen for the years ended December 31, 2020 and 2019 is included in the Proxy Statement in the section entitled “</w:t>
      </w:r>
      <w:r>
        <w:rPr>
          <w:rFonts w:ascii="Arial" w:cs="Arial" w:eastAsia="Arial" w:hAnsi="Arial"/>
          <w:sz w:val="18"/>
          <w:szCs w:val="18"/>
          <w:i w:val="1"/>
          <w:iCs w:val="1"/>
          <w:color w:val="auto"/>
        </w:rPr>
        <w:t>DeepGreen’s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beginning on page 176 of the Proxy Statement,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TMC Common Shares as of the Closing Date by:</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TMC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TMC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beneficial ownership of TMC Common Shares is based on 224,385,324 TMC Common Shares issued and outstanding as of the Closing Date.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7"/>
          <w:szCs w:val="17"/>
          <w:color w:val="auto"/>
        </w:rPr>
        <w:t>Unless otherwise indicated, the Company believes that each person named in the table below has sole voting and investment power with respect to all shares of the TMC Common Shares beneficially owned by them. Unless otherwise indicated, the business address of each of the following entities or individuals is c/o TMC the metals company Inc., 595 Howe Street,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Vancouver, British Columbia, Canada V6C 2T5.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TMC</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r>
      <w:tr>
        <w:trPr>
          <w:trHeight w:val="277"/>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1"/>
              </w:rPr>
              <w:t>Shares</w:t>
            </w:r>
            <w:r>
              <w:rPr>
                <w:rFonts w:ascii="Arial" w:cs="Arial" w:eastAsia="Arial" w:hAnsi="Arial"/>
                <w:sz w:val="29"/>
                <w:szCs w:val="29"/>
                <w:b w:val="1"/>
                <w:bCs w:val="1"/>
                <w:color w:val="auto"/>
                <w:w w:val="81"/>
                <w:vertAlign w:val="superscript"/>
              </w:rPr>
              <w:t>(1)</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Owned (%)</w:t>
            </w:r>
          </w:p>
        </w:tc>
      </w:tr>
      <w:tr>
        <w:trPr>
          <w:trHeight w:val="216"/>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Gerard Barron</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13,978,180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Anthony O’Sullivan</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575,110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Erika Ilves</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247,781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Craig Shesky</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308,762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Dr. Gregory Stone</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33,076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Gina Stryker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Christian Madsbjerg</w:t>
            </w:r>
            <w:r>
              <w:rPr>
                <w:rFonts w:ascii="Arial" w:cs="Arial" w:eastAsia="Arial" w:hAnsi="Arial"/>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Leonard</w:t>
            </w:r>
            <w:r>
              <w:rPr>
                <w:rFonts w:ascii="Arial" w:cs="Arial" w:eastAsia="Arial" w:hAnsi="Arial"/>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6,669,000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Andrei Karkar</w:t>
            </w:r>
            <w:r>
              <w:rPr>
                <w:rFonts w:ascii="Arial" w:cs="Arial" w:eastAsia="Arial" w:hAnsi="Arial"/>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39,621,909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All Directors and Executive Officers of the Company as a Group (12 Individuals)</w:t>
            </w:r>
            <w:r>
              <w:rPr>
                <w:rFonts w:ascii="Arial" w:cs="Arial" w:eastAsia="Arial" w:hAnsi="Arial"/>
                <w:sz w:val="29"/>
                <w:szCs w:val="29"/>
                <w:b w:val="1"/>
                <w:bCs w:val="1"/>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62,174,818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ERAS Capital</w:t>
            </w:r>
            <w:r>
              <w:rPr>
                <w:rFonts w:ascii="Arial" w:cs="Arial" w:eastAsia="Arial" w:hAnsi="Arial"/>
                <w:sz w:val="29"/>
                <w:szCs w:val="29"/>
                <w:color w:val="auto"/>
                <w:vertAlign w:val="superscript"/>
              </w:rPr>
              <w:t>(11)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39,621,909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r>
      <w:tr>
        <w:trPr>
          <w:trHeight w:val="256"/>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Maersk Supply Service A/S</w:t>
            </w:r>
            <w:r>
              <w:rPr>
                <w:rFonts w:ascii="Arial" w:cs="Arial" w:eastAsia="Arial" w:hAnsi="Arial"/>
                <w:sz w:val="29"/>
                <w:szCs w:val="29"/>
                <w:color w:val="auto"/>
                <w:vertAlign w:val="superscript"/>
              </w:rPr>
              <w:t>(12)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20,820,816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Allseas Group S.A.</w:t>
            </w:r>
            <w:r>
              <w:rPr>
                <w:rFonts w:ascii="Arial" w:cs="Arial" w:eastAsia="Arial" w:hAnsi="Arial"/>
                <w:sz w:val="29"/>
                <w:szCs w:val="29"/>
                <w:color w:val="auto"/>
                <w:vertAlign w:val="superscript"/>
              </w:rPr>
              <w:t>(13)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14,151,648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Indicates beneficial ownership of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Excludes TMC Special Shares.</w:t>
      </w:r>
    </w:p>
    <w:p>
      <w:pPr>
        <w:spacing w:after="0" w:line="225" w:lineRule="exact"/>
        <w:rPr>
          <w:sz w:val="20"/>
          <w:szCs w:val="20"/>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13,978,180 TMC Common Shares. Does not include 6,353,378 TMC Common Shares underlying options that are not exercisable within 60 days of September 9, 2021 held by Mr. Barron.</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575,110 TMC Common Shares held by The O’Sullivan Family Trust No. 1. Does not include 1,696,931 TMC Common Shares underlying options that are not exercisable within 60 days of September 9, 2021 held by Mr. O’Sullivan. Anthony O’Sullivan is the sole director of JOZEM Pty Ltd. which is the trustee of The O’Sullivan Family Trust No. 1.</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(i) 217,099 TMC Common Shares held by Ms. Ilves and 30,682 TMC Common Shares held of record by Ms. Ilves’ children. Does not include 2,373,336 TMC Common Shares underlying options that are not exercisable within 60 days of September 9, 2021 held by Ms. Ilves.</w:t>
      </w:r>
    </w:p>
    <w:p>
      <w:pPr>
        <w:spacing w:after="0" w:line="14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308,762 TMC Common Shares. Does not include 658,065 TMC Common Shares underlying options that are not exercisable within 60 days of September 9, 2021 held by Mr. Shesky.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33,076 TMC Common Shares. Does not include 1,829,243 TMC Common Shares underlying options that are not exercisable within 60 days of September 9, 2021 held by Dr. Stone.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716,916 TMC Common Shares underlying options that are not exercisable within 60 days of September 9, 2021 held by Mr. Madsbjerg.</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6,669,000 TMC Common Shares held by Sustainable Opportunities Holdings LLC, of which Scott Leonard is one of the managers and shares voting and dispositive power over the securities held by Sustainable Opportunities Holdings LLC and therefore Mr. Leonard may be deemed to be a beneficial owner thereof.</w:t>
      </w:r>
    </w:p>
    <w:p>
      <w:pPr>
        <w:spacing w:after="0" w:line="183"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Consists of 39,621,909 TMC Common Shares held by ERAS Capital LLC (“</w:t>
      </w:r>
      <w:r>
        <w:rPr>
          <w:rFonts w:ascii="Arial" w:cs="Arial" w:eastAsia="Arial" w:hAnsi="Arial"/>
          <w:sz w:val="17"/>
          <w:szCs w:val="17"/>
          <w:u w:val="single" w:color="auto"/>
          <w:color w:val="auto"/>
        </w:rPr>
        <w:t>ERAS</w:t>
      </w:r>
      <w:r>
        <w:rPr>
          <w:rFonts w:ascii="Arial" w:cs="Arial" w:eastAsia="Arial" w:hAnsi="Arial"/>
          <w:sz w:val="17"/>
          <w:szCs w:val="17"/>
          <w:color w:val="auto"/>
        </w:rPr>
        <w:t>”). Does not include 769,020 TMC Common Shares underlying options that are not exercisable within 60 days of September 9, 2021 held by Mr. Karkar. Mr. Karkar has voting and dispositive control over the securities held by ERAS and therefore Mr. Karkar may be deemed to have beneficial ownership of the shares held by ERAS.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footnotes 2 through 9.</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ERAS is 323 Marina Boulevard, San Francisco, California 94123. Andrei Karkar has voting and dispositive control over the securities held by ERAS and therefore Mr. Karkar may be deemed to have beneficial ownership of the shares held by ERAS.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Maersk Supply Service A/S is Esplanaden 50 Copenhagen K, DK-1098 Denmark. Maersk Supply Service A/S is a subsidiary of AP Moller-Maersk A/S.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Allseas Group S.A. is 18 Route de Pra de Plan, Case Postale, 411 1618 Chatel-Saint-Denis, Switzerland.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41" w:orient="portrait"/>
          <w:cols w:equalWidth="0" w:num="1">
            <w:col w:w="11240"/>
          </w:cols>
          <w:pgMar w:left="320" w:top="908" w:right="3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Information with respect to the Company’s directors and executive officers after the Business Combination is set forth in the Proxy Statement in the sections entitled </w:t>
      </w:r>
      <w:r>
        <w:rPr>
          <w:rFonts w:ascii="Arial" w:cs="Arial" w:eastAsia="Arial" w:hAnsi="Arial"/>
          <w:sz w:val="18"/>
          <w:szCs w:val="18"/>
          <w:i w:val="1"/>
          <w:iCs w:val="1"/>
          <w:color w:val="auto"/>
        </w:rPr>
        <w:t>“Management of TMC Following the Business Combination</w:t>
      </w:r>
      <w:r>
        <w:rPr>
          <w:rFonts w:ascii="Arial" w:cs="Arial" w:eastAsia="Arial" w:hAnsi="Arial"/>
          <w:sz w:val="18"/>
          <w:szCs w:val="18"/>
          <w:color w:val="auto"/>
        </w:rPr>
        <w:t>” beginning on page 191 and “</w:t>
      </w:r>
      <w:r>
        <w:rPr>
          <w:rFonts w:ascii="Arial" w:cs="Arial" w:eastAsia="Arial" w:hAnsi="Arial"/>
          <w:sz w:val="18"/>
          <w:szCs w:val="18"/>
          <w:i w:val="1"/>
          <w:iCs w:val="1"/>
          <w:color w:val="auto"/>
        </w:rPr>
        <w:t>Executive and Director Compensation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DeepGreen</w:t>
      </w:r>
      <w:r>
        <w:rPr>
          <w:rFonts w:ascii="Arial" w:cs="Arial" w:eastAsia="Arial" w:hAnsi="Arial"/>
          <w:sz w:val="18"/>
          <w:szCs w:val="18"/>
          <w:color w:val="auto"/>
        </w:rPr>
        <w:t>” beginning on page 171 of the Proxy Statement, which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as of the Closing Date, and in connection with the closing of the Business Combination, the size of the Board was increased from five to eight members. Each of Scott Honour, Rick Gaenzle, Isaac Barchas and Justin Kelly resigned as directors of SOAC effective as of the Closing Date. Effective as of the Closing Date, Gerard Barron, Christian Madsbjerg, Andrew Hall, Sheila Khama, Amelia Kinahoi Siamomua, Gina Stryker and Andrei Karkar were elected to serve as directors on the Board, with Scott Leonard elected and continuing to serve on the Board. Biographical information for these individuals is set forth in the Proxy Statement in the section entitled “</w:t>
      </w:r>
      <w:r>
        <w:rPr>
          <w:rFonts w:ascii="Arial" w:cs="Arial" w:eastAsia="Arial" w:hAnsi="Arial"/>
          <w:sz w:val="18"/>
          <w:szCs w:val="18"/>
          <w:i w:val="1"/>
          <w:iCs w:val="1"/>
          <w:color w:val="auto"/>
        </w:rPr>
        <w:t>Management of TMC Following the Business Combination</w:t>
      </w:r>
      <w:r>
        <w:rPr>
          <w:rFonts w:ascii="Arial" w:cs="Arial" w:eastAsia="Arial" w:hAnsi="Arial"/>
          <w:sz w:val="18"/>
          <w:szCs w:val="18"/>
          <w:color w:val="auto"/>
        </w:rPr>
        <w:t>” beginning on page 191 of the Proxy Statement, which is incorporated herein by reference.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Eric Branderiz and Riva Krut each decided for personal reasons to not serve as directors of the Company following the Business Combination and were replaced by Gina Stryker and Amelia Siamomua, respectively, as directors of the Company. Ms. Krut will act as a senior advisor to the Company’s Sustainability and Innovation Committee (as defined below) of the board of directors of TMC.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Biographical information for Ms. Stryker and Ms. Siamomua is set forth below.</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w:t>
      </w:r>
      <w:r>
        <w:rPr>
          <w:rFonts w:ascii="Arial" w:cs="Arial" w:eastAsia="Arial" w:hAnsi="Arial"/>
          <w:sz w:val="17"/>
          <w:szCs w:val="17"/>
          <w:u w:val="single" w:color="auto"/>
          <w:color w:val="auto"/>
        </w:rPr>
        <w:t>UN</w:t>
      </w:r>
      <w:r>
        <w:rPr>
          <w:rFonts w:ascii="Arial" w:cs="Arial" w:eastAsia="Arial" w:hAnsi="Arial"/>
          <w:sz w:val="17"/>
          <w:szCs w:val="17"/>
          <w:color w:val="auto"/>
        </w:rPr>
        <w:t>”)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 qualifications to serve on the board of directors of TMC include her sustainable development expertise and her extensive knowledge of economic and social policies of developing countries.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Ms. Stryker has 20 years of tax experience in corporate settings as well as 14 years of senior management experience. Since May 2020, Ms. Stryker has served as General Counsel and Corporate Secretary of SOAC. Since August 2019, Ms. Stryker has also been a part of 3920 Partners LLC, a company focused on sustainable investment, where she now serves as Partner. From July 2018 to January 2019, Ms. Stryker served as Senior Advisor to EVP Restructuring at GenOn Energy, Inc. (“GenOn”), where she led tax and business strategy engagement as GenOn prepared to emerge from Chapter 11. Prior to July 2018, Ms. Stryker managed a family office. Ms. Stryker has earned a B.S. in Applied Science from Youngstown State University, a J.D. from University of Pittsburgh, an LLM from New York University and an MBA from Rice University. Ms. Stryker’s qualifications to serve on the board of directors of TMC include her prior experience advising on tax and business strategy in the energy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has determined that Andrew Hall, Scott Leonard, Gina Stryker, Sheila Khama, Christian Madsbjerg, Amelia Kinahoi Siamomua and Andrei Karkar, representing seven (7) of the Company’s eight (8) directors, are “independent” as that term is defined under the applicable rules and regulations of the SEC and the listing requirements and rules of the Nasdaq. Andrew Hall shall serve as the Lead Independent Director of the Board. Additional information with respect to the independence of the Company’s directors is set forth in the Proxy Statement in the section entitled </w:t>
      </w:r>
      <w:r>
        <w:rPr>
          <w:rFonts w:ascii="Arial" w:cs="Arial" w:eastAsia="Arial" w:hAnsi="Arial"/>
          <w:sz w:val="16"/>
          <w:szCs w:val="16"/>
          <w:i w:val="1"/>
          <w:iCs w:val="1"/>
          <w:color w:val="auto"/>
        </w:rPr>
        <w:t>“Management of TMC Following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w:t>
      </w:r>
      <w:r>
        <w:rPr>
          <w:rFonts w:ascii="Arial" w:cs="Arial" w:eastAsia="Arial" w:hAnsi="Arial"/>
          <w:sz w:val="16"/>
          <w:szCs w:val="16"/>
          <w:color w:val="auto"/>
        </w:rPr>
        <w:t>” beginning on page 191 of the Proxy Statement, which is incorporated herein by reference.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Effective as of the Closing Date, the standing committees of the Board consist of an audit committee (the “</w:t>
      </w:r>
      <w:r>
        <w:rPr>
          <w:rFonts w:ascii="Arial" w:cs="Arial" w:eastAsia="Arial" w:hAnsi="Arial"/>
          <w:sz w:val="16"/>
          <w:szCs w:val="16"/>
          <w:u w:val="single" w:color="auto"/>
          <w:color w:val="auto"/>
        </w:rPr>
        <w:t>Audit Committee</w:t>
      </w:r>
      <w:r>
        <w:rPr>
          <w:rFonts w:ascii="Arial" w:cs="Arial" w:eastAsia="Arial" w:hAnsi="Arial"/>
          <w:sz w:val="16"/>
          <w:szCs w:val="16"/>
          <w:color w:val="auto"/>
        </w:rPr>
        <w:t>”), a compensation committee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a nominating and corporate governance committee (the “</w:t>
      </w:r>
      <w:r>
        <w:rPr>
          <w:rFonts w:ascii="Arial" w:cs="Arial" w:eastAsia="Arial" w:hAnsi="Arial"/>
          <w:sz w:val="16"/>
          <w:szCs w:val="16"/>
          <w:u w:val="single" w:color="auto"/>
          <w:color w:val="auto"/>
        </w:rPr>
        <w:t>Nominating and Corporate Governance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and a sustainability and innovation committee (the “</w:t>
      </w:r>
      <w:r>
        <w:rPr>
          <w:rFonts w:ascii="Arial" w:cs="Arial" w:eastAsia="Arial" w:hAnsi="Arial"/>
          <w:sz w:val="16"/>
          <w:szCs w:val="16"/>
          <w:u w:val="single" w:color="auto"/>
          <w:color w:val="auto"/>
        </w:rPr>
        <w:t>Sustainability and Innovation Committee</w:t>
      </w:r>
      <w:r>
        <w:rPr>
          <w:rFonts w:ascii="Arial" w:cs="Arial" w:eastAsia="Arial" w:hAnsi="Arial"/>
          <w:sz w:val="16"/>
          <w:szCs w:val="16"/>
          <w:color w:val="auto"/>
        </w:rPr>
        <w:t>”). Each of the committees reports to the Board.</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as of the Closing Date, the Board appointed Scott Leonard, Andrew Hall and Gina Stryker to serve on the Audit Committee, with Scott Leonard as chair of the Audit Committee. Scott Leonard is an “audit committee financial expert” as defined by the SEC. The Board appointed Sheila Khama, Gina Stryker and Andrei Karkar to serve on the Compensation Committee, with Andrei Karkar as chair of the Compensation Committee. The Board appointed Christian Madsbjerg, Sheila Khama and Andrei Karkar to serve on the Nominating and Corporate Governance Committee, with Christian Madsbjerg as chair of the Nominating and Corporate Governance Committee. The Board appointed Sheila Khama, Christian Madsbjerg and Amelia Kinahoi Siamomua to serve on the Sustainability and Innovation Committee, with Sheila Khama as chair of the Sustainability and Innovation Committee.</w:t>
      </w:r>
    </w:p>
    <w:p>
      <w:pPr>
        <w:spacing w:after="0" w:line="16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the Sustainability and Innovation Committee is to assist the Board in discharging its responsibilities relating to oversight of the Company’s policies, programs, performance and related risks and opportunities that concern key sustainability and innovation matters, including issues of significance to the Company and its stakeholders that may affect its business, strategy, operations, performance, or reputation.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adopted a written charter for the Sustainability and Innovation Committee, which is available on the Company’s website.</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 xml:space="preserve">Additional information with respect to the committees of the Board is set forth in the Proxy Statement in the section entitled </w:t>
      </w:r>
      <w:r>
        <w:rPr>
          <w:rFonts w:ascii="Arial" w:cs="Arial" w:eastAsia="Arial" w:hAnsi="Arial"/>
          <w:sz w:val="16"/>
          <w:szCs w:val="16"/>
          <w:i w:val="1"/>
          <w:iCs w:val="1"/>
          <w:color w:val="auto"/>
        </w:rPr>
        <w:t>“Management of TMC</w:t>
      </w:r>
      <w:r>
        <w:rPr>
          <w:rFonts w:ascii="Arial" w:cs="Arial" w:eastAsia="Arial" w:hAnsi="Arial"/>
          <w:sz w:val="16"/>
          <w:szCs w:val="16"/>
          <w:color w:val="auto"/>
        </w:rPr>
        <w:t xml:space="preserve"> </w:t>
      </w:r>
      <w:r>
        <w:rPr>
          <w:rFonts w:ascii="Arial" w:cs="Arial" w:eastAsia="Arial" w:hAnsi="Arial"/>
          <w:sz w:val="16"/>
          <w:szCs w:val="16"/>
          <w:i w:val="1"/>
          <w:iCs w:val="1"/>
          <w:color w:val="auto"/>
        </w:rPr>
        <w:t>Following the Business Combination—Board Committees</w:t>
      </w:r>
      <w:r>
        <w:rPr>
          <w:rFonts w:ascii="Arial" w:cs="Arial" w:eastAsia="Arial" w:hAnsi="Arial"/>
          <w:sz w:val="16"/>
          <w:szCs w:val="16"/>
          <w:color w:val="auto"/>
        </w:rPr>
        <w:t>” beginning on page 195 of the Proxy Statement, which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as of the Closing Date, in connection with the Business Combination, the Board appointed Gerard Barron to serve as Chief Executive Officer, Anthony O’Sullivan to serve as Chief Development Officer, Erika Ilves to serve as Head of Strategy and Business Development, Craig Shesky to serve as Chief Financial Officer, and Dr. Gregory Stone to serve as Chief Ocean Scientist. Each of Scott Leonard and David Quiram resigned as Chief Executive Officer and Chief Financial Officer, respectively, effective as of the Closing Date. Biographical information for the Company’s executive officers is set forth in the Proxy Statement in the section entitled “</w:t>
      </w:r>
      <w:r>
        <w:rPr>
          <w:rFonts w:ascii="Arial" w:cs="Arial" w:eastAsia="Arial" w:hAnsi="Arial"/>
          <w:sz w:val="18"/>
          <w:szCs w:val="18"/>
          <w:i w:val="1"/>
          <w:iCs w:val="1"/>
          <w:color w:val="auto"/>
        </w:rPr>
        <w:t>Management of TMC Following the Business Combination</w:t>
      </w:r>
      <w:r>
        <w:rPr>
          <w:rFonts w:ascii="Arial" w:cs="Arial" w:eastAsia="Arial" w:hAnsi="Arial"/>
          <w:sz w:val="18"/>
          <w:szCs w:val="18"/>
          <w:color w:val="auto"/>
        </w:rPr>
        <w:t>” beginning on page 191 of the Proxy Statement, which is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with respect to the compensation of the Company’s directors is set forth in the Proxy Statement in the sections entitled “</w:t>
      </w:r>
      <w:r>
        <w:rPr>
          <w:rFonts w:ascii="Arial" w:cs="Arial" w:eastAsia="Arial" w:hAnsi="Arial"/>
          <w:sz w:val="18"/>
          <w:szCs w:val="18"/>
          <w:i w:val="1"/>
          <w:iCs w:val="1"/>
          <w:color w:val="auto"/>
        </w:rPr>
        <w:t>Executive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Compensation of DeepGreen – Post-Business Combination TMC Executive Officer and Director Compensation</w:t>
      </w:r>
      <w:r>
        <w:rPr>
          <w:rFonts w:ascii="Arial" w:cs="Arial" w:eastAsia="Arial" w:hAnsi="Arial"/>
          <w:sz w:val="18"/>
          <w:szCs w:val="18"/>
          <w:color w:val="auto"/>
        </w:rPr>
        <w:t>” beginning on page 175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which is incorporated herein by reference.</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September 9, 2021, the Company adopted a non-employee director compensation policy. Pursuant to the policy, the annual cash retainer for non-employee directors is $90,000. Annual cash retainers for committee membership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Retainer</w:t>
            </w:r>
          </w:p>
        </w:tc>
      </w:tr>
      <w:tr>
        <w:trPr>
          <w:trHeight w:val="216"/>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Lead director</w:t>
            </w:r>
          </w:p>
        </w:tc>
        <w:tc>
          <w:tcPr>
            <w:tcW w:w="4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Audit Committee chairperson</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5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Compensation Committee chairperson</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5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w w:val="99"/>
              </w:rPr>
              <w:t>Nominating and Corporate Governance Committee chairperson</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5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Sustainability and Innovation Committee chairperson</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5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655"/>
        </w:trPr>
        <w:tc>
          <w:tcPr>
            <w:tcW w:w="50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ind w:right="40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 w:name="page12"/>
    <w:bookmarkEnd w:id="11"/>
    <w:p>
      <w:pPr>
        <w:jc w:val="both"/>
        <w:ind w:firstLine="324"/>
        <w:spacing w:after="0" w:line="296" w:lineRule="auto"/>
        <w:rPr>
          <w:sz w:val="20"/>
          <w:szCs w:val="20"/>
          <w:color w:val="auto"/>
        </w:rPr>
      </w:pPr>
      <w:r>
        <w:rPr>
          <w:rFonts w:ascii="Arial" w:cs="Arial" w:eastAsia="Arial" w:hAnsi="Arial"/>
          <w:sz w:val="16"/>
          <w:szCs w:val="16"/>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on such committee or in such position. Non-employee directors are also reimbursed for reasonable out-of-pocket business expenses incurred in connection with attending meetings of the Board and any committee of the Board on which they serve and in connection with other business related to the Board. Directors may also be reimbursed for reasonable out-of-pocket business expenses in accordance with the Company’s travel and other expense policies, as may be in effect from time to time.</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Company grants to new non-employee directors upon their initial election to the Board a number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(each RSU relating to one share of TMC Common Shares), having an aggregate fair market value equal to $100,000, determined by dividing (A) $100,000 by (B) the closing price of the TMC Common Shares on the Nasdaq on the date of the grant (rounded down to the nearest whole share), on the first business day after the date that the non-employee director is first appointed or elected to the Board. Each of these grants shall vest in equal annual installments over three years from the date of the grant, subject to the non-employee director’s continued service as a director on the applicable vesting dates.</w:t>
      </w:r>
    </w:p>
    <w:p>
      <w:pPr>
        <w:spacing w:after="0" w:line="19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foregoing description of the nonemployee director compensation policy is not complete and is subject to and qualified in its entirety by reference to the nonemployee director compensation policy, a copy of which is attached hereto as Exhibit 10.19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Information with respect to the compensation of the Company’s executive officers is set forth in the Proxy Statement in the section entitled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and Director Compensation of DeepGreen</w:t>
      </w:r>
      <w:r>
        <w:rPr>
          <w:rFonts w:ascii="Arial" w:cs="Arial" w:eastAsia="Arial" w:hAnsi="Arial"/>
          <w:sz w:val="17"/>
          <w:szCs w:val="17"/>
          <w:color w:val="auto"/>
        </w:rPr>
        <w:t>” beginning on page 120 of the Proxy Statement, which is incorporated herein by reference.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 of the compensation of the Company’s executive officers is qualified in its entirety by the full text of the employment agreement with Gerard Barron; the employment agreement with Anthony O’Sullivan; and the employment agreement with Erika Ilves; copies of which are attached hereto as Exhibits 10.20, 10.21 and 10.22, respectively,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Equity Plan</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At the extraordinary general meeting, the SOAC shareholders approved the TMC the metals company Inc. 2021 Incentive Equity Plan (the “</w:t>
      </w:r>
      <w:r>
        <w:rPr>
          <w:rFonts w:ascii="Arial" w:cs="Arial" w:eastAsia="Arial" w:hAnsi="Arial"/>
          <w:sz w:val="17"/>
          <w:szCs w:val="17"/>
          <w:u w:val="single" w:color="auto"/>
          <w:color w:val="auto"/>
        </w:rPr>
        <w:t>2021</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The description of the 2021 Plan is set forth in the Proxy Statement section entitled “</w:t>
      </w:r>
      <w:r>
        <w:rPr>
          <w:rFonts w:ascii="Arial" w:cs="Arial" w:eastAsia="Arial" w:hAnsi="Arial"/>
          <w:sz w:val="17"/>
          <w:szCs w:val="17"/>
          <w:i w:val="1"/>
          <w:iCs w:val="1"/>
          <w:color w:val="auto"/>
        </w:rPr>
        <w:t>Proposal No. 6 – Incentive Equity Plan Proposal</w:t>
      </w:r>
      <w:r>
        <w:rPr>
          <w:rFonts w:ascii="Arial" w:cs="Arial" w:eastAsia="Arial" w:hAnsi="Arial"/>
          <w:sz w:val="17"/>
          <w:szCs w:val="17"/>
          <w:color w:val="auto"/>
        </w:rPr>
        <w:t>” beginning on page 244 of the Proxy Statement, which is incorporated herein by reference. A copy of the full text of the 2021 Plan is filed as Exhibit 10.23.1 to this Current Report on Form 8-K and is incorporated herein by reference. Following the consummation of the Business Combination, the Company expects that the Board or the Compensation Committee will make grants of awards under the 2021 Plan to eligible participants.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DeepGreen Metals Inc. Stock Option Plan</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consequence of the Business Combination, the Company adopted and assumed the DeepGreen Metals Inc. Stock Option Plan, as amended (the “</w:t>
      </w:r>
      <w:r>
        <w:rPr>
          <w:rFonts w:ascii="Arial" w:cs="Arial" w:eastAsia="Arial" w:hAnsi="Arial"/>
          <w:sz w:val="18"/>
          <w:szCs w:val="18"/>
          <w:u w:val="single" w:color="auto"/>
          <w:color w:val="auto"/>
        </w:rPr>
        <w:t>DeepGreen Plan</w:t>
      </w:r>
      <w:r>
        <w:rPr>
          <w:rFonts w:ascii="Arial" w:cs="Arial" w:eastAsia="Arial" w:hAnsi="Arial"/>
          <w:sz w:val="18"/>
          <w:szCs w:val="18"/>
          <w:color w:val="auto"/>
        </w:rPr>
        <w:t>”), and each option to purchase DeepGreen Common Shares, whether vested or unvested, that was outstanding immediately prior to the Effective Time was assumed by the Company and became an option (vested or unvested, as applicable) to purchase a number of TMC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 The description of the DeepGreen Plan is set forth in the Proxy Statement section entitled “</w:t>
      </w:r>
      <w:r>
        <w:rPr>
          <w:rFonts w:ascii="Arial" w:cs="Arial" w:eastAsia="Arial" w:hAnsi="Arial"/>
          <w:sz w:val="18"/>
          <w:szCs w:val="18"/>
          <w:i w:val="1"/>
          <w:iCs w:val="1"/>
          <w:color w:val="auto"/>
        </w:rPr>
        <w:t>Executive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of DeepGreen–Stock Option Plan and Stock Option Awards</w:t>
      </w:r>
      <w:r>
        <w:rPr>
          <w:rFonts w:ascii="Arial" w:cs="Arial" w:eastAsia="Arial" w:hAnsi="Arial"/>
          <w:sz w:val="18"/>
          <w:szCs w:val="18"/>
          <w:color w:val="auto"/>
        </w:rPr>
        <w:t>” beginning on page 174 of the Proxy Statement, which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Certain Relationships and Related Person Transactions and Director Independence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relationships and related person transactions of the Company are described in the Proxy Statement in the section entitled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w:t>
      </w:r>
      <w:r>
        <w:rPr>
          <w:rFonts w:ascii="Arial" w:cs="Arial" w:eastAsia="Arial" w:hAnsi="Arial"/>
          <w:sz w:val="17"/>
          <w:szCs w:val="17"/>
          <w:color w:val="auto"/>
        </w:rPr>
        <w:t>” beginning on page 202 of the Proxy Statement, which is incorporated herein by reference.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director independence set forth in the Proxy Statement in the section entitled “</w:t>
      </w:r>
      <w:r>
        <w:rPr>
          <w:rFonts w:ascii="Arial" w:cs="Arial" w:eastAsia="Arial" w:hAnsi="Arial"/>
          <w:sz w:val="17"/>
          <w:szCs w:val="17"/>
          <w:i w:val="1"/>
          <w:iCs w:val="1"/>
          <w:color w:val="auto"/>
        </w:rPr>
        <w:t>Management of TMC Following the Business Combination –</w:t>
      </w:r>
      <w:r>
        <w:rPr>
          <w:rFonts w:ascii="Arial" w:cs="Arial" w:eastAsia="Arial" w:hAnsi="Arial"/>
          <w:sz w:val="17"/>
          <w:szCs w:val="17"/>
          <w:color w:val="auto"/>
        </w:rPr>
        <w:t xml:space="preserve"> </w:t>
      </w:r>
      <w:r>
        <w:rPr>
          <w:rFonts w:ascii="Arial" w:cs="Arial" w:eastAsia="Arial" w:hAnsi="Arial"/>
          <w:sz w:val="17"/>
          <w:szCs w:val="17"/>
          <w:i w:val="1"/>
          <w:iCs w:val="1"/>
          <w:color w:val="auto"/>
        </w:rPr>
        <w:t>Independence of the Board of Directors</w:t>
      </w:r>
      <w:r>
        <w:rPr>
          <w:rFonts w:ascii="Arial" w:cs="Arial" w:eastAsia="Arial" w:hAnsi="Arial"/>
          <w:sz w:val="17"/>
          <w:szCs w:val="17"/>
          <w:color w:val="auto"/>
        </w:rPr>
        <w:t>” beginning on page 197 of the Proxy Statement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the disclosure regarding legal proceedings in the section of the Proxy Statement entitled “</w:t>
      </w:r>
      <w:r>
        <w:rPr>
          <w:rFonts w:ascii="Arial" w:cs="Arial" w:eastAsia="Arial" w:hAnsi="Arial"/>
          <w:sz w:val="18"/>
          <w:szCs w:val="18"/>
          <w:i w:val="1"/>
          <w:iCs w:val="1"/>
          <w:color w:val="auto"/>
        </w:rPr>
        <w:t>Information About SOAC—Legal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beginning on page 112 of the Proxy Statement, which is incorporated herein by reference, and “</w:t>
      </w:r>
      <w:r>
        <w:rPr>
          <w:rFonts w:ascii="Arial" w:cs="Arial" w:eastAsia="Arial" w:hAnsi="Arial"/>
          <w:sz w:val="18"/>
          <w:szCs w:val="18"/>
          <w:i w:val="1"/>
          <w:iCs w:val="1"/>
          <w:color w:val="auto"/>
        </w:rPr>
        <w:t>Information About DeepGreen —Legal Proceedings</w:t>
      </w:r>
      <w:r>
        <w:rPr>
          <w:rFonts w:ascii="Arial" w:cs="Arial" w:eastAsia="Arial" w:hAnsi="Arial"/>
          <w:sz w:val="18"/>
          <w:szCs w:val="18"/>
          <w:color w:val="auto"/>
        </w:rPr>
        <w:t>” beginning on page 143 of the Proxy Statement,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Class A ordinary shares, Public Warrants and units (“</w:t>
      </w:r>
      <w:r>
        <w:rPr>
          <w:rFonts w:ascii="Arial" w:cs="Arial" w:eastAsia="Arial" w:hAnsi="Arial"/>
          <w:sz w:val="17"/>
          <w:szCs w:val="17"/>
          <w:u w:val="single" w:color="auto"/>
          <w:color w:val="auto"/>
        </w:rPr>
        <w:t>SOAC Units</w:t>
      </w:r>
      <w:r>
        <w:rPr>
          <w:rFonts w:ascii="Arial" w:cs="Arial" w:eastAsia="Arial" w:hAnsi="Arial"/>
          <w:sz w:val="17"/>
          <w:szCs w:val="17"/>
          <w:color w:val="auto"/>
        </w:rPr>
        <w:t>”) (each SOAC Unit consisting of one share of SOAC’s Class A ordinary shares and one-half of one Public Warrant) were historically quoted on the NYSE under the symbols “SOAC,” “SOAC WS” and “SOAC.U,” respectively. At the Closing Date, and following the consummation of the Business Combination, the SOAC Units automatically separated into the component securities and, as a result, no longer trade as a separate security. On September 10, 2021, the TMC Common Shares and Public Warrants began trading on the Nasdaq under the new trading symbols “TMC” and “TMCWW,” respectively.</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Closing Date, and following the consummation of the Business Combination, the Company had approximately 224,385,324 TMC Common Shares issued and outstanding held of record by 197 holders, approximately 15,000,000 Public Warrants held of record by one holder and 9,500,000 private placement warrants issued in connection with SOAC’s initial public offering held of record by one holder, each exercisable for one TMC Common Share at a price of $11.50 per share beginning on October 9,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not paid any cash dividends on its common shares to date. The Company may retain future earnings, if any, for future operations, expansion and debt repayment and has no current plans to pay cash dividends for the foreseeable future. Any decision to declare and pay dividends in the future will be made at the discretion of the Board and will depend on, among other things, the Company’s results of operations, financial condition, cash requirements, contractual restrictions and other factors that the Board may deem relevant. In addition, the Company’s ability to pay dividends may be limited by covenants of any existing and future outstanding indebtedness the Company or its subsidiaries incur. The Company does not anticipate declaring any cash dividends to holders of its common shares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Reference is made to the disclosure set forth below under Item 3.02 of this Current Report on Form 8-K concerning the issuance and sale by the Company of certain unregistered securities,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Registrant’s Securities to Be Registered</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description of the Company’s securities is set forth in the Proxy Statement in the section entitled “</w:t>
      </w:r>
      <w:r>
        <w:rPr>
          <w:rFonts w:ascii="Arial" w:cs="Arial" w:eastAsia="Arial" w:hAnsi="Arial"/>
          <w:sz w:val="18"/>
          <w:szCs w:val="18"/>
          <w:i w:val="1"/>
          <w:iCs w:val="1"/>
          <w:color w:val="auto"/>
        </w:rPr>
        <w:t>Description of TMC Securities</w:t>
      </w:r>
      <w:r>
        <w:rPr>
          <w:rFonts w:ascii="Arial" w:cs="Arial" w:eastAsia="Arial" w:hAnsi="Arial"/>
          <w:sz w:val="18"/>
          <w:szCs w:val="18"/>
          <w:color w:val="auto"/>
        </w:rPr>
        <w:t>” beginning on page 265 of the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disclosure set forth in Item 1.01 of this Current Report on Form 8-K under the section entitled “</w:t>
      </w:r>
      <w:r>
        <w:rPr>
          <w:rFonts w:ascii="Arial" w:cs="Arial" w:eastAsia="Arial" w:hAnsi="Arial"/>
          <w:sz w:val="18"/>
          <w:szCs w:val="18"/>
          <w:i w:val="1"/>
          <w:iCs w:val="1"/>
          <w:color w:val="auto"/>
        </w:rPr>
        <w:t>Indemnity Agreements</w:t>
      </w:r>
      <w:r>
        <w:rPr>
          <w:rFonts w:ascii="Arial" w:cs="Arial" w:eastAsia="Arial" w:hAnsi="Arial"/>
          <w:sz w:val="18"/>
          <w:szCs w:val="18"/>
          <w:color w:val="auto"/>
        </w:rPr>
        <w:t>” is incorporated by reference into this Item 2.01.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9.01 of this Current Report on Form 8-K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4.01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Consideration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the terms and subject to the conditions of the Business Combination Agreement, pursuant to the Plan of Arrangement, the shareholders and the optionholders of DeepGreen received on the Closing Date in exchange for their DeepGreen Common Shares or options, as applicable, an aggregate of 203,874,981 TMC Common Shares in exchange for DeepGreen Common Shares and rollover options to purchase an aggregate of 25,287,670 TMC Common Shares with respect to DeepGreen options assumed by the Company, and (ii) the DeepGreen Earnout Shares (which includes DeepGreen Earnout Shares underlying the rollover options assumed by the Company). The TMC Common Shares, DeepGreen Earnout Shares and rollover options to purchase TMC Common Shares and DeepGreen Earnout Shares issued to shareholders and optionholders of DeepGreen pursuant to the Plan of Arrangement were not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were issued pursuant to the exemption provided by Section 3(a)(10) under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Earnout Shares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Immediately following the Continuance and prior to the Effective Time, the Sponsor exchanged 741,000 SOAC Common Shares (which consisted of the SOAC Class B ordinary shares prior to the Continuance) for the Sponsor Earnout Shares, each of which is automatically convertible into TMC Common Shares on a one-for-one basis (subject to adjustment), if certain TMC Common Share price thresholds are met as described in the Proxy Statement. The Sponsor Earnout Shares issued to the Sponsor were issued pursuant to and in accordance with the exemption from registration under the Securities Act, under Section 3(a)(9) as involving an exchange by the Company exclusively with its security 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the Closing Date, the Company offered and sold to the PIPE Investors, pursuant to the Subscription Agreements, an aggregate of 11,030,000 TMC Common Shares at a price of $10.00 per share for aggregate gross proceeds to the Company of $110,300,000 in the PIPE Financing. The PIPE Financing closed concurrently with the Business Combination. SOAC also entered into Subscription Agreements for an aggregate of 22,000,000 Common Shares, for a purchase price of $10.00 per share and an aggregate purchase price of $220,000,000 with two investors who defaulted on the Closing Date under the Subscription Agreements. The Company plans to aggressively pursue its available remedies with respect to such investors.</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issued to the PIPE Investors in the PIPE Financing on the Closing Date were issued pursuant to and in accordance with the exemption from registration under the Securities Act, under Section 4(a)(2) and/or Regulation D promulgated under the Securities Act.</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Subscription Agreements provide for certain registration rights. In particular, the Company will, within forty-five (45) calendar days after the Closing Date, file with the SEC (at the Company’s sole cost and expense) a registration statement registering the resale of the shares of the TMC Common Shares issued to the PIPE Investors, and will use its commercially reasonable efforts to have such registration statement declared effective as soon as practicable after the filing thereof, but no later than the earlier of (i) the 90th calendar day (or the 120th calendar day if the SEC notifies the Company that it will “review” such registration statement) following the Closing and (ii) the 10th business day after the date the Company is notified (orally or in writing) by the SEC that such registration statement will not be “reviewed” or will not be subject to further review.</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foregoing description of the PIPE Financing does not purport to be complete and is qualified in its entirety by the full text of the Subscription Agreements, the forms of which are attached hereto as Exhibits 10.1 and 10.2, respectively,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consummation of the Business Combination, SOAC changed its name to “TMC the metals company Inc.” and adopted the notice of articles and articles of the Company upon the Continuance (the “</w:t>
      </w:r>
      <w:r>
        <w:rPr>
          <w:rFonts w:ascii="Arial" w:cs="Arial" w:eastAsia="Arial" w:hAnsi="Arial"/>
          <w:sz w:val="18"/>
          <w:szCs w:val="18"/>
          <w:u w:val="single" w:color="auto"/>
          <w:color w:val="auto"/>
        </w:rPr>
        <w:t>TMC Notice and Articles</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TMC Notice and Articles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and upon the consummation of the Continuance, SOAC’s amended and restated memorandum and articles of association, dated May 5, 2020, was replaced with the TMC Notice and Articles, which, among other things:</w:t>
      </w:r>
    </w:p>
    <w:p>
      <w:pPr>
        <w:spacing w:after="0" w:line="170"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changed the Company’s name to “TMC the metals company Inc.”;</w:t>
      </w:r>
    </w:p>
    <w:p>
      <w:pPr>
        <w:spacing w:after="0" w:line="225" w:lineRule="exact"/>
        <w:rPr>
          <w:rFonts w:ascii="Arial" w:cs="Arial" w:eastAsia="Arial" w:hAnsi="Arial"/>
          <w:sz w:val="18"/>
          <w:szCs w:val="18"/>
          <w:color w:val="auto"/>
        </w:rPr>
      </w:pPr>
    </w:p>
    <w:p>
      <w:pPr>
        <w:ind w:firstLine="332"/>
        <w:spacing w:after="0" w:line="277" w:lineRule="auto"/>
        <w:tabs>
          <w:tab w:leader="none" w:pos="5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the authorized capital of the Company to consist of (i) an unlimited number of TMC Common Shares, (ii) an unlimited number of preferred shares, issuable in series, and (iii) the TMC Special Shares, in each case, without par value;</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declassified the Board with the result being that each director will be elected on an annual basis;</w:t>
      </w:r>
    </w:p>
    <w:p>
      <w:pPr>
        <w:spacing w:after="0" w:line="225" w:lineRule="exact"/>
        <w:rPr>
          <w:rFonts w:ascii="Arial" w:cs="Arial" w:eastAsia="Arial" w:hAnsi="Arial"/>
          <w:sz w:val="18"/>
          <w:szCs w:val="18"/>
          <w:color w:val="auto"/>
        </w:rPr>
      </w:pPr>
    </w:p>
    <w:p>
      <w:pPr>
        <w:ind w:firstLine="332"/>
        <w:spacing w:after="0" w:line="28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the requisite quorum for a meeting of shareholders from a majority to at least two shareholders representing no less than one-third (33</w:t>
      </w:r>
      <w:r>
        <w:rPr>
          <w:rFonts w:ascii="Arial" w:cs="Arial" w:eastAsia="Arial" w:hAnsi="Arial"/>
          <w:sz w:val="29"/>
          <w:szCs w:val="29"/>
          <w:color w:val="auto"/>
          <w:vertAlign w:val="superscript"/>
        </w:rPr>
        <w:t>1/3</w:t>
      </w:r>
      <w:r>
        <w:rPr>
          <w:rFonts w:ascii="Arial" w:cs="Arial" w:eastAsia="Arial" w:hAnsi="Arial"/>
          <w:sz w:val="18"/>
          <w:szCs w:val="18"/>
          <w:color w:val="auto"/>
        </w:rPr>
        <w:t>%) of the shares entitled to vote at such meeting;</w:t>
      </w:r>
    </w:p>
    <w:p>
      <w:pPr>
        <w:spacing w:after="0" w:line="37" w:lineRule="exact"/>
        <w:rPr>
          <w:rFonts w:ascii="Arial" w:cs="Arial" w:eastAsia="Arial" w:hAnsi="Arial"/>
          <w:sz w:val="18"/>
          <w:szCs w:val="18"/>
          <w:color w:val="auto"/>
        </w:rPr>
      </w:pPr>
    </w:p>
    <w:p>
      <w:pPr>
        <w:ind w:firstLine="332"/>
        <w:spacing w:after="0" w:line="277" w:lineRule="auto"/>
        <w:tabs>
          <w:tab w:leader="none" w:pos="5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added an advance notice provision that requires a shareholder to provide notice to the Company in advance of a meeting of shareholders should such shareholder wish to nominate a person for election to the Board;</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added a forum selection provision whereby, subject to limited exceptions, or unless the Company consents in writing to the selection of an alternative forum, the Supreme Court of the Province of British Columbia, Canada, and the appellate courts therefrom, will be the sole and exclusive forum for certain shareholder litigation matters; and</w:t>
      </w:r>
    </w:p>
    <w:p>
      <w:pPr>
        <w:spacing w:after="0" w:line="183" w:lineRule="exact"/>
        <w:rPr>
          <w:rFonts w:ascii="Arial" w:cs="Arial" w:eastAsia="Arial" w:hAnsi="Arial"/>
          <w:sz w:val="18"/>
          <w:szCs w:val="18"/>
          <w:color w:val="auto"/>
        </w:rPr>
      </w:pPr>
    </w:p>
    <w:p>
      <w:pPr>
        <w:ind w:firstLine="332"/>
        <w:spacing w:after="0" w:line="277" w:lineRule="auto"/>
        <w:tabs>
          <w:tab w:leader="none" w:pos="5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made certain other changes, including the changes in the rights and restrictions attached to the Class B ordinary shares, and the deletion of the provisions relating to the initial public offering, the Sponsors, the initial business combination and other related matters.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shareholders of SOAC approved the TMC Notice and Articles at the extraordinary general meeting. This summary is qualified in its entirety by reference to the text of the TMC Notice and Articles, which are attached hereto as Exhibit 3.1 and Exhibit 3.2, respectively,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Dismissal of independent registered public accounting firm</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the Closing Date, the Audit Committee of the Board appointed Ernst &amp; Young LLP (“</w:t>
      </w:r>
      <w:r>
        <w:rPr>
          <w:rFonts w:ascii="Arial" w:cs="Arial" w:eastAsia="Arial" w:hAnsi="Arial"/>
          <w:sz w:val="17"/>
          <w:szCs w:val="17"/>
          <w:u w:val="single" w:color="auto"/>
          <w:color w:val="auto"/>
        </w:rPr>
        <w:t>E&amp;Y</w:t>
      </w:r>
      <w:r>
        <w:rPr>
          <w:rFonts w:ascii="Arial" w:cs="Arial" w:eastAsia="Arial" w:hAnsi="Arial"/>
          <w:sz w:val="17"/>
          <w:szCs w:val="17"/>
          <w:color w:val="auto"/>
        </w:rPr>
        <w:t>”) as the Company’s independent registered public accounting firm to audit the Company’s consolidated financial statements for the year ending December 31, 2021. Marcum LLP (“</w:t>
      </w:r>
      <w:r>
        <w:rPr>
          <w:rFonts w:ascii="Arial" w:cs="Arial" w:eastAsia="Arial" w:hAnsi="Arial"/>
          <w:sz w:val="17"/>
          <w:szCs w:val="17"/>
          <w:u w:val="single" w:color="auto"/>
          <w:color w:val="auto"/>
        </w:rPr>
        <w:t>Marcum</w:t>
      </w:r>
      <w:r>
        <w:rPr>
          <w:rFonts w:ascii="Arial" w:cs="Arial" w:eastAsia="Arial" w:hAnsi="Arial"/>
          <w:sz w:val="17"/>
          <w:szCs w:val="17"/>
          <w:color w:val="auto"/>
        </w:rPr>
        <w:t>”) served as independent registered public accounting firm of SOAC prior to the Business Combination. Accordingly, Marcum was informed that it was replaced as the Company’s independent registered public accounting firm on September 9, 2021, upon the Closing of 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reports of Marcum on SOAC’s balance sheet as of December 31, 2020 (as restated), and the statements of operations, changes in shareholders’ equity and cash flows for the year ended December 31, 2020 (as restated) and for the period from December 18, 2019 (inception) through December 31, 2019, did not contain an adverse opinion or a disclaimer of opinion, and were not qualified or modified as to uncertainties, audit scope or accounting principles.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audit for the year ended December 31, 2020 (as restated) and for the period from December 18, 2019 (inception) through December 31, 2019, and reviews of the unaudited condensed consolidated financial statements for the six months ended June 30, 2021, there were no disagreements between the Company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the Company’s financial statements for such periods.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year ended December 31, 2020 and the period from December 18, 2019 (inception) through December 31, 2019, there were no “reportable events” (as defined in Item 304(a)(1)(v) of Regulation S-K under the Exchange Act), except that for the year ended December 31, 2020 and the quarter ended March 31, 2021, based upon an evaluation of the effectiveness of the design and operation of its disclosure controls and procedures, the Chief Executive Officer and Chief Financial Officer of SOAC concluded that its disclosure controls and procedures (as defined in Rules 13a-15(e) and 15d-15(e) under the Exchange Act) were not effective solely as a result of the restatement of its financial statements as of and for such periods in light of the SEC Staff Statement dated April 12, 2021, which required SOAC to reclassify the outstanding warrants as liabilities on its balance sheet. Based on the foregoing, it was determined that SOAC had a material weakness as of December 31, 2020 relating to its internal controls over financial reporting, and such material weakness had not yet been remediated as of June 30,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324"/>
        <w:spacing w:after="0" w:line="259" w:lineRule="auto"/>
        <w:rPr>
          <w:sz w:val="20"/>
          <w:szCs w:val="20"/>
          <w:color w:val="auto"/>
        </w:rPr>
      </w:pPr>
      <w:r>
        <w:rPr>
          <w:rFonts w:ascii="Arial" w:cs="Arial" w:eastAsia="Arial" w:hAnsi="Arial"/>
          <w:sz w:val="18"/>
          <w:szCs w:val="18"/>
          <w:color w:val="auto"/>
        </w:rPr>
        <w:t>During the period from December 18, 2019 (inception) to the date the Board approved the engagement of E&amp;Y as the Company’s independent registered public accounting firm, SOAC did not consult with E&amp;Y on matters that involved the application of accounting principles to a specified transaction, the type of audit opinion that might be rendered on SOAC’s consolidated financial statements or any other matter that was either the subject of a disagreement or reportable event.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provided Marcum with a copy of the foregoing disclosures and Marcum provided a letter to the SEC stating that it agrees with the statements made by the Company set forth above. A copy of Marcum’s letter to the SEC, dated September 15, 2021, is filed as Exhibit 16.1 to this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set forth under the Introductory Note and in Item 2.01 of this Current Report on Form 8-K is incorporated herein by reference.</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set forth in the sections entitled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 “</w:t>
      </w:r>
      <w:r>
        <w:rPr>
          <w:rFonts w:ascii="Arial" w:cs="Arial" w:eastAsia="Arial" w:hAnsi="Arial"/>
          <w:sz w:val="18"/>
          <w:szCs w:val="18"/>
          <w:i w:val="1"/>
          <w:iCs w:val="1"/>
          <w:color w:val="auto"/>
        </w:rPr>
        <w:t>Executive Compensation</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Person Transactions and Director Independence,</w:t>
      </w:r>
      <w:r>
        <w:rPr>
          <w:rFonts w:ascii="Arial" w:cs="Arial" w:eastAsia="Arial" w:hAnsi="Arial"/>
          <w:sz w:val="18"/>
          <w:szCs w:val="18"/>
          <w:color w:val="auto"/>
        </w:rPr>
        <w:t>” “</w:t>
      </w:r>
      <w:r>
        <w:rPr>
          <w:rFonts w:ascii="Arial" w:cs="Arial" w:eastAsia="Arial" w:hAnsi="Arial"/>
          <w:sz w:val="18"/>
          <w:szCs w:val="18"/>
          <w:i w:val="1"/>
          <w:iCs w:val="1"/>
          <w:color w:val="auto"/>
        </w:rPr>
        <w:t>2021 Incentive Equity Plan</w:t>
      </w:r>
      <w:r>
        <w:rPr>
          <w:rFonts w:ascii="Arial" w:cs="Arial" w:eastAsia="Arial" w:hAnsi="Arial"/>
          <w:sz w:val="18"/>
          <w:szCs w:val="18"/>
          <w:color w:val="auto"/>
        </w:rPr>
        <w:t>,” “</w:t>
      </w:r>
      <w:r>
        <w:rPr>
          <w:rFonts w:ascii="Arial" w:cs="Arial" w:eastAsia="Arial" w:hAnsi="Arial"/>
          <w:sz w:val="18"/>
          <w:szCs w:val="18"/>
          <w:i w:val="1"/>
          <w:iCs w:val="1"/>
          <w:color w:val="auto"/>
        </w:rPr>
        <w:t xml:space="preserve">DeepGreen Metals Inc. Stock Option Plan” </w:t>
      </w:r>
      <w:r>
        <w:rPr>
          <w:rFonts w:ascii="Arial" w:cs="Arial" w:eastAsia="Arial" w:hAnsi="Arial"/>
          <w:sz w:val="18"/>
          <w:szCs w:val="18"/>
          <w:color w:val="auto"/>
        </w:rPr>
        <w:t>and “</w:t>
      </w:r>
      <w:r>
        <w:rPr>
          <w:rFonts w:ascii="Arial" w:cs="Arial" w:eastAsia="Arial" w:hAnsi="Arial"/>
          <w:sz w:val="18"/>
          <w:szCs w:val="18"/>
          <w:i w:val="1"/>
          <w:iCs w:val="1"/>
          <w:color w:val="auto"/>
        </w:rPr>
        <w:t>2021 Employee Stock Purchase Plan</w:t>
      </w:r>
      <w:r>
        <w:rPr>
          <w:rFonts w:ascii="Arial" w:cs="Arial" w:eastAsia="Arial" w:hAnsi="Arial"/>
          <w:sz w:val="18"/>
          <w:szCs w:val="18"/>
          <w:color w:val="auto"/>
        </w:rPr>
        <w:t>” in Item 2.01 of this Current Report on Form 8-K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Business Combination, which fulfilled the definition of an “initial Business Combination” as required by SOAC’s organizational documents, the Company ceased to be a shell company upon the closing of the Business Combination. The material terms of the Business Combination are described in the section entitled “</w:t>
      </w:r>
      <w:r>
        <w:rPr>
          <w:rFonts w:ascii="Arial" w:cs="Arial" w:eastAsia="Arial" w:hAnsi="Arial"/>
          <w:sz w:val="18"/>
          <w:szCs w:val="18"/>
          <w:i w:val="1"/>
          <w:iCs w:val="1"/>
          <w:color w:val="auto"/>
        </w:rPr>
        <w:t>Proposal No. 2 – Business Combination Proposal</w:t>
      </w:r>
      <w:r>
        <w:rPr>
          <w:rFonts w:ascii="Arial" w:cs="Arial" w:eastAsia="Arial" w:hAnsi="Arial"/>
          <w:sz w:val="18"/>
          <w:szCs w:val="18"/>
          <w:color w:val="auto"/>
        </w:rPr>
        <w:t>” and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beginning on page 207 of the Proxy Statement,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condensed financial statements as of June 30, 2021 and for the six months ended June 30, 2021 of DeepGreen have been prepared in accordance with U.S. generally accepted accounting principles and pursuant to the regulations of the SEC and are attached hereto as Exhibit 99.2 and are incorporated herein by reference.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unaudited condensed financial statements should be read in conjunction with the historical audited financial statements of DeepGreen as of and for the years ended December 31, 2020 and 2019, and the related notes included in the Proxy Statement beginning on page F-44 of the Proxy Statement, which are incorporated herein by reference.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as of June 30, 2021 and for the six months ended June 30, 2021 and for the year ended December 31, 2020 is attached hereto as Exhibit 99.1 and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100" w:type="dxa"/>
            <w:vAlign w:val="bottom"/>
            <w:gridSpan w:val="24"/>
          </w:tcPr>
          <w:p>
            <w:pPr>
              <w:ind w:left="34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Reference Herein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Filed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Form 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gridSpan w:val="19"/>
          </w:tcPr>
          <w:p>
            <w:pPr>
              <w:ind w:left="62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Herewith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Schedule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Filing Date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5"/>
        </w:trPr>
        <w:tc>
          <w:tcPr>
            <w:tcW w:w="9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960" w:type="dxa"/>
            <w:vAlign w:val="bottom"/>
            <w:tcBorders>
              <w:top w:val="single" w:sz="8" w:color="auto"/>
              <w:bottom w:val="single" w:sz="8" w:color="0000EE"/>
            </w:tcBorders>
            <w:gridSpan w:val="18"/>
            <w:shd w:val="clear" w:color="auto" w:fill="CCEEFF"/>
          </w:tcPr>
          <w:p>
            <w:pPr>
              <w:spacing w:after="0" w:line="17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Business Combination Agreement, dated as of March 4, 2021, by</w:t>
              </w:r>
            </w:hyperlink>
          </w:p>
        </w:tc>
        <w:tc>
          <w:tcPr>
            <w:tcW w:w="60" w:type="dxa"/>
            <w:vAlign w:val="bottom"/>
            <w:tcBorders>
              <w:top w:val="single" w:sz="8" w:color="auto"/>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3/4/2021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001-39281</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w w:val="96"/>
              </w:rPr>
            </w:pPr>
            <w:hyperlink r:id="rId30">
              <w:r>
                <w:rPr>
                  <w:rFonts w:ascii="Arial" w:cs="Arial" w:eastAsia="Arial" w:hAnsi="Arial"/>
                  <w:sz w:val="18"/>
                  <w:szCs w:val="18"/>
                  <w:color w:val="0000EE"/>
                  <w:w w:val="96"/>
                </w:rPr>
                <w:t>and among Sustainable Opportunities Acquisition Corp., 1291924</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5"/>
              </w:rPr>
              <w:t>(Exhibit 2.1)</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54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B.C. Unlimited Liability Company and DeepGreen Metals Inc.</w:t>
              </w:r>
            </w:hyperlink>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Notice of Articles of TMC the metals company Inc.</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Articles of TMC the metals company Inc.</w:t>
              </w:r>
            </w:hyperlink>
          </w:p>
        </w:tc>
        <w:tc>
          <w:tcPr>
            <w:tcW w:w="206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TMC the metals company Inc. Common Share Certificate</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4.2</w:t>
            </w:r>
          </w:p>
        </w:tc>
        <w:tc>
          <w:tcPr>
            <w:tcW w:w="120" w:type="dxa"/>
            <w:vAlign w:val="bottom"/>
            <w:tcBorders>
              <w:bottom w:val="single" w:sz="8" w:color="CCEEFF"/>
            </w:tcBorders>
            <w:shd w:val="clear" w:color="auto" w:fill="CCEEFF"/>
          </w:tcPr>
          <w:p>
            <w:pPr>
              <w:spacing w:after="0"/>
              <w:rPr>
                <w:sz w:val="15"/>
                <w:szCs w:val="15"/>
                <w:color w:val="auto"/>
              </w:rPr>
            </w:pPr>
          </w:p>
        </w:tc>
        <w:tc>
          <w:tcPr>
            <w:tcW w:w="4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7"/>
              </w:rPr>
            </w:pPr>
            <w:hyperlink r:id="rId31">
              <w:r>
                <w:rPr>
                  <w:rFonts w:ascii="Arial" w:cs="Arial" w:eastAsia="Arial" w:hAnsi="Arial"/>
                  <w:sz w:val="18"/>
                  <w:szCs w:val="18"/>
                  <w:color w:val="0000EE"/>
                  <w:w w:val="97"/>
                </w:rPr>
                <w:t>Warrant Agreement between Continental Stock Transfer &amp; Trust</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5/8/2021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001-39281</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Company and Sustainable Opportunities Acquisition Corp., dated</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5"/>
              </w:rPr>
              <w:t>(Exhibit 4.1)</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May 8, 2020</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Form of Subscription Agreement for institutional investors, by and</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r:id="rId32">
              <w:r>
                <w:rPr>
                  <w:rFonts w:ascii="Arial" w:cs="Arial" w:eastAsia="Arial" w:hAnsi="Arial"/>
                  <w:sz w:val="18"/>
                  <w:szCs w:val="18"/>
                  <w:color w:val="0000EE"/>
                  <w:w w:val="96"/>
                </w:rPr>
                <w:t>between  Sustainable  Opportunities  Acquisition  Corp.  and  the</w:t>
              </w:r>
            </w:hyperlink>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subscriber parties thereto</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Form of Subscription Agreement for accredited investors, by and</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6"/>
              </w:rPr>
            </w:pPr>
            <w:hyperlink r:id="rId33">
              <w:r>
                <w:rPr>
                  <w:rFonts w:ascii="Arial" w:cs="Arial" w:eastAsia="Arial" w:hAnsi="Arial"/>
                  <w:sz w:val="18"/>
                  <w:szCs w:val="18"/>
                  <w:color w:val="0000EE"/>
                  <w:w w:val="96"/>
                </w:rPr>
                <w:t>between  Sustainable  Opportunities  Acquisition  Corp.  and  the</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10.2)</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subscriber parties thereto</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Form  of  Transaction  Support  Agreement  by  and  between</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Sustainable Opportunities Acquisition Corp. and certain DeepGreen</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10.3)</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securityholders</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7"/>
              </w:rPr>
              <w:t>10.4††</w:t>
            </w:r>
          </w:p>
        </w:tc>
        <w:tc>
          <w:tcPr>
            <w:tcW w:w="4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Sponsor Letter Agreement, dated as of March 4, 2021, by and</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35">
              <w:r>
                <w:rPr>
                  <w:rFonts w:ascii="Arial" w:cs="Arial" w:eastAsia="Arial" w:hAnsi="Arial"/>
                  <w:sz w:val="18"/>
                  <w:szCs w:val="18"/>
                  <w:color w:val="0000EE"/>
                  <w:w w:val="94"/>
                </w:rPr>
                <w:t>among  Sustainable  Opportunities  Holdings  LLC,  certain  other</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10.4)</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35">
              <w:r>
                <w:rPr>
                  <w:rFonts w:ascii="Arial" w:cs="Arial" w:eastAsia="Arial" w:hAnsi="Arial"/>
                  <w:sz w:val="18"/>
                  <w:szCs w:val="18"/>
                  <w:color w:val="0000EE"/>
                  <w:w w:val="94"/>
                </w:rPr>
                <w:t>holders set forth on Schedule I thereto, Sustainable Opportunities</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Acquisition Corp. and DeepGreen Metals Inc.</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w w:val="97"/>
              </w:rPr>
            </w:pPr>
            <w:hyperlink r:id="rId36">
              <w:r>
                <w:rPr>
                  <w:rFonts w:ascii="Arial" w:cs="Arial" w:eastAsia="Arial" w:hAnsi="Arial"/>
                  <w:sz w:val="18"/>
                  <w:szCs w:val="18"/>
                  <w:color w:val="0000EE"/>
                  <w:w w:val="97"/>
                </w:rPr>
                <w:t>Amended and Restated Registration Rights Agreement, by and</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between Sustainable Opportunities Acquisition Corp., Sustainable</w:t>
              </w:r>
            </w:hyperlink>
          </w:p>
        </w:tc>
        <w:tc>
          <w:tcPr>
            <w:tcW w:w="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10.5)</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Opportunities Holdings LLC, the parties listed under Sponsor Group</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Holders on the signature page(s) thereto and the parties listed under</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DeepGreen Holders on the signature page(s) thereto</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8"/>
              </w:rPr>
              <w:t>10.6†</w:t>
            </w:r>
          </w:p>
        </w:tc>
        <w:tc>
          <w:tcPr>
            <w:tcW w:w="5060" w:type="dxa"/>
            <w:vAlign w:val="bottom"/>
            <w:gridSpan w:val="22"/>
            <w:shd w:val="clear" w:color="auto" w:fill="CCEEFF"/>
          </w:tcPr>
          <w:p>
            <w:pPr>
              <w:spacing w:after="0" w:line="176" w:lineRule="exact"/>
              <w:rPr>
                <w:rFonts w:ascii="Arial" w:cs="Arial" w:eastAsia="Arial" w:hAnsi="Arial"/>
                <w:sz w:val="18"/>
                <w:szCs w:val="18"/>
                <w:color w:val="0000EE"/>
                <w:w w:val="95"/>
              </w:rPr>
            </w:pPr>
            <w:hyperlink r:id="rId37">
              <w:r>
                <w:rPr>
                  <w:rFonts w:ascii="Arial" w:cs="Arial" w:eastAsia="Arial" w:hAnsi="Arial"/>
                  <w:sz w:val="18"/>
                  <w:szCs w:val="18"/>
                  <w:color w:val="0000EE"/>
                  <w:w w:val="95"/>
                </w:rPr>
                <w:t>Strategic Alliance Agreement, dated as of March 29, 2019, by and</w:t>
              </w:r>
            </w:hyperlink>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between DeepGreen Metals Inc. and Allseas Group S.A.</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10.7)</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10.7†</w:t>
            </w: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Pilot Mining Test Agreement dated as of July 8, 2019, by and</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between DeepGreen Metals Inc. and Allseas Group S.A.</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10.8)</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8"/>
              </w:rPr>
              <w:t>10.8†</w:t>
            </w:r>
          </w:p>
        </w:tc>
        <w:tc>
          <w:tcPr>
            <w:tcW w:w="50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7"/>
              </w:rPr>
            </w:pPr>
            <w:hyperlink r:id="rId39">
              <w:r>
                <w:rPr>
                  <w:rFonts w:ascii="Arial" w:cs="Arial" w:eastAsia="Arial" w:hAnsi="Arial"/>
                  <w:sz w:val="18"/>
                  <w:szCs w:val="18"/>
                  <w:color w:val="0000EE"/>
                  <w:w w:val="97"/>
                </w:rPr>
                <w:t>Third  Amendment  to  Pilot  Mining  Test  Agreement  and  First</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Amendment to Strategic Alliance Agreement, dated as of March 4,</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10.9)</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8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2021, by and between DeepGreen Metals Inc. and Allseas Group</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39">
              <w:r>
                <w:rPr>
                  <w:rFonts w:ascii="Arial" w:cs="Arial" w:eastAsia="Arial" w:hAnsi="Arial"/>
                  <w:sz w:val="18"/>
                  <w:szCs w:val="18"/>
                  <w:color w:val="0000EE"/>
                  <w:w w:val="88"/>
                </w:rPr>
                <w:t>S.A.</w:t>
              </w:r>
            </w:hyperlink>
          </w:p>
        </w:tc>
        <w:tc>
          <w:tcPr>
            <w:tcW w:w="4740" w:type="dxa"/>
            <w:vAlign w:val="bottom"/>
            <w:tcBorders>
              <w:bottom w:val="single" w:sz="8" w:color="CCEEFF"/>
            </w:tcBorders>
            <w:gridSpan w:val="21"/>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w w:val="97"/>
              </w:rPr>
            </w:pPr>
            <w:hyperlink r:id="rId40">
              <w:r>
                <w:rPr>
                  <w:rFonts w:ascii="Arial" w:cs="Arial" w:eastAsia="Arial" w:hAnsi="Arial"/>
                  <w:sz w:val="18"/>
                  <w:szCs w:val="18"/>
                  <w:color w:val="0000EE"/>
                  <w:w w:val="97"/>
                </w:rPr>
                <w:t>Investment and Participation Agreement, dated as of March 15,</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2017,  by  and  among  DeepGreen  Metals  Inc.,  Maersk  Supply</w:t>
              </w:r>
            </w:hyperlink>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Service NS, and Maersk Supply Service Subsea UK Limited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Project Management Framework Agreement, dated as of April 6,</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2018, by and among Nauru Ocean Resources Inc. and Maersk</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10.11)</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Supply Service Integrated Solutions A/S</w:t>
              </w:r>
            </w:hyperlink>
          </w:p>
        </w:tc>
        <w:tc>
          <w:tcPr>
            <w:tcW w:w="202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15"/>
                <w:szCs w:val="15"/>
                <w:color w:val="auto"/>
              </w:rPr>
            </w:pPr>
          </w:p>
        </w:tc>
        <w:tc>
          <w:tcPr>
            <w:tcW w:w="4960" w:type="dxa"/>
            <w:vAlign w:val="bottom"/>
            <w:tcBorders>
              <w:bottom w:val="single" w:sz="8" w:color="0000EE"/>
            </w:tcBorders>
            <w:gridSpan w:val="18"/>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Letter Agreement, dated as of March 3, 2021, by and among</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DeepGreen Metals Inc., Maersk Supply Service NS, and Maersk</w:t>
              </w:r>
            </w:hyperlink>
          </w:p>
        </w:tc>
        <w:tc>
          <w:tcPr>
            <w:tcW w:w="1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Supply Service Subsea UK Limited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7"/>
              </w:rPr>
              <w:t>10.12†</w:t>
            </w:r>
          </w:p>
        </w:tc>
        <w:tc>
          <w:tcPr>
            <w:tcW w:w="49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Sponsorship Agreement, dated as of March 8, 2008, by and between</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the Kingdom of Tonga and Tonga Offshore Mining Limited</w:t>
              </w:r>
            </w:hyperlink>
          </w:p>
        </w:tc>
        <w:tc>
          <w:tcPr>
            <w:tcW w:w="760" w:type="dxa"/>
            <w:vAlign w:val="bottom"/>
            <w:tcBorders>
              <w:bottom w:val="single" w:sz="8" w:color="CCEEFF"/>
            </w:tcBorders>
            <w:gridSpan w:val="8"/>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10.13)</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6"/>
        </w:trPr>
        <w:tc>
          <w:tcPr>
            <w:tcW w:w="1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7"/>
              </w:rPr>
              <w:t>10.13†</w:t>
            </w:r>
          </w:p>
        </w:tc>
        <w:tc>
          <w:tcPr>
            <w:tcW w:w="4960" w:type="dxa"/>
            <w:vAlign w:val="bottom"/>
            <w:tcBorders>
              <w:bottom w:val="single" w:sz="8" w:color="0000EE"/>
            </w:tcBorders>
            <w:gridSpan w:val="18"/>
          </w:tcPr>
          <w:p>
            <w:pPr>
              <w:spacing w:after="0" w:line="176"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Sponsorship Agreement, dated as of June 5, 2017, by and among the</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Republic of Nauru, the Nauru Seabed Minerals Authority, and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44">
              <w:r>
                <w:rPr>
                  <w:rFonts w:ascii="Arial" w:cs="Arial" w:eastAsia="Arial" w:hAnsi="Arial"/>
                  <w:sz w:val="18"/>
                  <w:szCs w:val="18"/>
                  <w:color w:val="0000EE"/>
                  <w:w w:val="87"/>
                </w:rPr>
                <w:t>Nauru Ocean Resources Inc.</w:t>
              </w:r>
            </w:hyperlink>
          </w:p>
        </w:tc>
        <w:tc>
          <w:tcPr>
            <w:tcW w:w="2880" w:type="dxa"/>
            <w:vAlign w:val="bottom"/>
            <w:tcBorders>
              <w:top w:val="single" w:sz="8" w:color="0000EE"/>
            </w:tcBorders>
            <w:gridSpan w:val="12"/>
          </w:tcPr>
          <w:p>
            <w:pPr>
              <w:spacing w:after="0"/>
              <w:rPr>
                <w:sz w:val="17"/>
                <w:szCs w:val="17"/>
                <w:color w:val="auto"/>
              </w:rPr>
            </w:pPr>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703"/>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17"/>
          </w:tcPr>
          <w:p>
            <w:pPr>
              <w:ind w:left="450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Reference Herein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Filed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Form 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15"/>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Herewith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Schedule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Filing Date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5"/>
        </w:trPr>
        <w:tc>
          <w:tcPr>
            <w:tcW w:w="9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10.14</w:t>
            </w:r>
          </w:p>
        </w:tc>
        <w:tc>
          <w:tcPr>
            <w:tcW w:w="120" w:type="dxa"/>
            <w:vAlign w:val="bottom"/>
            <w:tcBorders>
              <w:top w:val="single" w:sz="8" w:color="CCEEFF"/>
            </w:tcBorders>
            <w:shd w:val="clear" w:color="auto" w:fill="CCEEFF"/>
          </w:tcPr>
          <w:p>
            <w:pPr>
              <w:spacing w:after="0"/>
              <w:rPr>
                <w:sz w:val="15"/>
                <w:szCs w:val="15"/>
                <w:color w:val="auto"/>
              </w:rPr>
            </w:pPr>
          </w:p>
        </w:tc>
        <w:tc>
          <w:tcPr>
            <w:tcW w:w="5000" w:type="dxa"/>
            <w:vAlign w:val="bottom"/>
            <w:tcBorders>
              <w:top w:val="single" w:sz="8" w:color="auto"/>
            </w:tcBorders>
            <w:gridSpan w:val="21"/>
            <w:shd w:val="clear" w:color="auto" w:fill="CCEEFF"/>
          </w:tcPr>
          <w:p>
            <w:pPr>
              <w:spacing w:after="0" w:line="176" w:lineRule="exact"/>
              <w:rPr>
                <w:rFonts w:ascii="Arial" w:cs="Arial" w:eastAsia="Arial" w:hAnsi="Arial"/>
                <w:sz w:val="18"/>
                <w:szCs w:val="18"/>
                <w:color w:val="0000EE"/>
                <w:w w:val="96"/>
              </w:rPr>
            </w:pPr>
            <w:hyperlink r:id="rId45">
              <w:r>
                <w:rPr>
                  <w:rFonts w:ascii="Arial" w:cs="Arial" w:eastAsia="Arial" w:hAnsi="Arial"/>
                  <w:sz w:val="18"/>
                  <w:szCs w:val="18"/>
                  <w:color w:val="0000EE"/>
                  <w:w w:val="96"/>
                </w:rPr>
                <w:t>ISA Contract for Exploration (Republic of Nauru) dated as of July</w:t>
              </w:r>
            </w:hyperlink>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Form S-4/A</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5"/>
              </w:rPr>
            </w:pPr>
            <w:hyperlink r:id="rId45">
              <w:r>
                <w:rPr>
                  <w:rFonts w:ascii="Arial" w:cs="Arial" w:eastAsia="Arial" w:hAnsi="Arial"/>
                  <w:sz w:val="18"/>
                  <w:szCs w:val="18"/>
                  <w:color w:val="0000EE"/>
                  <w:w w:val="85"/>
                </w:rPr>
                <w:t>22, 2011</w:t>
              </w:r>
            </w:hyperlink>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CCEEFF"/>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10.15)</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15"/>
                <w:szCs w:val="15"/>
                <w:color w:val="auto"/>
              </w:rPr>
            </w:pPr>
          </w:p>
        </w:tc>
        <w:tc>
          <w:tcPr>
            <w:tcW w:w="4940" w:type="dxa"/>
            <w:vAlign w:val="bottom"/>
            <w:tcBorders>
              <w:bottom w:val="single" w:sz="8" w:color="0000EE"/>
            </w:tcBorders>
            <w:gridSpan w:val="20"/>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ISA Contract for Exploration (Kingdom of Tonga) dated as of</w:t>
              </w:r>
            </w:hyperlink>
          </w:p>
        </w:tc>
        <w:tc>
          <w:tcPr>
            <w:tcW w:w="1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January 11, 2012.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10.16)</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10.16</w:t>
            </w:r>
          </w:p>
        </w:tc>
        <w:tc>
          <w:tcPr>
            <w:tcW w:w="120" w:type="dxa"/>
            <w:vAlign w:val="bottom"/>
            <w:shd w:val="clear" w:color="auto" w:fill="CCEEFF"/>
          </w:tcPr>
          <w:p>
            <w:pPr>
              <w:spacing w:after="0"/>
              <w:rPr>
                <w:sz w:val="15"/>
                <w:szCs w:val="15"/>
                <w:color w:val="auto"/>
              </w:rPr>
            </w:pPr>
          </w:p>
        </w:tc>
        <w:tc>
          <w:tcPr>
            <w:tcW w:w="5060" w:type="dxa"/>
            <w:vAlign w:val="bottom"/>
            <w:gridSpan w:val="22"/>
            <w:shd w:val="clear" w:color="auto" w:fill="CCEEFF"/>
          </w:tcPr>
          <w:p>
            <w:pPr>
              <w:spacing w:after="0" w:line="176" w:lineRule="exact"/>
              <w:rPr>
                <w:rFonts w:ascii="Arial" w:cs="Arial" w:eastAsia="Arial" w:hAnsi="Arial"/>
                <w:sz w:val="18"/>
                <w:szCs w:val="18"/>
                <w:color w:val="0000EE"/>
                <w:w w:val="99"/>
              </w:rPr>
            </w:pPr>
            <w:hyperlink r:id="rId47">
              <w:r>
                <w:rPr>
                  <w:rFonts w:ascii="Arial" w:cs="Arial" w:eastAsia="Arial" w:hAnsi="Arial"/>
                  <w:sz w:val="18"/>
                  <w:szCs w:val="18"/>
                  <w:color w:val="0000EE"/>
                  <w:w w:val="99"/>
                </w:rPr>
                <w:t>Fourth Amendment to Pilot Mining Test Agreement and Second</w:t>
              </w:r>
            </w:hyperlink>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0" w:type="dxa"/>
            <w:vAlign w:val="bottom"/>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w w:val="95"/>
              </w:rPr>
            </w:pPr>
            <w:hyperlink r:id="rId47">
              <w:r>
                <w:rPr>
                  <w:rFonts w:ascii="Arial" w:cs="Arial" w:eastAsia="Arial" w:hAnsi="Arial"/>
                  <w:sz w:val="18"/>
                  <w:szCs w:val="18"/>
                  <w:color w:val="0000EE"/>
                  <w:w w:val="95"/>
                </w:rPr>
                <w:t>Amendment to Strategic Alliance Agreement, dated as of June 30,</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10.23)</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2021, by and between DeepGreen Metals Inc. and Allseas Group</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S.A.</w:t>
              </w:r>
            </w:hyperlink>
          </w:p>
        </w:tc>
        <w:tc>
          <w:tcPr>
            <w:tcW w:w="4620" w:type="dxa"/>
            <w:vAlign w:val="bottom"/>
            <w:tcBorders>
              <w:top w:val="single" w:sz="8" w:color="0000EE"/>
              <w:bottom w:val="single" w:sz="8" w:color="CCEEFF"/>
            </w:tcBorders>
            <w:gridSpan w:val="19"/>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15"/>
                <w:szCs w:val="15"/>
                <w:color w:val="auto"/>
              </w:rPr>
            </w:pPr>
          </w:p>
        </w:tc>
        <w:tc>
          <w:tcPr>
            <w:tcW w:w="4940" w:type="dxa"/>
            <w:vAlign w:val="bottom"/>
            <w:tcBorders>
              <w:bottom w:val="single" w:sz="8" w:color="0000EE"/>
            </w:tcBorders>
            <w:gridSpan w:val="20"/>
          </w:tcPr>
          <w:p>
            <w:pPr>
              <w:spacing w:after="0" w:line="17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Certificate of the Sponsorship signed by the Government of Nauru</w:t>
              </w:r>
            </w:hyperlink>
          </w:p>
        </w:tc>
        <w:tc>
          <w:tcPr>
            <w:tcW w:w="1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on April 11, 2011.</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10.18+</w:t>
            </w:r>
          </w:p>
        </w:tc>
        <w:tc>
          <w:tcPr>
            <w:tcW w:w="120" w:type="dxa"/>
            <w:vAlign w:val="bottom"/>
            <w:shd w:val="clear" w:color="auto" w:fill="CCEEFF"/>
          </w:tcPr>
          <w:p>
            <w:pPr>
              <w:spacing w:after="0"/>
              <w:rPr>
                <w:sz w:val="15"/>
                <w:szCs w:val="15"/>
                <w:color w:val="auto"/>
              </w:rPr>
            </w:pPr>
          </w:p>
        </w:tc>
        <w:tc>
          <w:tcPr>
            <w:tcW w:w="5060" w:type="dxa"/>
            <w:vAlign w:val="bottom"/>
            <w:gridSpan w:val="22"/>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Form of Indemnity Agreement</w:t>
              </w:r>
            </w:hyperlink>
          </w:p>
        </w:tc>
        <w:tc>
          <w:tcPr>
            <w:tcW w:w="10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Nonemployee Director Compensation Policy</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10.20+</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Employment Agreement, dated January 1, 2018, by and between</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DeepGreen Metals Inc. and Gerard Barron</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10.17)</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Employment Agreement, dated July 25, 2017, by and between</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DeepGreen Metals Inc. and Anthony O’Sullivan</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10.18)</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10.22+</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Employment Agreement, dated September 1, 2018, by and between</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DeepGreen Metals Inc. and Erika Ilves</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10.19)</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0"/>
              </w:rPr>
              <w:t>10.23.1+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TMC the metals company Inc. 2021 Incentive Equity Plan</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10.23.2+</w:t>
            </w:r>
          </w:p>
        </w:tc>
        <w:tc>
          <w:tcPr>
            <w:tcW w:w="120" w:type="dxa"/>
            <w:vAlign w:val="bottom"/>
            <w:shd w:val="clear" w:color="auto" w:fill="CCEEFF"/>
          </w:tcPr>
          <w:p>
            <w:pPr>
              <w:spacing w:after="0"/>
              <w:rPr>
                <w:sz w:val="15"/>
                <w:szCs w:val="15"/>
                <w:color w:val="auto"/>
              </w:rPr>
            </w:pPr>
          </w:p>
        </w:tc>
        <w:tc>
          <w:tcPr>
            <w:tcW w:w="506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Form of Stock Option Agreement under TMC the metals company</w:t>
              </w:r>
            </w:hyperlink>
          </w:p>
        </w:tc>
        <w:tc>
          <w:tcPr>
            <w:tcW w:w="10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0000EE"/>
              <w:bottom w:val="single" w:sz="8" w:color="0000EE"/>
            </w:tcBorders>
            <w:gridSpan w:val="9"/>
            <w:shd w:val="clear" w:color="auto" w:fill="CCEEFF"/>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Inc. 2021 Incentive Equity Plan</w:t>
              </w:r>
            </w:hyperlink>
          </w:p>
        </w:tc>
        <w:tc>
          <w:tcPr>
            <w:tcW w:w="266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0"/>
              </w:rPr>
              <w:t>10.23.3+</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Form of Restricted Stock Unit Agreement under TMC the metals</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company Inc. 2021 Incentive Equity Plan</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10.24+</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DeepGreen Metals Inc. Stock Option Plan and form of Stock Option</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Agreement thereunder</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10.20)</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Amendment to DeepGreen Metals Inc. Stock Option Plan</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16.1</w:t>
            </w:r>
          </w:p>
        </w:tc>
        <w:tc>
          <w:tcPr>
            <w:tcW w:w="1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Letter from Marcum LLP to the SEC, dated September 15, 2021</w:t>
              </w:r>
            </w:hyperlink>
          </w:p>
        </w:tc>
        <w:tc>
          <w:tcPr>
            <w:tcW w:w="42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96.1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Technical Report Summary — Initial Assessment of the NORI</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4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Property, Clarion-Clipperton Zone, for Deep Green Metals Inc.,</w:t>
              </w:r>
            </w:hyperlink>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96.1)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w w:val="98"/>
              </w:rPr>
            </w:pPr>
            <w:hyperlink r:id="rId54">
              <w:r>
                <w:rPr>
                  <w:rFonts w:ascii="Arial" w:cs="Arial" w:eastAsia="Arial" w:hAnsi="Arial"/>
                  <w:sz w:val="18"/>
                  <w:szCs w:val="18"/>
                  <w:color w:val="0000EE"/>
                  <w:w w:val="98"/>
                </w:rPr>
                <w:t>effective as of March 17, 2021, by AMC Consultants Pty Ltd and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other qualified persons.</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96.2</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8"/>
              </w:rPr>
            </w:pPr>
            <w:hyperlink r:id="rId55">
              <w:r>
                <w:rPr>
                  <w:rFonts w:ascii="Arial" w:cs="Arial" w:eastAsia="Arial" w:hAnsi="Arial"/>
                  <w:sz w:val="18"/>
                  <w:szCs w:val="18"/>
                  <w:color w:val="0000EE"/>
                  <w:w w:val="98"/>
                </w:rPr>
                <w:t>Technical Report Summary — Initial Assessment of the TOML</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9"/>
              </w:rPr>
            </w:pPr>
            <w:hyperlink r:id="rId55">
              <w:r>
                <w:rPr>
                  <w:rFonts w:ascii="Arial" w:cs="Arial" w:eastAsia="Arial" w:hAnsi="Arial"/>
                  <w:sz w:val="18"/>
                  <w:szCs w:val="18"/>
                  <w:color w:val="0000EE"/>
                  <w:w w:val="99"/>
                </w:rPr>
                <w:t>Mineral Resource, Clarion-Clipperton Zone, Pacific Ocean, for</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96.2)</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Deep Green Metals Inc., effective as of March 26, 2021, by AMC</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Consultants Pty Ltd and other qualified persons.</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15"/>
                <w:szCs w:val="15"/>
                <w:color w:val="auto"/>
              </w:rPr>
            </w:pPr>
          </w:p>
        </w:tc>
        <w:tc>
          <w:tcPr>
            <w:tcW w:w="4940" w:type="dxa"/>
            <w:vAlign w:val="bottom"/>
            <w:tcBorders>
              <w:bottom w:val="single" w:sz="8" w:color="0000EE"/>
            </w:tcBorders>
            <w:gridSpan w:val="20"/>
          </w:tcPr>
          <w:p>
            <w:pPr>
              <w:spacing w:after="0" w:line="17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Unaudited pro forma condensed combined financial information of</w:t>
              </w:r>
            </w:hyperlink>
          </w:p>
        </w:tc>
        <w:tc>
          <w:tcPr>
            <w:tcW w:w="120" w:type="dxa"/>
            <w:vAlign w:val="bottom"/>
            <w:gridSpan w:val="2"/>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the Company as of June 30, 2021 and for the six months ended June</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30, 2021 and for the year ended December 31, 2020</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99.2</w:t>
            </w:r>
          </w:p>
        </w:tc>
        <w:tc>
          <w:tcPr>
            <w:tcW w:w="120" w:type="dxa"/>
            <w:vAlign w:val="bottom"/>
            <w:shd w:val="clear" w:color="auto" w:fill="CCEEFF"/>
          </w:tcPr>
          <w:p>
            <w:pPr>
              <w:spacing w:after="0"/>
              <w:rPr>
                <w:sz w:val="15"/>
                <w:szCs w:val="15"/>
                <w:color w:val="auto"/>
              </w:rPr>
            </w:pPr>
          </w:p>
        </w:tc>
        <w:tc>
          <w:tcPr>
            <w:tcW w:w="5060" w:type="dxa"/>
            <w:vAlign w:val="bottom"/>
            <w:gridSpan w:val="22"/>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Unaudited  condensed  consolidated  financial  statements  of</w:t>
              </w:r>
            </w:hyperlink>
          </w:p>
        </w:tc>
        <w:tc>
          <w:tcPr>
            <w:tcW w:w="10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6"/>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940" w:type="dxa"/>
            <w:vAlign w:val="bottom"/>
            <w:tcBorders>
              <w:top w:val="single" w:sz="8" w:color="0000EE"/>
              <w:bottom w:val="single" w:sz="8" w:color="0000EE"/>
            </w:tcBorders>
            <w:gridSpan w:val="20"/>
            <w:shd w:val="clear" w:color="auto" w:fill="CCEEFF"/>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DeepGreen Metals Inc. as of June 30, 2021 and for the six months</w:t>
              </w:r>
            </w:hyperlink>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ended June 30, 2021</w:t>
              </w:r>
            </w:hyperlink>
          </w:p>
        </w:tc>
        <w:tc>
          <w:tcPr>
            <w:tcW w:w="3580" w:type="dxa"/>
            <w:vAlign w:val="bottom"/>
            <w:tcBorders>
              <w:bottom w:val="single" w:sz="8" w:color="CCEEFF"/>
            </w:tcBorders>
            <w:gridSpan w:val="1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99.3</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Management’s Discussion and Analysis of Financial Condition and</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Borders>
              <w:right w:val="single" w:sz="8" w:color="0000EE"/>
            </w:tcBorders>
            <w:gridSpan w:val="12"/>
            <w:shd w:val="clear" w:color="auto" w:fill="0000EE"/>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Results of Operations of DeepGreen Metals Inc. as of June 30, 2021</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and for the six months ended June 30, 2021</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40" w:right="5260" w:hanging="715"/>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9" w:lineRule="exact"/>
        <w:rPr>
          <w:sz w:val="20"/>
          <w:szCs w:val="20"/>
          <w:color w:val="auto"/>
        </w:rPr>
      </w:pPr>
    </w:p>
    <w:p>
      <w:pPr>
        <w:ind w:left="340" w:right="20" w:hanging="332"/>
        <w:spacing w:after="0" w:line="26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Gerard Barron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9120"/>
        <w:spacing w:after="0"/>
        <w:rPr>
          <w:sz w:val="20"/>
          <w:szCs w:val="20"/>
          <w:color w:val="auto"/>
        </w:rPr>
      </w:pPr>
      <w:r>
        <w:rPr>
          <w:rFonts w:ascii="Arial" w:cs="Arial" w:eastAsia="Arial" w:hAnsi="Arial"/>
          <w:sz w:val="19"/>
          <w:szCs w:val="19"/>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187960</wp:posOffset>
            </wp:positionV>
            <wp:extent cx="7132320" cy="930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464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4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ind w:left="920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Incorporation Number </w:t>
      </w:r>
      <w:r>
        <w:rPr>
          <w:rFonts w:ascii="Arial" w:cs="Arial" w:eastAsia="Arial" w:hAnsi="Arial"/>
          <w:sz w:val="18"/>
          <w:szCs w:val="18"/>
          <w:b w:val="1"/>
          <w:bCs w:val="1"/>
          <w:u w:val="single" w:color="auto"/>
          <w:color w:val="auto"/>
        </w:rPr>
        <w:t>C1323488</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6"/>
          <w:szCs w:val="16"/>
          <w:b w:val="1"/>
          <w:bCs w:val="1"/>
          <w:color w:val="auto"/>
        </w:rPr>
        <w:t>Translation of Name (if any) _______________</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PROVINCE OF BRITISH COLUMBIA</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b w:val="1"/>
          <w:bCs w:val="1"/>
          <w:i w:val="1"/>
          <w:iCs w:val="1"/>
          <w:color w:val="auto"/>
        </w:rPr>
        <w:t>BUSINESS CORPORATIONS ACT</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ARTICLES</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TMC THE METALS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Fasken Martineau DuMoulin LLP</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Barristers &amp; Solicitors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871855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4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 INTERPRETATION</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Definitions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1.2</w:t>
            </w:r>
          </w:p>
        </w:tc>
        <w:tc>
          <w:tcPr>
            <w:tcW w:w="640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Business Corporations Act </w:t>
            </w:r>
            <w:r>
              <w:rPr>
                <w:rFonts w:ascii="Arial" w:cs="Arial" w:eastAsia="Arial" w:hAnsi="Arial"/>
                <w:sz w:val="18"/>
                <w:szCs w:val="18"/>
                <w:b w:val="1"/>
                <w:bCs w:val="1"/>
                <w:color w:val="auto"/>
              </w:rPr>
              <w:t>Definitions Apply</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i w:val="1"/>
                <w:iCs w:val="1"/>
                <w:color w:val="auto"/>
              </w:rPr>
              <w:t xml:space="preserve">Interpretation Act </w:t>
            </w:r>
            <w:r>
              <w:rPr>
                <w:rFonts w:ascii="Arial" w:cs="Arial" w:eastAsia="Arial" w:hAnsi="Arial"/>
                <w:sz w:val="18"/>
                <w:szCs w:val="18"/>
                <w:b w:val="1"/>
                <w:bCs w:val="1"/>
                <w:color w:val="auto"/>
              </w:rPr>
              <w:t>Applies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1.4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Conflict in Definitions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Conflict Between Articles and Legislation</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 SHARES AND SHARE CERTIFICATES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Authorized Share Structure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Form of Share Certificate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Right to Share Certificate or Acknowledgement</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Sending of Share Certificate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Replacement of Worn Out or Defaced Certificate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2.6</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Replacement of Lost, Stolen or Destroyed Certificate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Splitting Share Certificates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2.8</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Certificate Fee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Recognition of Trusts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3 ISSUE OF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Directors Authorized to Issue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Commissions and Discounts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Brokerage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Conditions of Issue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Warrants, Options and Rights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3.6</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Fractional Shares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4 SHARE REGISTERS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4.1</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Central Securities Register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Branch Registers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4.3</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Appointment of Agents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4.4</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Closing Register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5 SHARE TRANSFERS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Recording or Registering Transfer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5.2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Form of Instrument of Transfer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Transferor Remains Shareholder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5.4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Signing of Instrument of Transfer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Enquiry as to Title Not Required</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5.6</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Transfer Fee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6 TRANSMISSION OF SHARES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6.1</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Legal Personal Representative Recognized on Death</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Rights of Legal Personal Representative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7 PURCHASE OF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Company Authorized to Purchase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7.2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Purchase When Insolvent</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Sale and Voting of Purchased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8 BORROWING POWERS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Powers of Directors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34"/>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8.2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Terms of Debt Instruments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637"/>
        </w:trPr>
        <w:tc>
          <w:tcPr>
            <w:tcW w:w="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-i-</w:t>
            </w:r>
          </w:p>
        </w:tc>
        <w:tc>
          <w:tcPr>
            <w:tcW w:w="40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825"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TABLE OF CONTENTS</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(continued)</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94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8.3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Delegation by Directors</w:t>
            </w: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9 ALTERATIONS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9.1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Alteration of Authorized Share Structure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9.2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Special Rights and Restrictions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9.3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 of Name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9.4</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Company Alterations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10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Annual General Meetings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Resolution Instead of Annual General Meeting</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Calling of Shareholder Meetings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Location of Shareholder Meetings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for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Record Date for Notice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Record Date for Voting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Failure to Give Notice and Waiver of Notice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of Special Business at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10.10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Meetings and Series Meetings of Shareholders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of Dissent Rights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11 PROCEEDINGS AT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Special Business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Special Majority</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Quorum</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One Shareholder May Constitute Quorum</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Meetings by Telephone or Other Communications Medium</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Persons May Attend</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Requirement of Quorum</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Lack of Quorum</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Lack of Quorum at Succeeding Meeting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Chair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Selection of Alternate Chair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Adjournments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of Adjourned Meeting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Decisions by Show of Hands or Poll</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Declaration of Result</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Motion Need Not Be Seconded</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Casting Vote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Manner of Taking a Poll</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Demand for a Poll on Adjournment</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Chair Must Resolve Dispute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11.21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Casting of Votes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Demand for Poll</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11.23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Demand for a Poll Not to Prevent Continuation of Meeting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Retention of Ballots and Proxies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11.25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Electronic Voting</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12 VOTES OF SHAREHOLDERS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Number of Votes by Shareholder or by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Votes of Persons in Representative Capacity</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Votes by Joint Shareholders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Legal Personal Representatives as Joint Shareholders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Representative of a Corporate Shareholder</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Proxy Provisions Do Not Apply to All Companies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11</w:t>
            </w:r>
          </w:p>
        </w:tc>
      </w:tr>
      <w:tr>
        <w:trPr>
          <w:trHeight w:val="655"/>
        </w:trPr>
        <w:tc>
          <w:tcPr>
            <w:tcW w:w="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center"/>
              <w:ind w:left="2990"/>
              <w:spacing w:after="0"/>
              <w:rPr>
                <w:sz w:val="20"/>
                <w:szCs w:val="20"/>
                <w:color w:val="auto"/>
              </w:rPr>
            </w:pPr>
            <w:r>
              <w:rPr>
                <w:rFonts w:ascii="Arial" w:cs="Arial" w:eastAsia="Arial" w:hAnsi="Arial"/>
                <w:sz w:val="18"/>
                <w:szCs w:val="18"/>
                <w:color w:val="auto"/>
              </w:rPr>
              <w:t>-ii-</w:t>
            </w:r>
          </w:p>
        </w:tc>
        <w:tc>
          <w:tcPr>
            <w:tcW w:w="40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1041"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Borders>
              <w:bottom w:val="single" w:sz="8" w:color="CCEEFF"/>
            </w:tcBorders>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12.7</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of Proxy Holder</w:t>
            </w: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12.8</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Alternate Proxy Holders</w:t>
            </w:r>
          </w:p>
        </w:tc>
        <w:tc>
          <w:tcPr>
            <w:tcW w:w="4400" w:type="dxa"/>
            <w:vAlign w:val="bottom"/>
            <w:gridSpan w:val="2"/>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12.9</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When Proxy Holder Need Not Be Shareholder</w:t>
            </w:r>
          </w:p>
        </w:tc>
        <w:tc>
          <w:tcPr>
            <w:tcW w:w="4400" w:type="dxa"/>
            <w:vAlign w:val="bottom"/>
            <w:gridSpan w:val="2"/>
            <w:shd w:val="clear" w:color="auto" w:fill="CCEEFF"/>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12.10</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Deposit of Proxy</w:t>
            </w:r>
          </w:p>
        </w:tc>
        <w:tc>
          <w:tcPr>
            <w:tcW w:w="4400" w:type="dxa"/>
            <w:vAlign w:val="bottom"/>
            <w:gridSpan w:val="2"/>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12.11</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Validity of Proxy Vote</w:t>
            </w:r>
          </w:p>
        </w:tc>
        <w:tc>
          <w:tcPr>
            <w:tcW w:w="4400" w:type="dxa"/>
            <w:vAlign w:val="bottom"/>
            <w:gridSpan w:val="2"/>
            <w:shd w:val="clear" w:color="auto" w:fill="CCEEFF"/>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12.12</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Form of Proxy</w:t>
            </w:r>
          </w:p>
        </w:tc>
        <w:tc>
          <w:tcPr>
            <w:tcW w:w="4400" w:type="dxa"/>
            <w:vAlign w:val="bottom"/>
            <w:gridSpan w:val="2"/>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12.13</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Revocation of Proxy</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12.14</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Revocation of Proxy Must Be Signed</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12.15</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Production of Evidence of Authority to Vote</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684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13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13.1</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Number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13.2</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Change in Number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13.3</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Directors’ Acts Valid Despite Vacancy</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13.4</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Qualifications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13.5</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Remuneration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13.6</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Reimbursement of Expenses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13.7</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Special Remuneration for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13.8</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Gratuity, Pension or Allowance on Retirement of Director</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14 ELECTION AND REMOVAL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Election at Annual General Meeting</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14.2</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Consent to be a Director</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14.3</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Failure to Elect or Appoint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14.4</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Places of Retiring Directors Not Filled</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14.5</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Directors May Fill Casual Vacancies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14.6</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Remaining Directors Power to Act</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14.7</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Shareholders May Fill Vacancies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14.8</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Additional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14.9</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Ceasing to be a Director</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14.10</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Removal of Director by Shareholders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14.11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Removal of Director by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15 ADVANCE NOTICE REQUIREMENTS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15.2</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Nomination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15.3</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Timely Notice</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15.4</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Manner of Timely Notice</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15.5</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Proper Form of Timely Notice</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15.6</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to be Updated</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15.7</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Eligibility for Nomination as a Director</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15.8</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Delivery of Notice</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15.9</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Board’s Discretion</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16 FORUM FOR ADJUDICATION OF CERTAIN DISPUTES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16.1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Forum Selection</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17 POWERS AND DUTIES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17.1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Powers of Management</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17.2</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of Attorney of Company</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684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18 DISCLOSURE OF INTEREST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18.1</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Obligation to Account for Profits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34"/>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18.2</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Restrictions on Voting by Reason of Interest</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637"/>
        </w:trPr>
        <w:tc>
          <w:tcPr>
            <w:tcW w:w="9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-iii-</w:t>
            </w:r>
          </w:p>
        </w:tc>
        <w:tc>
          <w:tcPr>
            <w:tcW w:w="440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825"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Borders>
              <w:bottom w:val="single" w:sz="8" w:color="CCEEFF"/>
            </w:tcBorders>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18.3</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Interested Director Counted in Quorum</w:t>
            </w: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18.4</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Disclosure of Conflict of Interest or Property</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18.5</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 Holding Other Office in the Company</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18.6</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No Disqualification</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18.7</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Professional Services by Director or Officer</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18.8</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Director or Officer in Other Corporations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6940" w:type="dxa"/>
            <w:vAlign w:val="bottom"/>
            <w:gridSpan w:val="2"/>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PART 19 PROCEEDINGS OF DIRECTORS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Meetings of Directors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Voting at Meetings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Chair of Meetings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19.4</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Meetings by Telephone or Other Communications Medium</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19.5</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Calling of Meetings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19.6</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of Meetings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19.7</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When Notice Not Required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19.8</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Meeting Valid Despite Failure to Give Notice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19.9</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Waiver of Notice of Meetings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19.10</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Quorum</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19.11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Validity of Acts Where Appointment Defective</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19.12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Consent Resolutions in Writing</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694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20 EXECUTIVE AND OTHER COMMITTEES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20.1</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and Powers of Executive Committee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20.2</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Appointment and Powers of Other Committees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20.3</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Obligations of Committee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20.4</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Powers of Board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20.5</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Committee Meetings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694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21 OFFICERS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21.1</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of Officers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21.2</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Functions, Duties and Powers of Officers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21.3</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Qualifications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21.4</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Remuneration</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6940" w:type="dxa"/>
            <w:vAlign w:val="bottom"/>
            <w:gridSpan w:val="2"/>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PART 22 INDEMNIFICATION</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22.1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22.2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Mandatory Indemnification of Directors and Former Directors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22.3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Indemnification of Other Persons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22.4</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Non-Compliance with </w:t>
            </w:r>
            <w:r>
              <w:rPr>
                <w:rFonts w:ascii="Arial" w:cs="Arial" w:eastAsia="Arial" w:hAnsi="Arial"/>
                <w:sz w:val="18"/>
                <w:szCs w:val="18"/>
                <w:b w:val="1"/>
                <w:bCs w:val="1"/>
                <w:i w:val="1"/>
                <w:iCs w:val="1"/>
                <w:color w:val="auto"/>
              </w:rPr>
              <w:t>Business Corporations Act</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22.5</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Company May Purchase Insurance</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6940" w:type="dxa"/>
            <w:vAlign w:val="bottom"/>
            <w:gridSpan w:val="2"/>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PART 23 DIVIDENDS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Payment of Dividends Subject to Special Rights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Declaration of Dividends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No Notice Required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23.4</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Record Date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23.5</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Manner of Paying Dividend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23.6</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Settlement of Difficulties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23.7</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When Dividend Payable</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23.8</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to be Paid in Accordance with Number of Shares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23.9</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Receipt by Joint Shareholders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23.10</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 Bears No Interest</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23.11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Fractional Dividends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23.12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Payment of Dividends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34"/>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23.13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Capitalization of Surplus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637"/>
        </w:trPr>
        <w:tc>
          <w:tcPr>
            <w:tcW w:w="9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-iv-</w:t>
            </w:r>
          </w:p>
        </w:tc>
        <w:tc>
          <w:tcPr>
            <w:tcW w:w="430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825"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TABLE OF CONTENTS</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(continued)</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94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Unclaimed Dividends</w:t>
            </w: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24 DOCUMENTS, RECORDS AND REPORTS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24.1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Recording of Financial Affairs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24.2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Inspection of Accounting Records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24.3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Remuneration of Auditors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25 NOTICES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25.1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Method of Giving Notice</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25.2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Deemed Receipt</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25.3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Certificate of Sending</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25.4</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to Joint Shareholders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25.5</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to Trustees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26 SEAL</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26.1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Who May Attest Seal</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26.2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Sealing Copies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26.3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Mechanical Reproduction of Seal</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27 PROHIBITIONS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27.1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Definitions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27.2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Application</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27.3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Consent Required for Transfer of Shares or Designated Securities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28 DEFINITIONS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28.1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Definitions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29 COMMON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29.1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Voting</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29.2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Dividends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29.3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Liquidation Distribution</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30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30.1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Non-Voting</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30.2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Dividends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30.3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Liquidation Distribution</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30.4</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Redemption</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30.5</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Limits on Transferability</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30.6</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Conversion Provisions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28</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31 AUTOMATIC CONVERSIONS OF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A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B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C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D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E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F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G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H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I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31.10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J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Automatic Conversion.</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Effect of Automatic Conversion</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31</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32 PREFERRED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31</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32.1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Issuable in Series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31</w:t>
            </w:r>
          </w:p>
        </w:tc>
      </w:tr>
      <w:tr>
        <w:trPr>
          <w:trHeight w:val="655"/>
        </w:trPr>
        <w:tc>
          <w:tcPr>
            <w:tcW w:w="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center"/>
              <w:ind w:left="2990"/>
              <w:spacing w:after="0"/>
              <w:rPr>
                <w:sz w:val="20"/>
                <w:szCs w:val="20"/>
                <w:color w:val="auto"/>
              </w:rPr>
            </w:pPr>
            <w:r>
              <w:rPr>
                <w:rFonts w:ascii="Arial" w:cs="Arial" w:eastAsia="Arial" w:hAnsi="Arial"/>
                <w:sz w:val="18"/>
                <w:szCs w:val="18"/>
                <w:color w:val="auto"/>
              </w:rPr>
              <w:t>-v-</w:t>
            </w:r>
          </w:p>
        </w:tc>
        <w:tc>
          <w:tcPr>
            <w:tcW w:w="40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PROVINCE OF BRITISH COLUMBIA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BUSINESS CORPORATIONS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Incorporation Number </w:t>
      </w:r>
      <w:r>
        <w:rPr>
          <w:rFonts w:ascii="Arial" w:cs="Arial" w:eastAsia="Arial" w:hAnsi="Arial"/>
          <w:sz w:val="18"/>
          <w:szCs w:val="18"/>
          <w:u w:val="single" w:color="auto"/>
          <w:color w:val="auto"/>
        </w:rPr>
        <w:t>C1323488</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 xml:space="preserve">Translation of Name (if any) </w:t>
      </w:r>
      <w:r>
        <w:rPr>
          <w:rFonts w:ascii="Arial" w:cs="Arial" w:eastAsia="Arial" w:hAnsi="Arial"/>
          <w:sz w:val="18"/>
          <w:szCs w:val="18"/>
          <w:b w:val="1"/>
          <w:bCs w:val="1"/>
          <w:u w:val="single" w:color="auto"/>
          <w:color w:val="auto"/>
        </w:rPr>
        <w:t>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Without limiting Article 1.2, in these Articles, unless the context requires otherwise: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adjourned meeting</w:t>
      </w:r>
      <w:r>
        <w:rPr>
          <w:rFonts w:ascii="Arial" w:cs="Arial" w:eastAsia="Arial" w:hAnsi="Arial"/>
          <w:sz w:val="18"/>
          <w:szCs w:val="18"/>
          <w:color w:val="auto"/>
        </w:rPr>
        <w:t>” means the meeting to which a meeting is adjourned under Article 11.8 or 11.12;</w:t>
      </w:r>
    </w:p>
    <w:p>
      <w:pPr>
        <w:spacing w:after="0" w:line="22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“board of directors” and “directors” mean the directors or sole director of the Company for the time being and include a committee or other delegate, direct or indirect, of the directors or director;</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S.B.C. 2002, c.57 as amended, restated or replaced from time to time, and includes its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Interpretation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Interpretation Act</w:t>
      </w:r>
      <w:r>
        <w:rPr>
          <w:rFonts w:ascii="Arial" w:cs="Arial" w:eastAsia="Arial" w:hAnsi="Arial"/>
          <w:sz w:val="18"/>
          <w:szCs w:val="18"/>
          <w:color w:val="auto"/>
        </w:rPr>
        <w:t>, R.S.B.C. 1996, c. 238;</w:t>
      </w:r>
    </w:p>
    <w:p>
      <w:pPr>
        <w:spacing w:after="0" w:line="221"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personal representative</w:t>
      </w:r>
      <w:r>
        <w:rPr>
          <w:rFonts w:ascii="Arial" w:cs="Arial" w:eastAsia="Arial" w:hAnsi="Arial"/>
          <w:sz w:val="18"/>
          <w:szCs w:val="18"/>
          <w:color w:val="auto"/>
        </w:rPr>
        <w:t>” means the personal or other legal representative of the shareholder; and “</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Business Corporations Act</w:t>
      </w:r>
      <w:r>
        <w:rPr>
          <w:rFonts w:ascii="Arial" w:cs="Arial" w:eastAsia="Arial" w:hAnsi="Arial"/>
          <w:sz w:val="18"/>
          <w:szCs w:val="18"/>
          <w:b w:val="1"/>
          <w:bCs w:val="1"/>
          <w:color w:val="auto"/>
        </w:rPr>
        <w:t xml:space="preserve"> Definitions Apply</w:t>
      </w:r>
      <w:r>
        <w:rPr>
          <w:rFonts w:ascii="Arial" w:cs="Arial" w:eastAsia="Arial" w:hAnsi="Arial"/>
          <w:sz w:val="18"/>
          <w:szCs w:val="18"/>
          <w:color w:val="auto"/>
        </w:rPr>
        <w:t>. The definitions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these Articles.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i w:val="1"/>
          <w:iCs w:val="1"/>
          <w:color w:val="auto"/>
        </w:rPr>
        <w:t>Interpretation Act</w:t>
      </w:r>
      <w:r>
        <w:rPr>
          <w:rFonts w:ascii="Arial" w:cs="Arial" w:eastAsia="Arial" w:hAnsi="Arial"/>
          <w:sz w:val="18"/>
          <w:szCs w:val="18"/>
          <w:b w:val="1"/>
          <w:bCs w:val="1"/>
          <w:color w:val="auto"/>
        </w:rPr>
        <w:t xml:space="preserve"> Applies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Interpretation Act</w:t>
      </w:r>
      <w:r>
        <w:rPr>
          <w:rFonts w:ascii="Arial" w:cs="Arial" w:eastAsia="Arial" w:hAnsi="Arial"/>
          <w:sz w:val="18"/>
          <w:szCs w:val="18"/>
          <w:b w:val="1"/>
          <w:bCs w:val="1"/>
          <w:color w:val="auto"/>
        </w:rPr>
        <w:t xml:space="preserve"> </w:t>
      </w:r>
      <w:r>
        <w:rPr>
          <w:rFonts w:ascii="Arial" w:cs="Arial" w:eastAsia="Arial" w:hAnsi="Arial"/>
          <w:sz w:val="18"/>
          <w:szCs w:val="18"/>
          <w:color w:val="auto"/>
        </w:rPr>
        <w:t>applies to the interpretation of these articles as if these Articles were an enactment.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1.4 Conflict in Definitions</w:t>
      </w:r>
      <w:r>
        <w:rPr>
          <w:rFonts w:ascii="Arial" w:cs="Arial" w:eastAsia="Arial" w:hAnsi="Arial"/>
          <w:sz w:val="17"/>
          <w:szCs w:val="17"/>
          <w:color w:val="auto"/>
        </w:rPr>
        <w:t>. If there is a conflict between a definition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a definition or rule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Interpretation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relating to a term used in these Articles, the definition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will prevail in relation to the use of the term in these Articles.</w:t>
      </w:r>
    </w:p>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1.5 Conflict Between Articles and Legislation</w:t>
      </w:r>
      <w:r>
        <w:rPr>
          <w:rFonts w:ascii="Arial" w:cs="Arial" w:eastAsia="Arial" w:hAnsi="Arial"/>
          <w:sz w:val="18"/>
          <w:szCs w:val="18"/>
          <w:color w:val="auto"/>
        </w:rPr>
        <w:t>. If there is a conflict between these Articles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will prevail.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CERTIFICATES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2.1 Authorized Share Structure</w:t>
      </w:r>
      <w:r>
        <w:rPr>
          <w:rFonts w:ascii="Arial" w:cs="Arial" w:eastAsia="Arial" w:hAnsi="Arial"/>
          <w:sz w:val="18"/>
          <w:szCs w:val="18"/>
          <w:color w:val="auto"/>
        </w:rPr>
        <w:t>. The authorized share structure of the Company consists of shares of the class or classes and series, if any,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Articles of the Company.</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2.2 Form of Share Certificate</w:t>
      </w:r>
      <w:r>
        <w:rPr>
          <w:rFonts w:ascii="Arial" w:cs="Arial" w:eastAsia="Arial" w:hAnsi="Arial"/>
          <w:sz w:val="18"/>
          <w:szCs w:val="18"/>
          <w:color w:val="auto"/>
        </w:rPr>
        <w:t>. Each share certificate issued by the Company must comply with, and be signed as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2.3 Right to Share Certificate or Acknowledgement</w:t>
      </w:r>
      <w:r>
        <w:rPr>
          <w:rFonts w:ascii="Arial" w:cs="Arial" w:eastAsia="Arial" w:hAnsi="Arial"/>
          <w:sz w:val="18"/>
          <w:szCs w:val="18"/>
          <w:color w:val="auto"/>
        </w:rPr>
        <w:t>. Each shareholder is entitled, without charge, to:</w:t>
      </w:r>
    </w:p>
    <w:p>
      <w:pPr>
        <w:spacing w:after="0" w:line="22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certificate representing the share or shares of each class or series of shares registered in the shareholder’s name;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non-transferable written acknowledgment of the shareholder’s right to obtain such a share certificate,</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provided that in respect of a share held jointly by several persons, the Company is not bound to issue more than one share certificate or acknowledgement and delivery of a share certificate or acknowledgment for a share to one of several joint shareholders or to one of the shareholder’s duly authorized agents will be sufficient delivery to all. The Company may refuse to register more than three persons as joint holders of a share.</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2.4 Sending of Share Certificate</w:t>
      </w:r>
      <w:r>
        <w:rPr>
          <w:rFonts w:ascii="Arial" w:cs="Arial" w:eastAsia="Arial" w:hAnsi="Arial"/>
          <w:sz w:val="17"/>
          <w:szCs w:val="17"/>
          <w:color w:val="auto"/>
        </w:rPr>
        <w:t>. Any share certificate or non-transferable written acknowledgment of the shareholder’s right to obtain such a share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to which a shareholder is entitled may be sent to the shareholder by mail at the shareholder’s registered address, and neither the Company nor any agent is liable for any loss to the shareholder because the share certificate or acknowledgment sent is lost in the mail or stolen.</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2.5 Replacement of Worn Out or Defaced Certificate</w:t>
      </w:r>
      <w:r>
        <w:rPr>
          <w:rFonts w:ascii="Arial" w:cs="Arial" w:eastAsia="Arial" w:hAnsi="Arial"/>
          <w:sz w:val="17"/>
          <w:szCs w:val="17"/>
          <w:color w:val="auto"/>
        </w:rPr>
        <w:t>. If the board of directors, or any officer or agent designated by the directors, is satisfied that a share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is worn out or defaced, they must, on production to them of the certificate and on such other terms, if any, as they think fit:</w:t>
      </w:r>
    </w:p>
    <w:p>
      <w:pPr>
        <w:spacing w:after="0" w:line="144"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 the certificate to be cancelled;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a replacement share certificate.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2.6 Replacement of Lost, Stolen or Destroyed Certificate</w:t>
      </w:r>
      <w:r>
        <w:rPr>
          <w:rFonts w:ascii="Arial" w:cs="Arial" w:eastAsia="Arial" w:hAnsi="Arial"/>
          <w:sz w:val="18"/>
          <w:szCs w:val="18"/>
          <w:color w:val="auto"/>
        </w:rPr>
        <w:t>. If a share certificate is lost, stolen or destroyed, a replacement share certificate must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person entitled to that certificate if the board of directors, or any officer or agent designated by the directors, receives:</w:t>
      </w:r>
    </w:p>
    <w:p>
      <w:pPr>
        <w:spacing w:after="0" w:line="16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proof satisfactory to them that the certificate is lost, stolen or destroyed;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indemnity the board of directors, or any officer or agent designated by the directors, considers adequate.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2.7 Splitting Share Certificates</w:t>
      </w:r>
      <w:r>
        <w:rPr>
          <w:rFonts w:ascii="Arial" w:cs="Arial" w:eastAsia="Arial" w:hAnsi="Arial"/>
          <w:sz w:val="18"/>
          <w:szCs w:val="18"/>
          <w:color w:val="auto"/>
        </w:rPr>
        <w:t>. If a shareholder surrenders a share certificate to the Company with a written request that the Company issue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name two or more certificates, each representing a specified number of shares and in the aggregate representing the same number of shares as the certificate so surrendered, the Company must cancel the surrendered certificate and issue replacement share certificates in accordance with that request. The Company may refuse to issue a certificate with respect to a fraction of a share.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2.8 Certificate Fee</w:t>
      </w:r>
      <w:r>
        <w:rPr>
          <w:rFonts w:ascii="Arial" w:cs="Arial" w:eastAsia="Arial" w:hAnsi="Arial"/>
          <w:sz w:val="18"/>
          <w:szCs w:val="18"/>
          <w:color w:val="auto"/>
        </w:rPr>
        <w:t>. There must be paid to the Company, in relation to the issue of any share certificate under Articles 2.5, 2.6 or 2.7, the amount,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2.9 Recognition of Trusts</w:t>
      </w:r>
      <w:r>
        <w:rPr>
          <w:rFonts w:ascii="Arial" w:cs="Arial" w:eastAsia="Arial" w:hAnsi="Arial"/>
          <w:sz w:val="17"/>
          <w:szCs w:val="17"/>
          <w:color w:val="auto"/>
        </w:rPr>
        <w:t>. Except as required by law or statute or these Articles, no person will be recognized by the Company as holding any share upon</w:t>
      </w:r>
      <w:r>
        <w:rPr>
          <w:rFonts w:ascii="Arial" w:cs="Arial" w:eastAsia="Arial" w:hAnsi="Arial"/>
          <w:sz w:val="17"/>
          <w:szCs w:val="17"/>
          <w:b w:val="1"/>
          <w:bCs w:val="1"/>
          <w:color w:val="auto"/>
        </w:rPr>
        <w:t xml:space="preserve"> </w:t>
      </w:r>
      <w:r>
        <w:rPr>
          <w:rFonts w:ascii="Arial" w:cs="Arial" w:eastAsia="Arial" w:hAnsi="Arial"/>
          <w:sz w:val="17"/>
          <w:szCs w:val="17"/>
          <w:color w:val="auto"/>
        </w:rPr>
        <w:t>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3.1 Directors Authorized to Issue Shares</w:t>
      </w:r>
      <w:r>
        <w:rPr>
          <w:rFonts w:ascii="Arial" w:cs="Arial" w:eastAsia="Arial" w:hAnsi="Arial"/>
          <w:sz w:val="17"/>
          <w:szCs w:val="17"/>
          <w:color w:val="auto"/>
        </w:rPr>
        <w:t>. 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of the holders of issued shares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issue, allot, sell or otherwise dispose of the unissued shares, and previously issued shares that are subject to reissuance or held by the Company, whether with par value or without par value, at the times, to the persons, including directors, in the manner, on the terms and conditions and for the issue prices (including any premium at which shares may be issued) that the directors, in their absolute discretion, may determine. The issue price for a share with par value must be equal to or greater than the par value of the share.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3.2 Commissions and Discounts</w:t>
      </w:r>
      <w:r>
        <w:rPr>
          <w:rFonts w:ascii="Arial" w:cs="Arial" w:eastAsia="Arial" w:hAnsi="Arial"/>
          <w:sz w:val="18"/>
          <w:szCs w:val="18"/>
          <w:color w:val="auto"/>
        </w:rPr>
        <w:t>. The directors may, at any time, authorize the Company to pay a reasonable commission or allow a reasonable discount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in consideration of that person purchasing or agreeing to purchase shares of the Company from the Company or any other person or procuring or agreeing to procure purchasers for shares of the Company.</w:t>
      </w:r>
    </w:p>
    <w:p>
      <w:pPr>
        <w:spacing w:after="0" w:line="39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8"/>
          <w:szCs w:val="18"/>
          <w:b w:val="1"/>
          <w:bCs w:val="1"/>
          <w:color w:val="auto"/>
        </w:rPr>
        <w:t>3.3 Brokerage</w:t>
      </w:r>
      <w:r>
        <w:rPr>
          <w:rFonts w:ascii="Arial" w:cs="Arial" w:eastAsia="Arial" w:hAnsi="Arial"/>
          <w:sz w:val="18"/>
          <w:szCs w:val="18"/>
          <w:color w:val="auto"/>
        </w:rPr>
        <w:t>. The directors may authorize the Company to pay such brokerage fee or other consideration as may be lawful for 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or placement of its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 Conditions of Issue</w:t>
      </w:r>
      <w:r>
        <w:rPr>
          <w:rFonts w:ascii="Arial" w:cs="Arial" w:eastAsia="Arial" w:hAnsi="Arial"/>
          <w:sz w:val="16"/>
          <w:szCs w:val="16"/>
          <w:color w:val="auto"/>
        </w:rPr>
        <w:t>. Except as provided for by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 share may be issued until it is fully paid. A share is fully paid when:</w:t>
      </w:r>
    </w:p>
    <w:p>
      <w:pPr>
        <w:spacing w:after="0" w:line="25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property;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money;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3.5 Warrants, Options and Rights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issue warrants, options and rights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directors determine, which warrants, options and rights may be issued alone or in conjunction with debentures, debenture stock, bonds, shares or any other securities issued or created by the Company from time to time.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3.6 Fractional Shares</w:t>
      </w:r>
      <w:r>
        <w:rPr>
          <w:rFonts w:ascii="Arial" w:cs="Arial" w:eastAsia="Arial" w:hAnsi="Arial"/>
          <w:sz w:val="18"/>
          <w:szCs w:val="18"/>
          <w:color w:val="auto"/>
        </w:rPr>
        <w:t>. A person holding a fractional share does not have, in relation to the fractional share, the rights of a shareholder in proportion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fraction of the share held.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REGISTERS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4.1 Central Securities Register</w:t>
      </w:r>
      <w:r>
        <w:rPr>
          <w:rFonts w:ascii="Arial" w:cs="Arial" w:eastAsia="Arial" w:hAnsi="Arial"/>
          <w:sz w:val="18"/>
          <w:szCs w:val="18"/>
          <w:color w:val="auto"/>
        </w:rPr>
        <w:t>. As required by and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must maintain in British Columbia a central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register.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Branch Registers</w:t>
      </w:r>
      <w:r>
        <w:rPr>
          <w:rFonts w:ascii="Arial" w:cs="Arial" w:eastAsia="Arial" w:hAnsi="Arial"/>
          <w:sz w:val="18"/>
          <w:szCs w:val="18"/>
          <w:color w:val="auto"/>
        </w:rPr>
        <w:t>. In addition to the central securities register, the Company may maintain branch securities registers.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4.3 Appointment of Agents</w:t>
      </w:r>
      <w:r>
        <w:rPr>
          <w:rFonts w:ascii="Arial" w:cs="Arial" w:eastAsia="Arial" w:hAnsi="Arial"/>
          <w:sz w:val="16"/>
          <w:szCs w:val="16"/>
          <w:color w:val="auto"/>
        </w:rPr>
        <w:t>. The directors may, subject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appoint an agent to maintain the central securities register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branch securities registers.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Closing Register</w:t>
      </w:r>
      <w:r>
        <w:rPr>
          <w:rFonts w:ascii="Arial" w:cs="Arial" w:eastAsia="Arial" w:hAnsi="Arial"/>
          <w:sz w:val="18"/>
          <w:szCs w:val="18"/>
          <w:color w:val="auto"/>
        </w:rPr>
        <w:t>. The Company must not at any time close its central securities register.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TRANSFERS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5.1 Recording or Registering Transfer</w:t>
      </w:r>
      <w:r>
        <w:rPr>
          <w:rFonts w:ascii="Arial" w:cs="Arial" w:eastAsia="Arial" w:hAnsi="Arial"/>
          <w:sz w:val="18"/>
          <w:szCs w:val="18"/>
          <w:color w:val="auto"/>
        </w:rPr>
        <w:t>. Except to the extent that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provides, a transfer of a share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must not be recorded or registered unless:</w:t>
      </w:r>
    </w:p>
    <w:p>
      <w:pPr>
        <w:spacing w:after="0" w:line="16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non-transferable written acknowledgment of the shareholder’s right to obtain a share certificate has been issued by the Company in respect of the share to be transferred, that acknowledgment has been surrendered to the Company.</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5.2 Form of Instrument of Transfer</w:t>
      </w:r>
      <w:r>
        <w:rPr>
          <w:rFonts w:ascii="Arial" w:cs="Arial" w:eastAsia="Arial" w:hAnsi="Arial"/>
          <w:sz w:val="18"/>
          <w:szCs w:val="18"/>
          <w:color w:val="auto"/>
        </w:rPr>
        <w:t>. The instrument of transfer in respect of any share of the Company must be either in the form, if any, on the back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share certificates or in any other form that may be approved by the directors from time to time.</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347" w:lineRule="auto"/>
        <w:rPr>
          <w:sz w:val="20"/>
          <w:szCs w:val="20"/>
          <w:color w:val="auto"/>
        </w:rPr>
      </w:pPr>
      <w:r>
        <w:rPr>
          <w:rFonts w:ascii="Arial" w:cs="Arial" w:eastAsia="Arial" w:hAnsi="Arial"/>
          <w:sz w:val="16"/>
          <w:szCs w:val="16"/>
          <w:b w:val="1"/>
          <w:bCs w:val="1"/>
          <w:color w:val="auto"/>
        </w:rPr>
        <w:t>5.3 Transferor Remains Shareholder</w:t>
      </w:r>
      <w:r>
        <w:rPr>
          <w:rFonts w:ascii="Arial" w:cs="Arial" w:eastAsia="Arial" w:hAnsi="Arial"/>
          <w:sz w:val="16"/>
          <w:szCs w:val="16"/>
          <w:color w:val="auto"/>
        </w:rPr>
        <w:t>. Except to the extent that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provides, the transferor of shares is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the holder of the shares until the name of the transferee is entered in a securities register of the Company in respect of the transfer.</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5.4 Signing of Instrument of Transfer</w:t>
      </w:r>
      <w:r>
        <w:rPr>
          <w:rFonts w:ascii="Arial" w:cs="Arial" w:eastAsia="Arial" w:hAnsi="Arial"/>
          <w:sz w:val="18"/>
          <w:szCs w:val="18"/>
          <w:color w:val="auto"/>
        </w:rPr>
        <w:t>. If a shareholder, or his or her duly authorized attorney, signs an instrument of transfer in respect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the name of the shareholder, the signed instrument of transfer constitutes a complete and sufficient authority to the Company and its directors, officers and agents to register the number of shares specified in the instrument of transfer, or, if no number is specified, all the shares represented by share certificates deposited with the instrument of transfer:</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share certificate is deposited for the purpose of having the transfer registered.</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5.5 Enquiry as to Title Not Required</w:t>
      </w:r>
      <w:r>
        <w:rPr>
          <w:rFonts w:ascii="Arial" w:cs="Arial" w:eastAsia="Arial" w:hAnsi="Arial"/>
          <w:sz w:val="18"/>
          <w:szCs w:val="18"/>
          <w:color w:val="auto"/>
        </w:rPr>
        <w:t>. Neither the Company nor any director, officer or agent of the Company is bound to inquire into the title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5.6 Transfer Fee</w:t>
      </w:r>
      <w:r>
        <w:rPr>
          <w:rFonts w:ascii="Arial" w:cs="Arial" w:eastAsia="Arial" w:hAnsi="Arial"/>
          <w:sz w:val="18"/>
          <w:szCs w:val="18"/>
          <w:color w:val="auto"/>
        </w:rPr>
        <w:t>. Subject to the applicable rules of any stock exchange on which the shares of the Company may be listed, there must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relation to the registration of any transfer, the amount determined by the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6.1 Legal Personal Representative Recognized on Death</w:t>
      </w:r>
      <w:r>
        <w:rPr>
          <w:rFonts w:ascii="Arial" w:cs="Arial" w:eastAsia="Arial" w:hAnsi="Arial"/>
          <w:sz w:val="17"/>
          <w:szCs w:val="17"/>
          <w:color w:val="auto"/>
        </w:rPr>
        <w:t>. In the case of the death of a shareholder, the legal personal representative, or if the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6.2 Rights of Legal Personal Representative</w:t>
      </w:r>
      <w:r>
        <w:rPr>
          <w:rFonts w:ascii="Arial" w:cs="Arial" w:eastAsia="Arial" w:hAnsi="Arial"/>
          <w:sz w:val="18"/>
          <w:szCs w:val="18"/>
          <w:color w:val="auto"/>
        </w:rPr>
        <w:t>. The legal personal representative has the same rights, privileges and obligations that attach to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and the directors have been deposited with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7.1 Company Authorized to Purchase Shares</w:t>
      </w:r>
      <w:r>
        <w:rPr>
          <w:rFonts w:ascii="Arial" w:cs="Arial" w:eastAsia="Arial" w:hAnsi="Arial"/>
          <w:sz w:val="18"/>
          <w:szCs w:val="18"/>
          <w:color w:val="auto"/>
        </w:rPr>
        <w:t>. Subject to the special rights and restrictions attached to any class or series of shares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w:t>
      </w:r>
      <w:r>
        <w:rPr>
          <w:rFonts w:ascii="Arial" w:cs="Arial" w:eastAsia="Arial" w:hAnsi="Arial"/>
          <w:sz w:val="18"/>
          <w:szCs w:val="18"/>
          <w:color w:val="auto"/>
        </w:rPr>
        <w:t>, the Company may, if authorized by the directors, purchase or otherwise acquire any of its shares at the price and on the terms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such resolution.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7.2 Purchase When Insolvent</w:t>
      </w:r>
      <w:r>
        <w:rPr>
          <w:rFonts w:ascii="Arial" w:cs="Arial" w:eastAsia="Arial" w:hAnsi="Arial"/>
          <w:sz w:val="18"/>
          <w:szCs w:val="18"/>
          <w:color w:val="auto"/>
        </w:rPr>
        <w:t>. The Company must not make a payment or provide any other consideration to purchase or otherwise acquire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if there are reasonable grounds for believing that:</w:t>
      </w:r>
    </w:p>
    <w:p>
      <w:pPr>
        <w:spacing w:after="0" w:line="16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7.3 Sale and Voting of Purchased Shares</w:t>
      </w:r>
      <w:r>
        <w:rPr>
          <w:rFonts w:ascii="Arial" w:cs="Arial" w:eastAsia="Arial" w:hAnsi="Arial"/>
          <w:sz w:val="18"/>
          <w:szCs w:val="18"/>
          <w:color w:val="auto"/>
        </w:rPr>
        <w:t>. If the Company retains a share redeemed, purchased or otherwise acquired by it, the Company may sell, gift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the share, but, while such share is held by the Company, it:</w:t>
      </w:r>
    </w:p>
    <w:p>
      <w:pPr>
        <w:spacing w:after="0" w:line="16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- 4 -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Powers of Directors</w:t>
      </w:r>
      <w:r>
        <w:rPr>
          <w:rFonts w:ascii="Arial" w:cs="Arial" w:eastAsia="Arial" w:hAnsi="Arial"/>
          <w:sz w:val="18"/>
          <w:szCs w:val="18"/>
          <w:color w:val="auto"/>
        </w:rPr>
        <w:t>. The Company, if authorized by the directors, may from time to time:</w:t>
      </w:r>
    </w:p>
    <w:p>
      <w:pPr>
        <w:spacing w:after="0" w:line="229" w:lineRule="exact"/>
        <w:rPr>
          <w:sz w:val="20"/>
          <w:szCs w:val="20"/>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 money in the manner and amount, on the security, from the sources and on the terms and conditions that the directors consider appropriate;</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 or charge, whether by way of specific or floating charge, or give other security on the whole or any part of the present and future undertaking of the Company.</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8.2 Terms of Debt Instruments</w:t>
      </w:r>
      <w:r>
        <w:rPr>
          <w:rFonts w:ascii="Arial" w:cs="Arial" w:eastAsia="Arial" w:hAnsi="Arial"/>
          <w:sz w:val="17"/>
          <w:szCs w:val="17"/>
          <w:color w:val="auto"/>
        </w:rPr>
        <w:t>. Any bonds, debentures or other debt obligations of the Company may be issued at a discount, premium or otherwise,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special privileges on the redemption, surrender, drawing, allotment of or conversion into or exchange for shares or other securities, attending and voting at general meetings of the Company, appointment of directors or otherwise, and may by their terms be assignable free from any equities between the Company and the person to whom they were issued or any subsequent holder, all as the directors may determine.</w:t>
      </w:r>
    </w:p>
    <w:p>
      <w:pPr>
        <w:spacing w:after="0" w:line="16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8.3 Delegation by Directors</w:t>
      </w:r>
      <w:r>
        <w:rPr>
          <w:rFonts w:ascii="Arial" w:cs="Arial" w:eastAsia="Arial" w:hAnsi="Arial"/>
          <w:sz w:val="18"/>
          <w:szCs w:val="18"/>
          <w:color w:val="auto"/>
        </w:rPr>
        <w:t>. For greater certainty, the powers of the directors under this Part 8 may be exercised by a committee or other delegate, direct</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 of the board authorized to exercise such powers.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Alteration of Authorized Share Structure</w:t>
      </w:r>
      <w:r>
        <w:rPr>
          <w:rFonts w:ascii="Arial" w:cs="Arial" w:eastAsia="Arial" w:hAnsi="Arial"/>
          <w:sz w:val="18"/>
          <w:szCs w:val="18"/>
          <w:color w:val="auto"/>
        </w:rPr>
        <w:t>. Subject to Article 9.2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w:t>
      </w:r>
    </w:p>
    <w:p>
      <w:pPr>
        <w:spacing w:after="0" w:line="229"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ordinary resolution:</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is allotted or issued, eliminate that class or series of shares;</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if none of the shares of that class of shares is allotted or issued, increase the par value of those shares;</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otherwise alter its shares or authorized share structure when required or permitted to do so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directors’ resolution, subdivide or consolidate all or any of its unissued, or fully paid issued, shares.</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- 5 -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9.2 Special Rights and Restrictions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ordinary resolution:</w:t>
      </w:r>
    </w:p>
    <w:p>
      <w:pPr>
        <w:spacing w:after="0" w:line="229" w:lineRule="exact"/>
        <w:rPr>
          <w:sz w:val="20"/>
          <w:szCs w:val="20"/>
          <w:color w:val="auto"/>
        </w:rPr>
      </w:pPr>
    </w:p>
    <w:p>
      <w:pPr>
        <w:ind w:left="1300" w:right="1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whether or not any or all of those shares have been issued;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or series of shares, whether or not any or all of those shares have been issued.</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9.3 Change of Name</w:t>
      </w:r>
      <w:r>
        <w:rPr>
          <w:rFonts w:ascii="Arial" w:cs="Arial" w:eastAsia="Arial" w:hAnsi="Arial"/>
          <w:sz w:val="18"/>
          <w:szCs w:val="18"/>
          <w:color w:val="auto"/>
        </w:rPr>
        <w:t>. The Company may by directors’ resolution or ordinary resolution authorize an alteration of its Notice of Articles in order to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its name.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9.4 Company Alterations</w:t>
      </w:r>
      <w:r>
        <w:rPr>
          <w:rFonts w:ascii="Arial" w:cs="Arial" w:eastAsia="Arial" w:hAnsi="Arial"/>
          <w:sz w:val="18"/>
          <w:szCs w:val="18"/>
          <w:color w:val="auto"/>
        </w:rPr>
        <w:t>. If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specify the type of resolution and these Articles do not specify a type of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by ordinary resolution authorize any act of the Company, including without limitation, an alteration of these Articles or its Notice of Articles.</w:t>
      </w:r>
    </w:p>
    <w:p>
      <w:pPr>
        <w:spacing w:after="0" w:line="1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10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MEETINGS OF SHAREHOLDERS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10.1 Annual General Meetings</w:t>
      </w:r>
      <w:r>
        <w:rPr>
          <w:rFonts w:ascii="Arial" w:cs="Arial" w:eastAsia="Arial" w:hAnsi="Arial"/>
          <w:sz w:val="18"/>
          <w:szCs w:val="18"/>
          <w:color w:val="auto"/>
        </w:rPr>
        <w:t>. Unless an annual general meeting is deferred or waived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must hold an annual general meeting, for the first time, not more than 18 months after the date on which it was recognized, and after its first annual reference date, at least once in each calendar year and not more than 15 months after the annual reference date for the preceding calendar year at such date, time and location as may be determined by the directors.</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10.2 Resolution Instead of Annual General Meeting</w:t>
      </w:r>
      <w:r>
        <w:rPr>
          <w:rFonts w:ascii="Arial" w:cs="Arial" w:eastAsia="Arial" w:hAnsi="Arial"/>
          <w:sz w:val="16"/>
          <w:szCs w:val="16"/>
          <w:color w:val="auto"/>
        </w:rPr>
        <w:t>. If all of the shareholders who are entitled to vote at an annual general meeting consent by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unanimous resolution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Calling of Shareholder Meetings</w:t>
      </w:r>
      <w:r>
        <w:rPr>
          <w:rFonts w:ascii="Arial" w:cs="Arial" w:eastAsia="Arial" w:hAnsi="Arial"/>
          <w:sz w:val="18"/>
          <w:szCs w:val="18"/>
          <w:color w:val="auto"/>
        </w:rPr>
        <w:t>. The directors may, whenever they think fit, call a meeting of shareholders.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10.4 Location of Shareholder Meetings</w:t>
      </w:r>
      <w:r>
        <w:rPr>
          <w:rFonts w:ascii="Arial" w:cs="Arial" w:eastAsia="Arial" w:hAnsi="Arial"/>
          <w:sz w:val="18"/>
          <w:szCs w:val="18"/>
          <w:color w:val="auto"/>
        </w:rPr>
        <w:t>. The directors may by directors’ resolution, approve a location outside of British Columbia for the holding of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10.5 Notice for Meetings of Shareholders</w:t>
      </w:r>
      <w:r>
        <w:rPr>
          <w:rFonts w:ascii="Arial" w:cs="Arial" w:eastAsia="Arial" w:hAnsi="Arial"/>
          <w:sz w:val="18"/>
          <w:szCs w:val="18"/>
          <w:color w:val="auto"/>
        </w:rPr>
        <w:t>. The Company must send notice of the date, time and location of any meeting of shareholders,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18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10.6 Record Date for Notice</w:t>
      </w:r>
      <w:r>
        <w:rPr>
          <w:rFonts w:ascii="Arial" w:cs="Arial" w:eastAsia="Arial" w:hAnsi="Arial"/>
          <w:sz w:val="18"/>
          <w:szCs w:val="18"/>
          <w:color w:val="auto"/>
        </w:rPr>
        <w:t>. The directors may set a date as the record date for the purpose of determining shareholders entitled to notice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The record date must not precede the date on which the meeting is held by fewer than:</w:t>
      </w:r>
    </w:p>
    <w:p>
      <w:pPr>
        <w:spacing w:after="0" w:line="18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If no record date is set, the record date is 5 p.m. on the day immediately preceding the first date on which the notice is sent or, if no notice is sent, the beginning of the meeting.</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10.7 Record Date for Voting</w:t>
      </w:r>
      <w:r>
        <w:rPr>
          <w:rFonts w:ascii="Arial" w:cs="Arial" w:eastAsia="Arial" w:hAnsi="Arial"/>
          <w:sz w:val="17"/>
          <w:szCs w:val="17"/>
          <w:color w:val="auto"/>
        </w:rPr>
        <w:t>. The directors may set a date as the record date for the purpose of determining shareholders entitled to vote at any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shareholders. The record date must not precede the date on which the meeting is to be held by more than two months or, in the case of a general meeting requisitioned by shareholders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by more than four months. If no record date is set, the record date is 5 p.m. on the day immediately preceding the first date on which the notice is sent or, if no notice is sent, the beginning of the meeting.</w:t>
      </w:r>
    </w:p>
    <w:p>
      <w:pPr>
        <w:spacing w:after="0" w:line="381"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- 6 -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8"/>
          <w:szCs w:val="18"/>
          <w:b w:val="1"/>
          <w:bCs w:val="1"/>
          <w:color w:val="auto"/>
        </w:rPr>
        <w:t>10.8 Failure to Give Notice and Waiver of Notice</w:t>
      </w:r>
      <w:r>
        <w:rPr>
          <w:rFonts w:ascii="Arial" w:cs="Arial" w:eastAsia="Arial" w:hAnsi="Arial"/>
          <w:sz w:val="18"/>
          <w:szCs w:val="18"/>
          <w:color w:val="auto"/>
        </w:rPr>
        <w:t>. The accidental omission to send notice of any meeting to, or the non-receipt of any notice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entitled to receive notice does not invalidate any proceedings at that meeting. Any person entitled to receive notice of a meeting of shareholders may, in writing or otherwise, waive or reduce the period of notice of such meeting.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10.9 Notice of Special Business at Meetings of Shareholders</w:t>
      </w:r>
      <w:r>
        <w:rPr>
          <w:rFonts w:ascii="Arial" w:cs="Arial" w:eastAsia="Arial" w:hAnsi="Arial"/>
          <w:sz w:val="16"/>
          <w:szCs w:val="16"/>
          <w:color w:val="auto"/>
        </w:rPr>
        <w:t>. If a meeting of shareholders is to consider special business within the meaning of Article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11.1, the notice of meeting must:</w:t>
      </w:r>
    </w:p>
    <w:p>
      <w:pPr>
        <w:spacing w:after="0" w:line="21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the shareholders: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 the Company’s records office, or at such other reasonably accessible location in British Columbia as is specified in the notice;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statutory business hours on any one or more specified days before the day set for the holding of the meeting.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10.10 Class Meetings and Series Meetings of Shareholders</w:t>
      </w:r>
      <w:r>
        <w:rPr>
          <w:rFonts w:ascii="Arial" w:cs="Arial" w:eastAsia="Arial" w:hAnsi="Arial"/>
          <w:sz w:val="18"/>
          <w:szCs w:val="18"/>
          <w:color w:val="auto"/>
        </w:rPr>
        <w:t>. Unless otherwise specified in these Articles, the provisions of these Articles relating to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will apply with the necessary changes and so far as they are applicable, to a class meeting or series meeting of shareholders holding a particular class or series of shares.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10.11 Notice of Dissent Rights</w:t>
      </w:r>
      <w:r>
        <w:rPr>
          <w:rFonts w:ascii="Arial" w:cs="Arial" w:eastAsia="Arial" w:hAnsi="Arial"/>
          <w:sz w:val="18"/>
          <w:szCs w:val="18"/>
          <w:color w:val="auto"/>
        </w:rPr>
        <w:t>. The Company must send to each of its shareholders, whether or not their shares carry the right to vote, a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spacing w:after="0" w:line="184"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MEETINGS OF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Special Business</w:t>
      </w:r>
      <w:r>
        <w:rPr>
          <w:rFonts w:ascii="Arial" w:cs="Arial" w:eastAsia="Arial" w:hAnsi="Arial"/>
          <w:sz w:val="18"/>
          <w:szCs w:val="18"/>
          <w:color w:val="auto"/>
        </w:rPr>
        <w:t>. At a meeting of shareholders, the following business is special business:</w:t>
      </w:r>
    </w:p>
    <w:p>
      <w:pPr>
        <w:spacing w:after="0" w:line="229" w:lineRule="exact"/>
        <w:rPr>
          <w:sz w:val="20"/>
          <w:szCs w:val="20"/>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appointment of an auditor;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business arising out of a report of the directors not requiring the passing of a special resolution or an exceptional resolution; and</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- 7 -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960" w:hanging="656"/>
        <w:spacing w:after="0" w:line="277"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11.2 Special Majority</w:t>
      </w:r>
      <w:r>
        <w:rPr>
          <w:rFonts w:ascii="Arial" w:cs="Arial" w:eastAsia="Arial" w:hAnsi="Arial"/>
          <w:sz w:val="18"/>
          <w:szCs w:val="18"/>
          <w:color w:val="auto"/>
        </w:rPr>
        <w:t>. The majority of votes required for the Company to pass a special resolution at a meeting of shareholders is two-thirds of the votes</w:t>
      </w:r>
      <w:r>
        <w:rPr>
          <w:rFonts w:ascii="Arial" w:cs="Arial" w:eastAsia="Arial" w:hAnsi="Arial"/>
          <w:sz w:val="18"/>
          <w:szCs w:val="18"/>
          <w:b w:val="1"/>
          <w:bCs w:val="1"/>
          <w:color w:val="auto"/>
        </w:rPr>
        <w:t xml:space="preserve"> </w:t>
      </w:r>
      <w:r>
        <w:rPr>
          <w:rFonts w:ascii="Arial" w:cs="Arial" w:eastAsia="Arial" w:hAnsi="Arial"/>
          <w:sz w:val="18"/>
          <w:szCs w:val="18"/>
          <w:color w:val="auto"/>
        </w:rPr>
        <w:t>cast on the resolution.</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11.3 Quorum</w:t>
      </w:r>
      <w:r>
        <w:rPr>
          <w:rFonts w:ascii="Arial" w:cs="Arial" w:eastAsia="Arial" w:hAnsi="Arial"/>
          <w:sz w:val="18"/>
          <w:szCs w:val="18"/>
          <w:color w:val="auto"/>
        </w:rPr>
        <w:t>. Subject to the special rights and restrictions attached to the shares of any class or series of shares, the quorum for the transaction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at a meeting of shareholders is two persons who are, or who represent by proxy, shareholders who, in the aggregate, hold at least 5% of the issued shares entitled to be voted at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One Shareholder May Constitute Quorum</w:t>
      </w:r>
      <w:r>
        <w:rPr>
          <w:rFonts w:ascii="Arial" w:cs="Arial" w:eastAsia="Arial" w:hAnsi="Arial"/>
          <w:sz w:val="18"/>
          <w:szCs w:val="18"/>
          <w:color w:val="auto"/>
        </w:rPr>
        <w:t>. If there is only one shareholder entitled to vote at a meeting of shareholders:</w:t>
      </w:r>
    </w:p>
    <w:p>
      <w:pPr>
        <w:spacing w:after="0" w:line="229"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11.5 Meetings by Telephone or Other Communications Medium</w:t>
      </w:r>
      <w:r>
        <w:rPr>
          <w:rFonts w:ascii="Arial" w:cs="Arial" w:eastAsia="Arial" w:hAnsi="Arial"/>
          <w:sz w:val="17"/>
          <w:szCs w:val="17"/>
          <w:color w:val="auto"/>
        </w:rPr>
        <w:t>. A shareholder or proxy holder who is entitled to participate in, including vote at,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of shareholders may participate in person or by telephone or other communications medium if all shareholders and proxy holders participating in the meeting, whether in person or by telephone or other communications medium, are able to communicate with each other. A shareholder who participates in a meeting in a manner contemplated by this Article 11.5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 Nothing in this Article 11.5 obligates the Company to take any action or provide any facility to permit or facilitate the use of any communications mediums at a meeting of shareholders.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11.6 Other Persons May Attend</w:t>
      </w:r>
      <w:r>
        <w:rPr>
          <w:rFonts w:ascii="Arial" w:cs="Arial" w:eastAsia="Arial" w:hAnsi="Arial"/>
          <w:sz w:val="18"/>
          <w:szCs w:val="18"/>
          <w:color w:val="auto"/>
        </w:rPr>
        <w:t>. The directors, the president (if any), the secretary (if any), the assistant secretary (if any), any lawyer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11.7 Requirement of Quorum</w:t>
      </w:r>
      <w:r>
        <w:rPr>
          <w:rFonts w:ascii="Arial" w:cs="Arial" w:eastAsia="Arial" w:hAnsi="Arial"/>
          <w:sz w:val="18"/>
          <w:szCs w:val="18"/>
          <w:color w:val="auto"/>
        </w:rPr>
        <w:t>. No business, other than the election of a chair of the meeting and the adjournment of the meeting, may be transacted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unless a quorum of shareholders entitled to vote is present at the commencement of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11.8 Lack of Quorum</w:t>
      </w:r>
      <w:r>
        <w:rPr>
          <w:rFonts w:ascii="Arial" w:cs="Arial" w:eastAsia="Arial" w:hAnsi="Arial"/>
          <w:sz w:val="18"/>
          <w:szCs w:val="18"/>
          <w:color w:val="auto"/>
        </w:rPr>
        <w:t>. If, within one-half hour from the time set for the holding of a meeting of shareholders, a quorum is not present:</w:t>
      </w:r>
    </w:p>
    <w:p>
      <w:pPr>
        <w:spacing w:after="0" w:line="229"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general meeting convened by requisition of shareholders, the meeting is dissolved;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any other meeting of shareholders, the meeting stands adjourned to the same day in the next week at the same time and place, or at such other date, time or location as the chair specifies on the adjournment.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11.9 Lack of Quorum at Succeeding Meeting</w:t>
      </w:r>
      <w:r>
        <w:rPr>
          <w:rFonts w:ascii="Arial" w:cs="Arial" w:eastAsia="Arial" w:hAnsi="Arial"/>
          <w:sz w:val="18"/>
          <w:szCs w:val="18"/>
          <w:color w:val="auto"/>
        </w:rPr>
        <w:t>. If, at the meeting to which the first meeting referred to in Article 11.8(b) was adjourned, a quorum is not</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within one-half hour from the time set for the holding of the meeting the person or persons present and being, or representing by proxy, one or more shareholders entitled to attend and vote at the meeting constitute a quorum.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Chair</w:t>
      </w:r>
      <w:r>
        <w:rPr>
          <w:rFonts w:ascii="Arial" w:cs="Arial" w:eastAsia="Arial" w:hAnsi="Arial"/>
          <w:sz w:val="18"/>
          <w:szCs w:val="18"/>
          <w:color w:val="auto"/>
        </w:rPr>
        <w:t>. The following individual is entitled to preside as chair at a meeting of shareholders:</w:t>
      </w:r>
    </w:p>
    <w:p>
      <w:pPr>
        <w:spacing w:after="0" w:line="229"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chair of the board, if any;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chair of the board is absent or unwilling to act as chair of the meeting, the president, if any.</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11.11 Selection of Alternate Chair</w:t>
      </w:r>
      <w:r>
        <w:rPr>
          <w:rFonts w:ascii="Arial" w:cs="Arial" w:eastAsia="Arial" w:hAnsi="Arial"/>
          <w:sz w:val="18"/>
          <w:szCs w:val="18"/>
          <w:color w:val="auto"/>
        </w:rPr>
        <w:t>. If, at any meeting of shareholders, there is no chair of the board or president present within 15 minutes after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 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must choose one of their number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- 8 -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66" w:lineRule="auto"/>
        <w:rPr>
          <w:sz w:val="20"/>
          <w:szCs w:val="20"/>
          <w:color w:val="auto"/>
        </w:rPr>
      </w:pPr>
      <w:r>
        <w:rPr>
          <w:rFonts w:ascii="Arial" w:cs="Arial" w:eastAsia="Arial" w:hAnsi="Arial"/>
          <w:sz w:val="18"/>
          <w:szCs w:val="18"/>
          <w:b w:val="1"/>
          <w:bCs w:val="1"/>
          <w:color w:val="auto"/>
        </w:rPr>
        <w:t>11.12 Adjournments</w:t>
      </w:r>
      <w:r>
        <w:rPr>
          <w:rFonts w:ascii="Arial" w:cs="Arial" w:eastAsia="Arial" w:hAnsi="Arial"/>
          <w:sz w:val="18"/>
          <w:szCs w:val="18"/>
          <w:color w:val="auto"/>
        </w:rPr>
        <w:t>. The chair of a meeting of shareholders may, and if so directed by the meeting must, adjourn the meeting from time to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place to place, but no business may be transacted at any adjourned meeting other than the business left unfinished at the meeting from which the adjournment took place.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11.13 Notice of Adjourned Meeting</w:t>
      </w:r>
      <w:r>
        <w:rPr>
          <w:rFonts w:ascii="Arial" w:cs="Arial" w:eastAsia="Arial" w:hAnsi="Arial"/>
          <w:sz w:val="18"/>
          <w:szCs w:val="18"/>
          <w:color w:val="auto"/>
        </w:rPr>
        <w:t>. It is not necessary to give any notice of an adjourned meeting or of the business to be transacted at an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except that, when a meeting is adjourned for 30 days or more, notice of the adjourned meeting must be given as in the case of the original meeting.</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11.14 Decisions by Show of Hands or Poll</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decided on a show of hands or the functional equivalent of a show of hands by means of telephonic, electronic or other communications facilities, unless a poll, before or on the declaration of the result of the vote by show of hands (or its functional equivalent), is directed by the chair or demanded by at least one shareholder entitled to vote who is present in person or by proxy.</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11.15 Declaration of Result</w:t>
      </w:r>
      <w:r>
        <w:rPr>
          <w:rFonts w:ascii="Arial" w:cs="Arial" w:eastAsia="Arial" w:hAnsi="Arial"/>
          <w:sz w:val="16"/>
          <w:szCs w:val="16"/>
          <w:color w:val="auto"/>
        </w:rPr>
        <w:t>. The chair of a meeting of shareholders must declare to the meeting the decision on every question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the show of hands (or its functional equivalent) or the poll, as the case may be, and that decision must be entered in the minutes of the meeting. A declaration of the chair that a resolution is carried by the necessary majority or is defeated is, unless a poll is directed by the chair or demanded under Article 11.14, conclusive evidence without proof of the number or proportion of the votes recorded in favour of or against the resolution.</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11.16 Motion Need Not Be Seconded</w:t>
      </w:r>
      <w:r>
        <w:rPr>
          <w:rFonts w:ascii="Arial" w:cs="Arial" w:eastAsia="Arial" w:hAnsi="Arial"/>
          <w:sz w:val="18"/>
          <w:szCs w:val="18"/>
          <w:color w:val="auto"/>
        </w:rPr>
        <w:t>. No motion proposed at a meeting of shareholders need be seconded unless the chair of the meeting rules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chair of any meeting of shareholders is entitled to propose or second a motion.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11.17 Casting Vote</w:t>
      </w:r>
      <w:r>
        <w:rPr>
          <w:rFonts w:ascii="Arial" w:cs="Arial" w:eastAsia="Arial" w:hAnsi="Arial"/>
          <w:sz w:val="18"/>
          <w:szCs w:val="18"/>
          <w:color w:val="auto"/>
        </w:rPr>
        <w:t>. In case of an equality of votes, the chair of a meeting of shareholders does not, either on a show of hands or on a poll, have a second or</w:t>
      </w:r>
      <w:r>
        <w:rPr>
          <w:rFonts w:ascii="Arial" w:cs="Arial" w:eastAsia="Arial" w:hAnsi="Arial"/>
          <w:sz w:val="18"/>
          <w:szCs w:val="18"/>
          <w:b w:val="1"/>
          <w:bCs w:val="1"/>
          <w:color w:val="auto"/>
        </w:rPr>
        <w:t xml:space="preserve"> </w:t>
      </w:r>
      <w:r>
        <w:rPr>
          <w:rFonts w:ascii="Arial" w:cs="Arial" w:eastAsia="Arial" w:hAnsi="Arial"/>
          <w:sz w:val="18"/>
          <w:szCs w:val="18"/>
          <w:color w:val="auto"/>
        </w:rPr>
        <w:t>casting vote in addition to the vote or votes to which the chair may be entitled as a shareholder.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11.18 Manner of Taking a Poll</w:t>
      </w:r>
      <w:r>
        <w:rPr>
          <w:rFonts w:ascii="Arial" w:cs="Arial" w:eastAsia="Arial" w:hAnsi="Arial"/>
          <w:sz w:val="18"/>
          <w:szCs w:val="18"/>
          <w:color w:val="auto"/>
        </w:rPr>
        <w:t>. Subject to Article 11.19, if a poll is duly demanded at a meeting of shareholders:</w:t>
      </w:r>
    </w:p>
    <w:p>
      <w:pPr>
        <w:spacing w:after="0" w:line="229"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poll must be taken: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at the meeting, or within seven days after the date of the meeting, as the chair of the meeting directs;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manner, at the time and at the place that the chair of the meeting directs;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 of the poll is deemed to be a resolution of and passed at the meeting at which the poll is demanded;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the poll may be withdrawn by the person who demanded it.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11.19 Demand for a Poll on Adjournment</w:t>
      </w:r>
      <w:r>
        <w:rPr>
          <w:rFonts w:ascii="Arial" w:cs="Arial" w:eastAsia="Arial" w:hAnsi="Arial"/>
          <w:sz w:val="18"/>
          <w:szCs w:val="18"/>
          <w:color w:val="auto"/>
        </w:rPr>
        <w:t>. A poll demanded at a meeting of shareholders on a question of adjournment must be taken immediately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11.20 Chair Must Resolve Dispute</w:t>
      </w:r>
      <w:r>
        <w:rPr>
          <w:rFonts w:ascii="Arial" w:cs="Arial" w:eastAsia="Arial" w:hAnsi="Arial"/>
          <w:sz w:val="18"/>
          <w:szCs w:val="18"/>
          <w:color w:val="auto"/>
        </w:rPr>
        <w:t>. In the case of any dispute as to the admission or rejection of a vote given on a poll, the chair of the meeting must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dispute, and his or her determination made in good faith is final and conclusive.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11.21 Casting of Votes</w:t>
      </w:r>
      <w:r>
        <w:rPr>
          <w:rFonts w:ascii="Arial" w:cs="Arial" w:eastAsia="Arial" w:hAnsi="Arial"/>
          <w:sz w:val="18"/>
          <w:szCs w:val="18"/>
          <w:color w:val="auto"/>
        </w:rPr>
        <w:t>. On a poll, a shareholder entitled to more than one vote need not cast all the votes in the same 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11.22 Demand for Poll</w:t>
      </w:r>
      <w:r>
        <w:rPr>
          <w:rFonts w:ascii="Arial" w:cs="Arial" w:eastAsia="Arial" w:hAnsi="Arial"/>
          <w:sz w:val="18"/>
          <w:szCs w:val="18"/>
          <w:color w:val="auto"/>
        </w:rPr>
        <w:t>. No poll may be demanded in respect of the vote by which a chair of a meeting of shareholders is elected.</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11.23 Demand for a Poll Not to Prevent Continuation of Meeting</w:t>
      </w:r>
      <w:r>
        <w:rPr>
          <w:rFonts w:ascii="Arial" w:cs="Arial" w:eastAsia="Arial" w:hAnsi="Arial"/>
          <w:sz w:val="16"/>
          <w:szCs w:val="16"/>
          <w:color w:val="auto"/>
        </w:rPr>
        <w:t>. The demand for a poll at a meeting of shareholders does not, unless the chair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so rules, prevent the continuation of a meeting for the transaction of any business other than the question on which a poll has been demanded.</w:t>
      </w:r>
    </w:p>
    <w:p>
      <w:pPr>
        <w:spacing w:after="0" w:line="1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11.24 Retention of Ballots and Proxies</w:t>
      </w:r>
      <w:r>
        <w:rPr>
          <w:rFonts w:ascii="Arial" w:cs="Arial" w:eastAsia="Arial" w:hAnsi="Arial"/>
          <w:sz w:val="16"/>
          <w:szCs w:val="16"/>
          <w:color w:val="auto"/>
        </w:rPr>
        <w:t>. The Company must, for at least three months after a meeting of shareholders, keep each ballot cast on a poll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proxy voted at the meeting, and, during that period, make them available for inspection during statutory business hours by any shareholder or proxy holder entitled to vote at the meeting. At the end of such three month period, the Company may destroy such ballots and proxies.</w:t>
      </w:r>
    </w:p>
    <w:p>
      <w:pPr>
        <w:spacing w:after="0" w:line="35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- 9 -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8"/>
          <w:szCs w:val="18"/>
          <w:b w:val="1"/>
          <w:bCs w:val="1"/>
          <w:color w:val="auto"/>
        </w:rPr>
        <w:t>11.25 Electronic Voting</w:t>
      </w:r>
      <w:r>
        <w:rPr>
          <w:rFonts w:ascii="Arial" w:cs="Arial" w:eastAsia="Arial" w:hAnsi="Arial"/>
          <w:sz w:val="18"/>
          <w:szCs w:val="18"/>
          <w:color w:val="auto"/>
        </w:rPr>
        <w:t>. Any vote at a meeting of shareholders may be held entirely or partially by means of telephonic, electronic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facilities if the directors determine to make them available whether or not persons entitled to attend participate in the meeting by means of telephonic, electronic or other communications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SHAREHOLDERS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12.1 Number of Votes by Shareholder or by Shares</w:t>
      </w:r>
      <w:r>
        <w:rPr>
          <w:rFonts w:ascii="Arial" w:cs="Arial" w:eastAsia="Arial" w:hAnsi="Arial"/>
          <w:sz w:val="18"/>
          <w:szCs w:val="18"/>
          <w:color w:val="auto"/>
        </w:rPr>
        <w:t>. Subject to any special rights or restrictions attached to any shares and to the restrictions imposed on</w:t>
      </w:r>
      <w:r>
        <w:rPr>
          <w:rFonts w:ascii="Arial" w:cs="Arial" w:eastAsia="Arial" w:hAnsi="Arial"/>
          <w:sz w:val="18"/>
          <w:szCs w:val="18"/>
          <w:b w:val="1"/>
          <w:bCs w:val="1"/>
          <w:color w:val="auto"/>
        </w:rPr>
        <w:t xml:space="preserve"> </w:t>
      </w:r>
      <w:r>
        <w:rPr>
          <w:rFonts w:ascii="Arial" w:cs="Arial" w:eastAsia="Arial" w:hAnsi="Arial"/>
          <w:sz w:val="18"/>
          <w:szCs w:val="18"/>
          <w:color w:val="auto"/>
        </w:rPr>
        <w:t>joint registered holders of shares under Article 12.3:</w:t>
      </w:r>
    </w:p>
    <w:p>
      <w:pPr>
        <w:spacing w:after="0" w:line="166" w:lineRule="exact"/>
        <w:rPr>
          <w:sz w:val="20"/>
          <w:szCs w:val="20"/>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 vote by show of hands (or its functional equivalent), every person present who is a shareholder or proxy holder and entitled to vote at the meeting has one vote,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 poll, every shareholder entitled to vote at the meeting has one vote in respect of each share held by that shareholder and may exercise that vote either in person or by proxy.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12.2 Votes of Persons in Representative Capacity</w:t>
      </w:r>
      <w:r>
        <w:rPr>
          <w:rFonts w:ascii="Arial" w:cs="Arial" w:eastAsia="Arial" w:hAnsi="Arial"/>
          <w:sz w:val="17"/>
          <w:szCs w:val="17"/>
          <w:color w:val="auto"/>
        </w:rPr>
        <w:t>. A person who is not a shareholder may vote at a meeting of shareholders, whether on a show of hands</w:t>
      </w:r>
      <w:r>
        <w:rPr>
          <w:rFonts w:ascii="Arial" w:cs="Arial" w:eastAsia="Arial" w:hAnsi="Arial"/>
          <w:sz w:val="17"/>
          <w:szCs w:val="17"/>
          <w:b w:val="1"/>
          <w:bCs w:val="1"/>
          <w:color w:val="auto"/>
        </w:rPr>
        <w:t xml:space="preserve"> </w:t>
      </w:r>
      <w:r>
        <w:rPr>
          <w:rFonts w:ascii="Arial" w:cs="Arial" w:eastAsia="Arial" w:hAnsi="Arial"/>
          <w:sz w:val="17"/>
          <w:szCs w:val="17"/>
          <w:color w:val="auto"/>
        </w:rPr>
        <w:t>or on a poll, and may appoint a proxy holder to act at the meeting, if, before doing so, the person satisfies the chair of the meeting, or the directors, that the person is the legal personal representative or a trustee in bankruptcy for a shareholder who is entitled to vote at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Votes by Joint Shareholders</w:t>
      </w:r>
      <w:r>
        <w:rPr>
          <w:rFonts w:ascii="Arial" w:cs="Arial" w:eastAsia="Arial" w:hAnsi="Arial"/>
          <w:sz w:val="18"/>
          <w:szCs w:val="18"/>
          <w:color w:val="auto"/>
        </w:rPr>
        <w:t>. If there are joint shareholders registered in respect of any share:</w:t>
      </w:r>
    </w:p>
    <w:p>
      <w:pPr>
        <w:spacing w:after="0" w:line="229" w:lineRule="exact"/>
        <w:rPr>
          <w:sz w:val="20"/>
          <w:szCs w:val="20"/>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either personally or by proxy, in respect of the share as if that joint shareholder were solely entitled to it; or</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12.4 Legal Personal Representatives as Joint Shareholders</w:t>
      </w:r>
      <w:r>
        <w:rPr>
          <w:rFonts w:ascii="Arial" w:cs="Arial" w:eastAsia="Arial" w:hAnsi="Arial"/>
          <w:sz w:val="18"/>
          <w:szCs w:val="18"/>
          <w:color w:val="auto"/>
        </w:rPr>
        <w:t>. Two or more legal personal representatives of a shareholder in whose sole name any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are, for the purposes of Article 12.3, deemed to be joint shareholders.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12.5 Representative of a Corporate Shareholder</w:t>
      </w:r>
      <w:r>
        <w:rPr>
          <w:rFonts w:ascii="Arial" w:cs="Arial" w:eastAsia="Arial" w:hAnsi="Arial"/>
          <w:sz w:val="18"/>
          <w:szCs w:val="18"/>
          <w:color w:val="auto"/>
        </w:rPr>
        <w:t>. If a corporation that is not a subsidiary of the Company is a shareholder, that corporation may appoint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to act as its representative at any meeting of shareholders of the Company, and:</w:t>
      </w:r>
    </w:p>
    <w:p>
      <w:pPr>
        <w:spacing w:after="0" w:line="166"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is specified, two days before the day set for the holding of the meeting; or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38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- 10 -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12.6 Proxy Provisions Do Not Apply to All Companies</w:t>
      </w:r>
      <w:r>
        <w:rPr>
          <w:rFonts w:ascii="Arial" w:cs="Arial" w:eastAsia="Arial" w:hAnsi="Arial"/>
          <w:sz w:val="18"/>
          <w:szCs w:val="18"/>
          <w:color w:val="auto"/>
        </w:rPr>
        <w:t>. If and for so long as it is a public company, Articles 12.7 to 12.15 apply only insofar as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inconsistent with any Canadian securities legislation applicable to the Company, any U.S. securities legislation applicable to the Company or any rules of an exchange on which securities of the Company are listed.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12.7 Appointment of Proxy Holder</w:t>
      </w:r>
      <w:r>
        <w:rPr>
          <w:rFonts w:ascii="Arial" w:cs="Arial" w:eastAsia="Arial" w:hAnsi="Arial"/>
          <w:sz w:val="18"/>
          <w:szCs w:val="18"/>
          <w:color w:val="auto"/>
        </w:rPr>
        <w:t>. Every shareholder of the Company, including a corporation that is a shareholder but not a subsidiary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vote at a meeting of shareholders of the Company may, by proxy, appoint one or more (but not more than five) proxy holders to attend and act at the meeting in the manner, to the extent and with the powers conferred by the proxy.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12.8 Alternate Proxy Holders</w:t>
      </w:r>
      <w:r>
        <w:rPr>
          <w:rFonts w:ascii="Arial" w:cs="Arial" w:eastAsia="Arial" w:hAnsi="Arial"/>
          <w:sz w:val="18"/>
          <w:szCs w:val="18"/>
          <w:color w:val="auto"/>
        </w:rPr>
        <w:t>. A shareholder may appoint one or more alternate proxy holders to act in the place of an absent proxy holder.</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12.9 When Proxy Holder Need Not Be Shareholder</w:t>
      </w:r>
      <w:r>
        <w:rPr>
          <w:rFonts w:ascii="Arial" w:cs="Arial" w:eastAsia="Arial" w:hAnsi="Arial"/>
          <w:sz w:val="18"/>
          <w:szCs w:val="18"/>
          <w:color w:val="auto"/>
        </w:rPr>
        <w:t>. A person must not be appointed as a proxy holder unless the person is a shareholder, although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not a shareholder may be appointed as a proxy holder if:</w:t>
      </w:r>
    </w:p>
    <w:p>
      <w:pPr>
        <w:spacing w:after="0" w:line="16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12.10 Deposit of Proxy</w:t>
      </w:r>
      <w:r>
        <w:rPr>
          <w:rFonts w:ascii="Arial" w:cs="Arial" w:eastAsia="Arial" w:hAnsi="Arial"/>
          <w:sz w:val="18"/>
          <w:szCs w:val="18"/>
          <w:color w:val="auto"/>
        </w:rPr>
        <w:t>. A proxy for a meeting of shareholders must:</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12.11 Validity of Proxy Vote</w:t>
      </w:r>
      <w:r>
        <w:rPr>
          <w:rFonts w:ascii="Arial" w:cs="Arial" w:eastAsia="Arial" w:hAnsi="Arial"/>
          <w:sz w:val="18"/>
          <w:szCs w:val="18"/>
          <w:color w:val="auto"/>
        </w:rPr>
        <w:t>. A vote given in accordance with the terms of a proxy is valid notwithstanding the death or incapacity of the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proxy and despite the revocation of the proxy or the revocation of the authority under which the proxy is given, unless notice in writing of that death, incapacity or revocation is received:</w:t>
      </w:r>
    </w:p>
    <w:p>
      <w:pPr>
        <w:spacing w:after="0" w:line="180" w:lineRule="exact"/>
        <w:rPr>
          <w:sz w:val="20"/>
          <w:szCs w:val="20"/>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12.12 Form of Proxy</w:t>
      </w:r>
      <w:r>
        <w:rPr>
          <w:rFonts w:ascii="Arial" w:cs="Arial" w:eastAsia="Arial" w:hAnsi="Arial"/>
          <w:sz w:val="18"/>
          <w:szCs w:val="18"/>
          <w:color w:val="auto"/>
        </w:rPr>
        <w:t>. A proxy, whether for a specified meeting or otherwise, must be either in the following form or in any other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chair of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undersigned, being a shareholder of the Company, hereby appoints [name] or, failing that person, [name], as proxy holder for the undersigned to attend, act and vote for and on behalf of the undersigned at the meeting of shareholders to be held on [month, day, year] and at any adjournment of that meeting.</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Number of shares in respect of which this proxy is given (if no number is specified, then this proxy is given in respect of all shares registered in the name of the shareholder): ______________</w:t>
      </w:r>
    </w:p>
    <w:p>
      <w:pPr>
        <w:spacing w:after="0" w:line="38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000"/>
        <w:spacing w:after="0"/>
        <w:rPr>
          <w:sz w:val="20"/>
          <w:szCs w:val="20"/>
          <w:color w:val="auto"/>
        </w:rPr>
      </w:pPr>
      <w:r>
        <w:rPr>
          <w:rFonts w:ascii="Arial" w:cs="Arial" w:eastAsia="Arial" w:hAnsi="Arial"/>
          <w:sz w:val="18"/>
          <w:szCs w:val="18"/>
          <w:color w:val="auto"/>
        </w:rPr>
        <w:t>Signed this ____ day of _______,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288925</wp:posOffset>
            </wp:positionV>
            <wp:extent cx="25031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288925</wp:posOffset>
            </wp:positionV>
            <wp:extent cx="25031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Name of shareholder—printed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12.13 Revocation of Proxy</w:t>
      </w:r>
      <w:r>
        <w:rPr>
          <w:rFonts w:ascii="Arial" w:cs="Arial" w:eastAsia="Arial" w:hAnsi="Arial"/>
          <w:sz w:val="18"/>
          <w:szCs w:val="18"/>
          <w:color w:val="auto"/>
        </w:rPr>
        <w:t>. Subject to Article 12.14, every proxy may be revoked by an instrument in writing that is:</w:t>
      </w:r>
    </w:p>
    <w:p>
      <w:pPr>
        <w:spacing w:after="0" w:line="229"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12.14 Revocation of Proxy Must Be Signed</w:t>
      </w:r>
      <w:r>
        <w:rPr>
          <w:rFonts w:ascii="Arial" w:cs="Arial" w:eastAsia="Arial" w:hAnsi="Arial"/>
          <w:sz w:val="18"/>
          <w:szCs w:val="18"/>
          <w:color w:val="auto"/>
        </w:rPr>
        <w:t>. An instrument referred to in Article 12.13 must be signed as follows:</w:t>
      </w:r>
    </w:p>
    <w:p>
      <w:pPr>
        <w:spacing w:after="0" w:line="229" w:lineRule="exact"/>
        <w:rPr>
          <w:sz w:val="20"/>
          <w:szCs w:val="20"/>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12.15 Production of Evidence of Authority to Vote</w:t>
      </w:r>
      <w:r>
        <w:rPr>
          <w:rFonts w:ascii="Arial" w:cs="Arial" w:eastAsia="Arial" w:hAnsi="Arial"/>
          <w:sz w:val="17"/>
          <w:szCs w:val="17"/>
          <w:color w:val="auto"/>
        </w:rPr>
        <w:t>. The chair of any meeting of shareholders may, but need not, inquire into the authority of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to vote at the meeting and may, but need not, demand from that person production of evidence as to the existence of the authority to vote.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Number of Directors</w:t>
      </w:r>
      <w:r>
        <w:rPr>
          <w:rFonts w:ascii="Arial" w:cs="Arial" w:eastAsia="Arial" w:hAnsi="Arial"/>
          <w:sz w:val="18"/>
          <w:szCs w:val="18"/>
          <w:color w:val="auto"/>
        </w:rPr>
        <w:t>. The number of directors, excluding additional directors appointed under Article 14.8, is set at:</w:t>
      </w:r>
    </w:p>
    <w:p>
      <w:pPr>
        <w:spacing w:after="0" w:line="229"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Company is a public company, the greater of three and the most recently set of:</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directors set by ordinary resolution (whether or not previous notice of the resolution was given);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directors set under Article 14.4;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directors set by ordinary resolution (whether or not previous notice of the resolution was given);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number of directors set under Article 14.4.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Change in Number of Directors</w:t>
      </w:r>
      <w:r>
        <w:rPr>
          <w:rFonts w:ascii="Arial" w:cs="Arial" w:eastAsia="Arial" w:hAnsi="Arial"/>
          <w:sz w:val="18"/>
          <w:szCs w:val="18"/>
          <w:color w:val="auto"/>
        </w:rPr>
        <w:t>. If the number of directors is set under Articles 13.1(a)(i) or 13.1(b)(i):</w:t>
      </w:r>
    </w:p>
    <w:p>
      <w:pPr>
        <w:spacing w:after="0" w:line="229"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shareholders may elect or appoint the directors needed to fill any vacancies in the board of directors up to that number;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13.3 Directors’ Acts Valid Despite Vacancy </w:t>
      </w:r>
      <w:r>
        <w:rPr>
          <w:rFonts w:ascii="Arial" w:cs="Arial" w:eastAsia="Arial" w:hAnsi="Arial"/>
          <w:sz w:val="18"/>
          <w:szCs w:val="18"/>
          <w:color w:val="auto"/>
        </w:rPr>
        <w:t>. An act or proceeding of the directors is not invalid merely because fewer than the number of directors set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required under these Articles is in office.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13.4 Qualifications of Directors</w:t>
      </w:r>
      <w:r>
        <w:rPr>
          <w:rFonts w:ascii="Arial" w:cs="Arial" w:eastAsia="Arial" w:hAnsi="Arial"/>
          <w:sz w:val="18"/>
          <w:szCs w:val="18"/>
          <w:color w:val="auto"/>
        </w:rPr>
        <w:t>. A director is not required to hold a share in the capital of the Company as qualification for his or her office but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qualified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to become, act or continue to act as a director.</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289" w:lineRule="auto"/>
        <w:rPr>
          <w:sz w:val="20"/>
          <w:szCs w:val="20"/>
          <w:color w:val="auto"/>
        </w:rPr>
      </w:pPr>
      <w:r>
        <w:rPr>
          <w:rFonts w:ascii="Arial" w:cs="Arial" w:eastAsia="Arial" w:hAnsi="Arial"/>
          <w:sz w:val="17"/>
          <w:szCs w:val="17"/>
          <w:b w:val="1"/>
          <w:bCs w:val="1"/>
          <w:color w:val="auto"/>
        </w:rPr>
        <w:t>13.5 Remuneration of Directors</w:t>
      </w:r>
      <w:r>
        <w:rPr>
          <w:rFonts w:ascii="Arial" w:cs="Arial" w:eastAsia="Arial" w:hAnsi="Arial"/>
          <w:sz w:val="17"/>
          <w:szCs w:val="17"/>
          <w:color w:val="auto"/>
        </w:rPr>
        <w:t>. The directors are entitled to the remuneration for acting as directors, if any, as the directors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13.6 Reimbursement of Expenses of Directors</w:t>
      </w:r>
      <w:r>
        <w:rPr>
          <w:rFonts w:ascii="Arial" w:cs="Arial" w:eastAsia="Arial" w:hAnsi="Arial"/>
          <w:sz w:val="18"/>
          <w:szCs w:val="18"/>
          <w:color w:val="auto"/>
        </w:rPr>
        <w:t>. The Company must reimburse each director for the reasonable expenses that he or she may incur in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capacity as director in and about the business of the Company.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13.7 Special Remuneration for Directors</w:t>
      </w:r>
      <w:r>
        <w:rPr>
          <w:rFonts w:ascii="Arial" w:cs="Arial" w:eastAsia="Arial" w:hAnsi="Arial"/>
          <w:sz w:val="18"/>
          <w:szCs w:val="18"/>
          <w:color w:val="auto"/>
        </w:rPr>
        <w:t>. If any director performs any professional or other services for the Company that in the opinion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13.8 Gratuity, Pension or Allowance on Retirement of Director</w:t>
      </w:r>
      <w:r>
        <w:rPr>
          <w:rFonts w:ascii="Arial" w:cs="Arial" w:eastAsia="Arial" w:hAnsi="Arial"/>
          <w:sz w:val="18"/>
          <w:szCs w:val="18"/>
          <w:color w:val="auto"/>
        </w:rPr>
        <w:t>. Unless otherwise determined by ordinary resolution, the directors may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14</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ELECTION AND REMOVAL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 Election at Annual General Meeting</w:t>
      </w:r>
      <w:r>
        <w:rPr>
          <w:rFonts w:ascii="Arial" w:cs="Arial" w:eastAsia="Arial" w:hAnsi="Arial"/>
          <w:sz w:val="17"/>
          <w:szCs w:val="17"/>
          <w:color w:val="auto"/>
        </w:rPr>
        <w:t>. At every annual general meeting and in every unanimous resolution contemplated by Article 10.2:</w:t>
      </w:r>
    </w:p>
    <w:p>
      <w:pPr>
        <w:spacing w:after="0" w:line="241" w:lineRule="exact"/>
        <w:rPr>
          <w:sz w:val="20"/>
          <w:szCs w:val="20"/>
          <w:color w:val="auto"/>
        </w:rPr>
      </w:pPr>
    </w:p>
    <w:p>
      <w:pPr>
        <w:ind w:left="1300" w:right="1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shareholders entitled to vote at the annual general meeting for the election of directors must elect, or in the unanimous resolution appoint, a board of directors consisting of the number of directors for the time being set under these Articles;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the directors cease to hold office immediately before the election or appointment of directors under paragraph (a), but are eligible for re-election or re-appointment.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Consent to be a Director</w:t>
      </w:r>
      <w:r>
        <w:rPr>
          <w:rFonts w:ascii="Arial" w:cs="Arial" w:eastAsia="Arial" w:hAnsi="Arial"/>
          <w:sz w:val="18"/>
          <w:szCs w:val="18"/>
          <w:color w:val="auto"/>
        </w:rPr>
        <w:t>. No election, appointment or designation of an individual as a director is valid unless:</w:t>
      </w:r>
    </w:p>
    <w:p>
      <w:pPr>
        <w:spacing w:after="0" w:line="22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Failure to Elect or Appoint Directors</w:t>
      </w:r>
      <w:r>
        <w:rPr>
          <w:rFonts w:ascii="Arial" w:cs="Arial" w:eastAsia="Arial" w:hAnsi="Arial"/>
          <w:sz w:val="18"/>
          <w:szCs w:val="18"/>
          <w:color w:val="auto"/>
        </w:rPr>
        <w:t>. If:</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or in the unanimous resolution contemplated by Article 10.2, to elect or appoint any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each director then in office continues to hold office until the earlier of:</w:t>
      </w:r>
    </w:p>
    <w:p>
      <w:pPr>
        <w:spacing w:after="0" w:line="225"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his or her successor is elected or appointed;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date on which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14.4 Places of Retiring Directors Not Filled</w:t>
      </w:r>
      <w:r>
        <w:rPr>
          <w:rFonts w:ascii="Arial" w:cs="Arial" w:eastAsia="Arial" w:hAnsi="Arial"/>
          <w:sz w:val="18"/>
          <w:szCs w:val="18"/>
          <w:color w:val="auto"/>
        </w:rPr>
        <w:t>. If, at any meeting of shareholders at which there should be an election of directors, the places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- 13 -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14.5 Directors May Fill Casual Vacancies</w:t>
      </w:r>
      <w:r>
        <w:rPr>
          <w:rFonts w:ascii="Arial" w:cs="Arial" w:eastAsia="Arial" w:hAnsi="Arial"/>
          <w:sz w:val="18"/>
          <w:szCs w:val="18"/>
          <w:color w:val="auto"/>
        </w:rPr>
        <w:t>. Any casual vacancy occurring in the board of directors may be filled by the directors.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14.6 Remaining Directors Power to Act</w:t>
      </w:r>
      <w:r>
        <w:rPr>
          <w:rFonts w:ascii="Arial" w:cs="Arial" w:eastAsia="Arial" w:hAnsi="Arial"/>
          <w:sz w:val="18"/>
          <w:szCs w:val="18"/>
          <w:color w:val="auto"/>
        </w:rPr>
        <w:t>. The directors may act notwithstanding any vacancy in the board of directors, but if the Company has fewer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for any other purpose.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14.7 Shareholders May Fill Vacancies</w:t>
      </w:r>
      <w:r>
        <w:rPr>
          <w:rFonts w:ascii="Arial" w:cs="Arial" w:eastAsia="Arial" w:hAnsi="Arial"/>
          <w:sz w:val="18"/>
          <w:szCs w:val="18"/>
          <w:color w:val="auto"/>
        </w:rPr>
        <w:t>. If the Company has no directors or fewer directors in office than the number set pursuant to these Articles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quorum of directors, the shareholders may elect or appoint directors to fill any vacancies on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14.8 Additional Directors</w:t>
      </w:r>
      <w:r>
        <w:rPr>
          <w:rFonts w:ascii="Arial" w:cs="Arial" w:eastAsia="Arial" w:hAnsi="Arial"/>
          <w:sz w:val="16"/>
          <w:szCs w:val="16"/>
          <w:color w:val="auto"/>
        </w:rPr>
        <w:t>. Notwithstanding Articles 13.1 and 13.2, between annual general meetings or unanimous resolutions contemplated by Article</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10.2, the directors may appoint one or more additional directors, but the number of additional directors appointed under this Article 14.8 must not at any time exceed:</w:t>
      </w:r>
    </w:p>
    <w:p>
      <w:pPr>
        <w:spacing w:after="0" w:line="185" w:lineRule="exact"/>
        <w:rPr>
          <w:sz w:val="20"/>
          <w:szCs w:val="20"/>
          <w:color w:val="auto"/>
        </w:rPr>
      </w:pPr>
    </w:p>
    <w:p>
      <w:pPr>
        <w:ind w:left="1300" w:right="2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Any director so appointed ceases to hold office immediately before the next election or appointment of directors under Article 14.1(a), but is eligible for re-election or re-appointment.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14.9 Ceasing to be a Director</w:t>
      </w:r>
      <w:r>
        <w:rPr>
          <w:rFonts w:ascii="Arial" w:cs="Arial" w:eastAsia="Arial" w:hAnsi="Arial"/>
          <w:sz w:val="18"/>
          <w:szCs w:val="18"/>
          <w:color w:val="auto"/>
        </w:rPr>
        <w:t>. A director ceases to be a director when:</w:t>
      </w:r>
    </w:p>
    <w:p>
      <w:pPr>
        <w:spacing w:after="0" w:line="229"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 resigns as a director by notice in writing provided to the Company or a lawyer for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14.10 Removal of Director by Shareholders</w:t>
      </w:r>
      <w:r>
        <w:rPr>
          <w:rFonts w:ascii="Arial" w:cs="Arial" w:eastAsia="Arial" w:hAnsi="Arial"/>
          <w:sz w:val="18"/>
          <w:szCs w:val="18"/>
          <w:color w:val="auto"/>
        </w:rPr>
        <w:t>. The Company may remove any director before the expiration of his or her term of office by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14.11 Removal of Director by Directors</w:t>
      </w:r>
      <w:r>
        <w:rPr>
          <w:rFonts w:ascii="Arial" w:cs="Arial" w:eastAsia="Arial" w:hAnsi="Arial"/>
          <w:sz w:val="18"/>
          <w:szCs w:val="18"/>
          <w:color w:val="auto"/>
        </w:rPr>
        <w:t>. The board may remove any director before the expiration of his or her term of office if the director is convicted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 indictable offence, or if the director ceases to be qualified to act as a director of a company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does not promptly resign, and the board may appoint a director to fill the resulting vacancy.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ADVANCE NOTICE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 Definitions</w:t>
      </w:r>
      <w:r>
        <w:rPr>
          <w:rFonts w:ascii="Arial" w:cs="Arial" w:eastAsia="Arial" w:hAnsi="Arial"/>
          <w:sz w:val="18"/>
          <w:szCs w:val="18"/>
          <w:color w:val="auto"/>
        </w:rPr>
        <w:t>. In this Part 15, unless the context otherwise requires:</w:t>
      </w:r>
    </w:p>
    <w:p>
      <w:pPr>
        <w:spacing w:after="0" w:line="225" w:lineRule="exact"/>
        <w:rPr>
          <w:sz w:val="20"/>
          <w:szCs w:val="20"/>
          <w:color w:val="auto"/>
        </w:rPr>
      </w:pPr>
    </w:p>
    <w:p>
      <w:pPr>
        <w:jc w:val="both"/>
        <w:ind w:left="1300" w:hanging="644"/>
        <w:spacing w:after="0" w:line="281"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Securities Laws</w:t>
      </w:r>
      <w:r>
        <w:rPr>
          <w:rFonts w:ascii="Arial" w:cs="Arial" w:eastAsia="Arial" w:hAnsi="Arial"/>
          <w:sz w:val="17"/>
          <w:szCs w:val="17"/>
          <w:color w:val="auto"/>
        </w:rPr>
        <w:t>” means the applicable securities statutes of each relevant state, province and territory of the United States and Canada, as applicable, as amended from time to time, the rules, regulations and forms made or promulgated under any such statute and the published national instruments, multilateral instruments, policies, bulletins and notices of the securities commission and similar regulatory authority of each relevant state, province and territory of the United States and Canada;</w:t>
      </w:r>
    </w:p>
    <w:p>
      <w:pPr>
        <w:spacing w:after="0" w:line="381"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- 14 -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1300" w:hanging="644"/>
        <w:spacing w:after="0" w:line="281"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includes an individual, firm, association, trustee, executor, administrator, legal or personal representative, body corporate, company, corporation, trust, partnership, limited partnership, joint venture, syndicate or other form of unincorporated association, a government and its agencies or instrumentalities, any entity or group (whether or not having legal personality), any successor (by merger, statutory amalgamation or otherwise) and any of the foregoing acting in any derivative, representative or fiduciary capacity;</w:t>
      </w:r>
    </w:p>
    <w:p>
      <w:pPr>
        <w:spacing w:after="0" w:line="164" w:lineRule="exact"/>
        <w:rPr>
          <w:rFonts w:ascii="Arial" w:cs="Arial" w:eastAsia="Arial" w:hAnsi="Arial"/>
          <w:sz w:val="17"/>
          <w:szCs w:val="17"/>
          <w:color w:val="auto"/>
        </w:rPr>
      </w:pPr>
    </w:p>
    <w:p>
      <w:pPr>
        <w:jc w:val="both"/>
        <w:ind w:left="1300" w:hanging="644"/>
        <w:spacing w:after="0" w:line="26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Announcement</w:t>
      </w:r>
      <w:r>
        <w:rPr>
          <w:rFonts w:ascii="Arial" w:cs="Arial" w:eastAsia="Arial" w:hAnsi="Arial"/>
          <w:sz w:val="18"/>
          <w:szCs w:val="18"/>
          <w:color w:val="auto"/>
        </w:rPr>
        <w:t>” shall mean disclosure in a press release reported by a national news service in the United States, or in a document publicly filed by the Company with the Securities and Exchange Commission pursuant to Section 13, 14 or 15(d) of the Securities Exchange Act of 1934, as amended.</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15.2 Nomination of Directors</w:t>
      </w:r>
      <w:r>
        <w:rPr>
          <w:rFonts w:ascii="Arial" w:cs="Arial" w:eastAsia="Arial" w:hAnsi="Arial"/>
          <w:sz w:val="18"/>
          <w:szCs w:val="18"/>
          <w:color w:val="auto"/>
        </w:rPr>
        <w:t>. Only Persons who are eligible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who are nominated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herein shall be eligible for election as directors of the Company. At any annual general meeting of shareholders, or any special meeting of shareholders if one of the purposes for which the special meeting was called is the election of directors, nominations of Persons for election to the Board may be made only:</w:t>
      </w:r>
    </w:p>
    <w:p>
      <w:pPr>
        <w:spacing w:after="0" w:line="184"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or at the direction of the Board, including pursuant to a notice of meeting;</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by or at the direction or request of one or more shareholders pursuant to a “proposal” made in accordance with Part 5, Division 7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 pursuant to a requisition of the shareholders made in accordance with Section 167 of the</w:t>
      </w:r>
      <w:r>
        <w:rPr>
          <w:rFonts w:ascii="Arial" w:cs="Arial" w:eastAsia="Arial" w:hAnsi="Arial"/>
          <w:sz w:val="18"/>
          <w:szCs w:val="18"/>
          <w:i w:val="1"/>
          <w:iCs w:val="1"/>
          <w:color w:val="auto"/>
        </w:rPr>
        <w:t xml:space="preserve"> Business Corporations Act</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any Person (a “Nominating Shareholder”): (i) who, at the close of business on the date that the Nominating Shareholder’s Notice (as defined below) is given and at the close of business on the record date for notice of such meeting, is entered in the securities register of the Company as a holder of one or more shares carrying the right to vote at such meeting or who beneficially owns shares that are entitled to be voted at such meeting and provides evidence of such ownership that is satisfactory to the Company, acting reasonably; and (ii) who complies with all notice procedures set forth herein.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15.3 Timely Notice</w:t>
      </w:r>
      <w:r>
        <w:rPr>
          <w:rFonts w:ascii="Arial" w:cs="Arial" w:eastAsia="Arial" w:hAnsi="Arial"/>
          <w:sz w:val="18"/>
          <w:szCs w:val="18"/>
          <w:color w:val="auto"/>
        </w:rPr>
        <w:t>. In addition to any other requirements under applicable laws, for a nomination to be made by a Nominating Shareholder,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Shareholder must have given notice thereof that is both timely (in accordance with Article 15.4 below) and in proper written form (in accordance with Article 15.8 below) to the Corporate Secretary of the Company at the registered office of the Company (as set out in Article 15.8 of this Part 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15.4 Manner of Timely Notice</w:t>
      </w:r>
      <w:r>
        <w:rPr>
          <w:rFonts w:ascii="Arial" w:cs="Arial" w:eastAsia="Arial" w:hAnsi="Arial"/>
          <w:sz w:val="17"/>
          <w:szCs w:val="17"/>
          <w:color w:val="auto"/>
        </w:rPr>
        <w:t>. To be timely, the Nominating Shareholder’s Notice to the Corporate Secretary of the Company must be made:</w:t>
      </w:r>
    </w:p>
    <w:p>
      <w:pPr>
        <w:spacing w:after="0" w:line="241" w:lineRule="exact"/>
        <w:rPr>
          <w:sz w:val="20"/>
          <w:szCs w:val="20"/>
          <w:color w:val="auto"/>
        </w:rPr>
      </w:pPr>
    </w:p>
    <w:p>
      <w:pPr>
        <w:jc w:val="both"/>
        <w:ind w:left="1300" w:hanging="644"/>
        <w:spacing w:after="0" w:line="23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an annual general meeting of shareholders, not less than thirty (30) days prior to the date of the annual general meeting of shareholders; provided, however, that in the event that the annual general meeting of shareholders is to be held on a date that is less than fifty (50) days after the date (the “Notice Date”) on which the first Public Announcement of the date of the annual general meeting was made, the Nominating Shareholder’s Notice may be made not later than the close of business on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Notice Date; and</w:t>
      </w:r>
    </w:p>
    <w:p>
      <w:pPr>
        <w:spacing w:after="0" w:line="204" w:lineRule="exact"/>
        <w:rPr>
          <w:rFonts w:ascii="Arial" w:cs="Arial" w:eastAsia="Arial" w:hAnsi="Arial"/>
          <w:sz w:val="18"/>
          <w:szCs w:val="18"/>
          <w:color w:val="auto"/>
        </w:rPr>
      </w:pPr>
    </w:p>
    <w:p>
      <w:pPr>
        <w:jc w:val="both"/>
        <w:ind w:left="1300" w:hanging="644"/>
        <w:spacing w:after="0" w:line="225"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general meeting) of shareholders called for the purpose of electing directors (whether or not called for other purposes), not later than the close of business 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the first Public Announcement of the date of the special meeting of shareholders was made,</w:t>
      </w:r>
    </w:p>
    <w:p>
      <w:pPr>
        <w:spacing w:after="0" w:line="20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15.5 Proper Form of Timely Notice</w:t>
      </w:r>
      <w:r>
        <w:rPr>
          <w:rFonts w:ascii="Arial" w:cs="Arial" w:eastAsia="Arial" w:hAnsi="Arial"/>
          <w:sz w:val="18"/>
          <w:szCs w:val="18"/>
          <w:color w:val="auto"/>
        </w:rPr>
        <w:t>. To be in proper written form, a Nominating Shareholder’s notice to the Corporate Secretary of the Company must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w:t>
      </w:r>
    </w:p>
    <w:p>
      <w:pPr>
        <w:spacing w:after="0" w:line="166" w:lineRule="exact"/>
        <w:rPr>
          <w:sz w:val="20"/>
          <w:szCs w:val="20"/>
          <w:color w:val="auto"/>
        </w:rPr>
      </w:pPr>
    </w:p>
    <w:p>
      <w:pPr>
        <w:jc w:val="both"/>
        <w:ind w:left="1300" w:hanging="644"/>
        <w:spacing w:after="0" w:line="269"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as to each Person whom the Nominating Shareholder proposes to nominate for election as a director: (i) the name, age, business address and residential address of the Person; (ii) the present principal occupation or employment of the Person and the principal occupation or employment within the five years preceding the notice; (iii) the country of residence of the Person; (iv) the class or series and number of shares in the capital of the Company which are directly or indirectly controlled or directed or which are owned beneficially or of record by the Person as of the record date for the annual general meeting of shareholders, or the special meeting of shareholders if one of the purposes for which the special meeting was called is the election of directors, (if such date shall then have been made publicly available and shall have occurred) and as of the date of such notice; (iv) full particulars regarding any agreements between the Person and/or the Nominating Shareholder and/or any other person or company relating to the Person’s nomination for election as a director of the Company; and (v) any other information relating to the Person that would be required to be disclosed in a dissident’s proxy circular in connection with solicitations of proxies for election of directors pursuant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Applicable Securities Laws; and</w:t>
      </w:r>
    </w:p>
    <w:p>
      <w:pPr>
        <w:spacing w:after="0" w:line="394"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- 15 -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1300" w:hanging="644"/>
        <w:spacing w:after="0" w:line="25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the Nominating Shareholder giving the notice, full particulars regarding any proxy, contract, agreement, arrangement, understanding or relationship pursuant to which such Nominating Shareholder has a right to vote any shares of the Company and any other information relating to such Nominating Shareholder that would be required to be made in a dissident’s proxy circular in connection with solicitations of proxies for election of directors pursuant to the Act and Applicable Securities Laws; (collectively with Article 15.5(a), the “Nominating Shareholder’s Notice”).</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may require any proposed nominee to furnish such other information as may be required to be contained in a dissident’s proxy circular or by Applicable Securities Laws to determine the independence of the Proposed Nominee or the eligibility of such proposed nominee to serve as a director of the Company.</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15.6 Notice to be Updated</w:t>
      </w:r>
      <w:r>
        <w:rPr>
          <w:rFonts w:ascii="Arial" w:cs="Arial" w:eastAsia="Arial" w:hAnsi="Arial"/>
          <w:sz w:val="18"/>
          <w:szCs w:val="18"/>
          <w:color w:val="auto"/>
        </w:rPr>
        <w:t>. To be considered timely and in proper written form, the Nominating Shareholder’s Notice will be promptly updated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if necessary, so that the information provided or required to be provided in such Nominating Shareholder’s Notice will be true and correct as of the record date for the annual general meeting of shareholders, or the special meeting of shareholders if one of the purposes for which the special meeting was called is the election of directors.</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15.7 Eligibility for Nomination as a Director</w:t>
      </w:r>
      <w:r>
        <w:rPr>
          <w:rFonts w:ascii="Arial" w:cs="Arial" w:eastAsia="Arial" w:hAnsi="Arial"/>
          <w:sz w:val="16"/>
          <w:szCs w:val="16"/>
          <w:color w:val="auto"/>
        </w:rPr>
        <w:t>. No Person shall be eligible for election as a director of the Company (except pursuant to Article 15.2(a)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unless nominated in accordance with the provisions of this Part 15; provided, however, that nothing in this Part 15 shall be deemed to preclude discussion by a shareholder (as distinct from the nomination of directors) at any annual general meeting of shareholders, or any special meeting of shareholders if one of the purposes for which the special meeting was called is the election of directors, of any matter in respect of which it would have been entitled to submit a proposal pursuant to the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at the discretion of the Chair of the Board. The Chair of the Board of the meeting shall have the power and duty to determine whether a nomination was made in accordance with the procedures set forth in this Part 15, and, if any proposed nomination is not in compliance with such provisions, to declare that such defective nomination shall be deemed voided and subsequently disregarded.</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15.8 Delivery of Notice</w:t>
      </w:r>
      <w:r>
        <w:rPr>
          <w:rFonts w:ascii="Arial" w:cs="Arial" w:eastAsia="Arial" w:hAnsi="Arial"/>
          <w:sz w:val="18"/>
          <w:szCs w:val="18"/>
          <w:color w:val="auto"/>
        </w:rPr>
        <w:t>. Notwithstanding any other provision in this Part 15, notice given to the Corporate Secretary of the Company pursuant to this Part</w:t>
      </w:r>
      <w:r>
        <w:rPr>
          <w:rFonts w:ascii="Arial" w:cs="Arial" w:eastAsia="Arial" w:hAnsi="Arial"/>
          <w:sz w:val="18"/>
          <w:szCs w:val="18"/>
          <w:b w:val="1"/>
          <w:bCs w:val="1"/>
          <w:color w:val="auto"/>
        </w:rPr>
        <w:t xml:space="preserve"> </w:t>
      </w:r>
      <w:r>
        <w:rPr>
          <w:rFonts w:ascii="Arial" w:cs="Arial" w:eastAsia="Arial" w:hAnsi="Arial"/>
          <w:sz w:val="18"/>
          <w:szCs w:val="18"/>
          <w:color w:val="auto"/>
        </w:rPr>
        <w:t>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transaction (provided that receipt of confirmation of such transmission has been received) or by e-mail (at the address as foresaid) to the Corporate Secretary at the registered office of the Company as follows: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595 Howe Street, Vancouver, British Columbia, V6C</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2T5 Canada Fax: +1 604 687-8772</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provided that if such delivery or electronic transmission is made on a day which is not a business day or later than 5:00 p.m. (Vancouver time) on a day which is a business day, then such delivery or electronic transmission shall be deemed to have been made on the subsequent day that is a business day.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15.9 Board’s Discretion</w:t>
      </w:r>
      <w:r>
        <w:rPr>
          <w:rFonts w:ascii="Arial" w:cs="Arial" w:eastAsia="Arial" w:hAnsi="Arial"/>
          <w:sz w:val="18"/>
          <w:szCs w:val="18"/>
          <w:color w:val="auto"/>
        </w:rPr>
        <w:t>. Notwithstanding the foregoing, the Board may, in its sole discretion, waive any and all requirements in this Part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ADJUDICATION OF CERTAIN DISPUTES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16.1 Forum Selection</w:t>
      </w:r>
      <w:r>
        <w:rPr>
          <w:rFonts w:ascii="Arial" w:cs="Arial" w:eastAsia="Arial" w:hAnsi="Arial"/>
          <w:sz w:val="16"/>
          <w:szCs w:val="16"/>
          <w:color w:val="auto"/>
        </w:rPr>
        <w:t>. Unless the Company consents in writing to the selection of an alternative forum, the Supreme Court of the Province of British</w:t>
      </w:r>
      <w:r>
        <w:rPr>
          <w:rFonts w:ascii="Arial" w:cs="Arial" w:eastAsia="Arial" w:hAnsi="Arial"/>
          <w:sz w:val="16"/>
          <w:szCs w:val="16"/>
          <w:b w:val="1"/>
          <w:bCs w:val="1"/>
          <w:color w:val="auto"/>
        </w:rPr>
        <w:t xml:space="preserve"> </w:t>
      </w:r>
      <w:r>
        <w:rPr>
          <w:rFonts w:ascii="Arial" w:cs="Arial" w:eastAsia="Arial" w:hAnsi="Arial"/>
          <w:sz w:val="16"/>
          <w:szCs w:val="16"/>
          <w:color w:val="auto"/>
        </w:rPr>
        <w:t>Columbia, Canada and the appellate Courts therefrom (collectively, the “</w:t>
      </w:r>
      <w:r>
        <w:rPr>
          <w:rFonts w:ascii="Arial" w:cs="Arial" w:eastAsia="Arial" w:hAnsi="Arial"/>
          <w:sz w:val="16"/>
          <w:szCs w:val="16"/>
          <w:b w:val="1"/>
          <w:bCs w:val="1"/>
          <w:color w:val="auto"/>
        </w:rPr>
        <w:t>Courts</w:t>
      </w:r>
      <w:r>
        <w:rPr>
          <w:rFonts w:ascii="Arial" w:cs="Arial" w:eastAsia="Arial" w:hAnsi="Arial"/>
          <w:sz w:val="16"/>
          <w:szCs w:val="16"/>
          <w:color w:val="auto"/>
        </w:rPr>
        <w:t xml:space="preserve">”), shall, to the fullest extent permitted by law, be the sole and exclusive forum for (i) any derivative action or proceeding brought on behalf of the Company; (ii) any action or proceeding asserting a claim of breach of a fiduciary duty owed by any director, officer, or other employee of the Company to the Company; (iii) any action or proceeding asserting a claim arising pursuant to any provision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or the Notice of Articles (as may be amended from time to time); or (iv) any action or proceeding asserting a claim otherwise related to the relationships among the Company, its affiliates and the shareholders, directors and officers of such corporations (but does not include the business carried on by such corporations). If any action or proceeding the subject matter of which is within the scope of the preceding sentence is filed in a Court other than a Court located within the Province of British Columbia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registered or beneficial securityholder of the Company, such securityholder shall be deemed to have consented to (i) the personal jurisdiction of the Courts in connection with any action or proceeding brought in any such Court to enforce foregoing exclusive forum provision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(ii) having service of process made upon such securityholder in any such Enforcement Action by service upon such securityholder’s counsel in the Foreign Action as agent for such securityholder. For the avoidance of doubt, this Part 16 shall not apply to any action brought to enforce a duty or liability created by the U.S. Securities Act of 1933, as amended, or the U.S. Securities Exchange Act of 1934, as amended. Unless the Company consents in writing to the selection of an alternative forum, the federal district courts of the United States of America shall be the exclusive forum for the resolution of any complaint asserting a cause of action arising under the U.S. Securities Act of 1933, as amended. Any person or entity purchasing or otherwise acquiring any interest in any security of the Company shall be deemed to have notice of and consented to the provisions of this Part 16.</w:t>
      </w:r>
    </w:p>
    <w:p>
      <w:pPr>
        <w:spacing w:after="0" w:line="38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- 16 -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17.1 Powers of Management</w:t>
      </w:r>
      <w:r>
        <w:rPr>
          <w:rFonts w:ascii="Arial" w:cs="Arial" w:eastAsia="Arial" w:hAnsi="Arial"/>
          <w:sz w:val="18"/>
          <w:szCs w:val="18"/>
          <w:color w:val="auto"/>
        </w:rPr>
        <w:t>. The directors must,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these Articles, manage or supervise the management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17.2 Appointment of Attorney of Company</w:t>
      </w:r>
      <w:r>
        <w:rPr>
          <w:rFonts w:ascii="Arial" w:cs="Arial" w:eastAsia="Arial" w:hAnsi="Arial"/>
          <w:sz w:val="16"/>
          <w:szCs w:val="16"/>
          <w:color w:val="auto"/>
        </w:rPr>
        <w:t>. The directors exclusively may from time to time, by power of attorney or other instrument, under seal if so</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INTEREST OF DIRECTORS</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18.1 Obligation to Account for Profits</w:t>
      </w:r>
      <w:r>
        <w:rPr>
          <w:rFonts w:ascii="Arial" w:cs="Arial" w:eastAsia="Arial" w:hAnsi="Arial"/>
          <w:sz w:val="16"/>
          <w:szCs w:val="16"/>
          <w:color w:val="auto"/>
        </w:rPr>
        <w:t>. A director or senior officer who holds a disclosable interest (as that term is used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18.2 Restrictions on Voting by Reason of Interest</w:t>
      </w:r>
      <w:r>
        <w:rPr>
          <w:rFonts w:ascii="Arial" w:cs="Arial" w:eastAsia="Arial" w:hAnsi="Arial"/>
          <w:sz w:val="17"/>
          <w:szCs w:val="17"/>
          <w:color w:val="auto"/>
        </w:rPr>
        <w:t>. A director who holds a disclosable interest in a contract or transaction into which the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18.3 Interested Director Counted in Quorum</w:t>
      </w:r>
      <w:r>
        <w:rPr>
          <w:rFonts w:ascii="Arial" w:cs="Arial" w:eastAsia="Arial" w:hAnsi="Arial"/>
          <w:sz w:val="17"/>
          <w:szCs w:val="17"/>
          <w:color w:val="auto"/>
        </w:rPr>
        <w:t>. A director who holds a disclosable interest in a contract or transaction into which the Company has entered</w:t>
      </w:r>
      <w:r>
        <w:rPr>
          <w:rFonts w:ascii="Arial" w:cs="Arial" w:eastAsia="Arial" w:hAnsi="Arial"/>
          <w:sz w:val="17"/>
          <w:szCs w:val="17"/>
          <w:b w:val="1"/>
          <w:bCs w:val="1"/>
          <w:color w:val="auto"/>
        </w:rPr>
        <w:t xml:space="preserve"> </w:t>
      </w:r>
      <w:r>
        <w:rPr>
          <w:rFonts w:ascii="Arial" w:cs="Arial" w:eastAsia="Arial" w:hAnsi="Arial"/>
          <w:sz w:val="17"/>
          <w:szCs w:val="17"/>
          <w:color w:val="auto"/>
        </w:rPr>
        <w:t>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18.4 Disclosure of Conflict of Interest or Property</w:t>
      </w:r>
      <w:r>
        <w:rPr>
          <w:rFonts w:ascii="Arial" w:cs="Arial" w:eastAsia="Arial" w:hAnsi="Arial"/>
          <w:sz w:val="18"/>
          <w:szCs w:val="18"/>
          <w:color w:val="auto"/>
        </w:rPr>
        <w:t>. A director or senior officer who holds any office or possesses any property, right or interest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18.5 Director Holding Other Office in the Company</w:t>
      </w:r>
      <w:r>
        <w:rPr>
          <w:rFonts w:ascii="Arial" w:cs="Arial" w:eastAsia="Arial" w:hAnsi="Arial"/>
          <w:sz w:val="18"/>
          <w:szCs w:val="18"/>
          <w:color w:val="auto"/>
        </w:rPr>
        <w:t>. A director may hold any office or place of profit with the Company, other than the office of auditor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in addition to his or her office of director for the period and on the terms (as to remuneration or otherwise) that the directors may determine.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18.6 No Disqualification</w:t>
      </w:r>
      <w:r>
        <w:rPr>
          <w:rFonts w:ascii="Arial" w:cs="Arial" w:eastAsia="Arial" w:hAnsi="Arial"/>
          <w:sz w:val="17"/>
          <w:szCs w:val="17"/>
          <w:color w:val="auto"/>
        </w:rPr>
        <w:t>. No director or intended director is disqualified by his or her office from contracting with the Company either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18.7 Professional Services by Director or Officer</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39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- 17 -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8"/>
          <w:szCs w:val="18"/>
          <w:b w:val="1"/>
          <w:bCs w:val="1"/>
          <w:color w:val="auto"/>
        </w:rPr>
        <w:t>18.8 Director or Officer in Other Corporations</w:t>
      </w:r>
      <w:r>
        <w:rPr>
          <w:rFonts w:ascii="Arial" w:cs="Arial" w:eastAsia="Arial" w:hAnsi="Arial"/>
          <w:sz w:val="18"/>
          <w:szCs w:val="18"/>
          <w:color w:val="auto"/>
        </w:rPr>
        <w:t>. A director or officer may be or become a director, officer or employee of, or otherwise interested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in which the Company may be interested as a shareholder or otherwise,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 or officer is not accountable to the Company for any remuneration or other benefits received by him or her as director, officer or employee of, or from his or her interest in, such other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19.1 Meetings of Directors</w:t>
      </w:r>
      <w:r>
        <w:rPr>
          <w:rFonts w:ascii="Arial" w:cs="Arial" w:eastAsia="Arial" w:hAnsi="Arial"/>
          <w:sz w:val="18"/>
          <w:szCs w:val="18"/>
          <w:color w:val="auto"/>
        </w:rPr>
        <w:t>. The directors may meet together for the conduct of business, adjourn and otherwise regulate their meetings as they think fit,</w:t>
      </w:r>
      <w:r>
        <w:rPr>
          <w:rFonts w:ascii="Arial" w:cs="Arial" w:eastAsia="Arial" w:hAnsi="Arial"/>
          <w:sz w:val="18"/>
          <w:szCs w:val="18"/>
          <w:b w:val="1"/>
          <w:bCs w:val="1"/>
          <w:color w:val="auto"/>
        </w:rPr>
        <w:t xml:space="preserve"> </w:t>
      </w:r>
      <w:r>
        <w:rPr>
          <w:rFonts w:ascii="Arial" w:cs="Arial" w:eastAsia="Arial" w:hAnsi="Arial"/>
          <w:sz w:val="18"/>
          <w:szCs w:val="18"/>
          <w:color w:val="auto"/>
        </w:rPr>
        <w:t>and meetings of the board held at regular intervals may be held at the place, at the time and on the notice, if any, that the board may by resolution from time to time determine.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19.2 Voting at Meetings</w:t>
      </w:r>
      <w:r>
        <w:rPr>
          <w:rFonts w:ascii="Arial" w:cs="Arial" w:eastAsia="Arial" w:hAnsi="Arial"/>
          <w:sz w:val="18"/>
          <w:szCs w:val="18"/>
          <w:color w:val="auto"/>
        </w:rPr>
        <w:t>. Questions arising at any meeting of directors are to be decided by a majority of votes and, in the case of an equality of votes,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the meeting does not have a second or casting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19.3 Chair of Meetings</w:t>
      </w:r>
      <w:r>
        <w:rPr>
          <w:rFonts w:ascii="Arial" w:cs="Arial" w:eastAsia="Arial" w:hAnsi="Arial"/>
          <w:sz w:val="18"/>
          <w:szCs w:val="18"/>
          <w:color w:val="auto"/>
        </w:rPr>
        <w:t>. Meetings of directors are to be chaired by:</w:t>
      </w:r>
    </w:p>
    <w:p>
      <w:pPr>
        <w:spacing w:after="0" w:line="229"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chair of the board, if 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absence of the chair of the board, the president, if any, if the president is a director;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director chosen by the directors if:</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present at the meeting within 15 minutes after the time set for holding the meeting;</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willing to chair the meeting; or</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chair of the board and the president, if a director, have advised the secretary, if any, or any other director, that they will not be present at the meeting.</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19.4 Meetings by Telephone or Other Communications Medium</w:t>
      </w:r>
      <w:r>
        <w:rPr>
          <w:rFonts w:ascii="Arial" w:cs="Arial" w:eastAsia="Arial" w:hAnsi="Arial"/>
          <w:sz w:val="16"/>
          <w:szCs w:val="16"/>
          <w:color w:val="auto"/>
        </w:rPr>
        <w:t>. A director may participate in a meeting of the directors or of any committee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directors in person or by telephone or other communications medium if all directors participating in the meeting, whether in person or by telephone or other communications medium, are able to communicate with each other. A director who participates in a meeting in a manner contemplated by this Article 19.4 is deemed for all purposes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these Articles to be present at the meeting and to have agreed to participate in that manner.</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19.5 Calling of Meetings</w:t>
      </w:r>
      <w:r>
        <w:rPr>
          <w:rFonts w:ascii="Arial" w:cs="Arial" w:eastAsia="Arial" w:hAnsi="Arial"/>
          <w:sz w:val="18"/>
          <w:szCs w:val="18"/>
          <w:color w:val="auto"/>
        </w:rPr>
        <w:t>. A director may, and the secretary or an assistant secretary, if any, on the request of a director must, call a meeting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19.6 Notice of Meetings</w:t>
      </w:r>
      <w:r>
        <w:rPr>
          <w:rFonts w:ascii="Arial" w:cs="Arial" w:eastAsia="Arial" w:hAnsi="Arial"/>
          <w:sz w:val="18"/>
          <w:szCs w:val="18"/>
          <w:color w:val="auto"/>
        </w:rPr>
        <w:t>. Other than for meetings held at regular intervals as determined by the directors pursuant to Article 19.1, reasonable notice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directors, specifying the place, day and time of that meeting must be given to each of the directors by any method set out in Article 25.1 or orally or by telephone.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19.7 When Notice Not Required</w:t>
      </w:r>
      <w:r>
        <w:rPr>
          <w:rFonts w:ascii="Arial" w:cs="Arial" w:eastAsia="Arial" w:hAnsi="Arial"/>
          <w:sz w:val="18"/>
          <w:szCs w:val="18"/>
          <w:color w:val="auto"/>
        </w:rPr>
        <w:t>. It is not necessary to give notice of a meeting of the directors to a director if:</w:t>
      </w:r>
    </w:p>
    <w:p>
      <w:pPr>
        <w:spacing w:after="0" w:line="229" w:lineRule="exact"/>
        <w:rPr>
          <w:sz w:val="20"/>
          <w:szCs w:val="20"/>
          <w:color w:val="auto"/>
        </w:rPr>
      </w:pPr>
    </w:p>
    <w:p>
      <w:pPr>
        <w:ind w:left="1300" w:right="2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that director was elected or appointed or is the meeting of the directors at which that director is appointed;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director has waived notice of the meeting.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19.8 Meeting Valid Despite Failure to Give Notice</w:t>
      </w:r>
      <w:r>
        <w:rPr>
          <w:rFonts w:ascii="Arial" w:cs="Arial" w:eastAsia="Arial" w:hAnsi="Arial"/>
          <w:sz w:val="18"/>
          <w:szCs w:val="18"/>
          <w:color w:val="auto"/>
        </w:rPr>
        <w:t>. The accidental omission to give notice of any meeting of directors to any director, or the non-receipt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notice by any director, does not invalidate any proceedings at that meeting.</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19.9 Waiver of Notice of Meetings</w:t>
      </w:r>
      <w:r>
        <w:rPr>
          <w:rFonts w:ascii="Arial" w:cs="Arial" w:eastAsia="Arial" w:hAnsi="Arial"/>
          <w:sz w:val="18"/>
          <w:szCs w:val="18"/>
          <w:color w:val="auto"/>
        </w:rPr>
        <w:t>. Any director may file with the Company a document signed by the director waiving notice of any past,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meeting of the directors and may at any time withdraw that waiver with respect to meetings of the directors held after that withdrawal. After sending a waiver with respect to all future meetings of the directors, and until that waiver is withdrawn, no notice of any meeting of the directors need be given to that director and all meetings of the directors so held are deemed not to be improperly called or constituted by reason of notice not having been given to such director.</w:t>
      </w:r>
    </w:p>
    <w:p>
      <w:pPr>
        <w:spacing w:after="0" w:line="399"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- 18 -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19.10 Quorum</w:t>
      </w:r>
      <w:r>
        <w:rPr>
          <w:rFonts w:ascii="Arial" w:cs="Arial" w:eastAsia="Arial" w:hAnsi="Arial"/>
          <w:sz w:val="18"/>
          <w:szCs w:val="18"/>
          <w:color w:val="auto"/>
        </w:rPr>
        <w:t>. The quorum necessary for the transaction of the business of the directors may be set by the directors and, if not so set, is deemed to be set</w:t>
      </w:r>
      <w:r>
        <w:rPr>
          <w:rFonts w:ascii="Arial" w:cs="Arial" w:eastAsia="Arial" w:hAnsi="Arial"/>
          <w:sz w:val="18"/>
          <w:szCs w:val="18"/>
          <w:b w:val="1"/>
          <w:bCs w:val="1"/>
          <w:color w:val="auto"/>
        </w:rPr>
        <w:t xml:space="preserve"> </w:t>
      </w:r>
      <w:r>
        <w:rPr>
          <w:rFonts w:ascii="Arial" w:cs="Arial" w:eastAsia="Arial" w:hAnsi="Arial"/>
          <w:sz w:val="18"/>
          <w:szCs w:val="18"/>
          <w:color w:val="auto"/>
        </w:rPr>
        <w:t>at a majority of the directors.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19.11 Validity of Acts Where Appointment Defective</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an irregularity in the election or appointment or a defect in the qualification of that director or officer.</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19.12 Consent Resolutions in Writing</w:t>
      </w:r>
      <w:r>
        <w:rPr>
          <w:rFonts w:ascii="Arial" w:cs="Arial" w:eastAsia="Arial" w:hAnsi="Arial"/>
          <w:sz w:val="16"/>
          <w:szCs w:val="16"/>
          <w:color w:val="auto"/>
        </w:rPr>
        <w:t>. A resolution of the directors or of any committee of the directors consented to in writing by all of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to vote on it, whether by signed document, fax, email or any other method of transmitting legibly recorded messages, is as valid and effective as if it had been passed at a meeting of the directors or of the committee of the directors duly called and held. Such resolution may be in two or more counterparts which together are deemed to constitute one resolution in writing. A resolution passed in that manner is effective on the date stated in the resolution or, if no date is stated in the resolution, on the latest date stated on any counterpart. A resolution of the directors or of any committee of the directors passed in accordance with this Article 19.12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and all the requirements of these Articles relating to meetings of the directors or of a committee of the directors.</w:t>
      </w:r>
    </w:p>
    <w:p>
      <w:pPr>
        <w:spacing w:after="0" w:line="1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20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AND OTHER COMMITTEES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20.1 Appointment and Powers of Executive Committee</w:t>
      </w:r>
      <w:r>
        <w:rPr>
          <w:rFonts w:ascii="Arial" w:cs="Arial" w:eastAsia="Arial" w:hAnsi="Arial"/>
          <w:sz w:val="18"/>
          <w:szCs w:val="18"/>
          <w:color w:val="auto"/>
        </w:rPr>
        <w:t>. The directors may, by resolution, appoint an executive committee consisting of the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that they consider appropriate, and this committee has, during the intervals between meetings of the board of directors, all of the directors’ powers, except:</w:t>
      </w:r>
    </w:p>
    <w:p>
      <w:pPr>
        <w:spacing w:after="0" w:line="180"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 Appointment and Powers of Other Committees</w:t>
      </w:r>
      <w:r>
        <w:rPr>
          <w:rFonts w:ascii="Arial" w:cs="Arial" w:eastAsia="Arial" w:hAnsi="Arial"/>
          <w:sz w:val="18"/>
          <w:szCs w:val="18"/>
          <w:color w:val="auto"/>
        </w:rPr>
        <w:t>. The directors may, by resolution,</w:t>
      </w:r>
    </w:p>
    <w:p>
      <w:pPr>
        <w:spacing w:after="0" w:line="229" w:lineRule="exact"/>
        <w:rPr>
          <w:sz w:val="20"/>
          <w:szCs w:val="20"/>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 one or more committees (other than the executive committee) consisting of the director or directors that they consider appropriate;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(a) any of the directors’ powers, except: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board,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board;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any delegation referred to in paragraph (b) subject to the conditions set out in the resolution.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 Obligations of Committee</w:t>
      </w:r>
      <w:r>
        <w:rPr>
          <w:rFonts w:ascii="Arial" w:cs="Arial" w:eastAsia="Arial" w:hAnsi="Arial"/>
          <w:sz w:val="18"/>
          <w:szCs w:val="18"/>
          <w:color w:val="auto"/>
        </w:rPr>
        <w:t>. Any committee appointed under Articles 20.1 or 20.2, in the exercise of the powers delegated to it, must</w:t>
      </w:r>
    </w:p>
    <w:p>
      <w:pPr>
        <w:spacing w:after="0" w:line="229"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as the directors may require.</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- 19 -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20.4 Powers of Board</w:t>
      </w:r>
      <w:r>
        <w:rPr>
          <w:rFonts w:ascii="Arial" w:cs="Arial" w:eastAsia="Arial" w:hAnsi="Arial"/>
          <w:sz w:val="18"/>
          <w:szCs w:val="18"/>
          <w:color w:val="auto"/>
        </w:rPr>
        <w:t>. The directors may, at any time, with respect to a committee appointed under Articles 20.1 or 20.2:</w:t>
      </w:r>
    </w:p>
    <w:p>
      <w:pPr>
        <w:spacing w:after="0" w:line="229" w:lineRule="exact"/>
        <w:rPr>
          <w:sz w:val="20"/>
          <w:szCs w:val="20"/>
          <w:color w:val="auto"/>
        </w:rPr>
      </w:pPr>
    </w:p>
    <w:p>
      <w:pPr>
        <w:ind w:left="130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revoke or alter the authority given to a committee, or override a decision made by a committee, except as to acts done before such revocation, alteration or overriding;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a committee;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fill vacancies on a committee.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20.5 Committee Meetings</w:t>
      </w:r>
      <w:r>
        <w:rPr>
          <w:rFonts w:ascii="Arial" w:cs="Arial" w:eastAsia="Arial" w:hAnsi="Arial"/>
          <w:sz w:val="18"/>
          <w:szCs w:val="18"/>
          <w:color w:val="auto"/>
        </w:rPr>
        <w:t>. Subject to Article 20.3(a) and unless the directors otherwise provide in the resolution appointing the committee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resolution, with respect to a committee appointed under Articles 20.1 or 20.2:</w:t>
      </w:r>
    </w:p>
    <w:p>
      <w:pPr>
        <w:spacing w:after="0" w:line="166"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the meeting is elected, or if at any meeting the chair of the meeting is not present within 15 minutes after the time set for holding the meeting, the directors present who are members of the committee may choose one of their number to chair the meeting;</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of the members of a directors’ committee constitutes a quorum of the committee; and</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has no second or casting vote.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21.1 Appointment of Officers</w:t>
      </w:r>
      <w:r>
        <w:rPr>
          <w:rFonts w:ascii="Arial" w:cs="Arial" w:eastAsia="Arial" w:hAnsi="Arial"/>
          <w:sz w:val="18"/>
          <w:szCs w:val="18"/>
          <w:color w:val="auto"/>
        </w:rPr>
        <w:t>. The directors may, from time to time, appoint such officers, if any, as the directors determine, and the directors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terminate any such appointment.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Functions, Duties and Powers of Officers</w:t>
      </w:r>
      <w:r>
        <w:rPr>
          <w:rFonts w:ascii="Arial" w:cs="Arial" w:eastAsia="Arial" w:hAnsi="Arial"/>
          <w:sz w:val="18"/>
          <w:szCs w:val="18"/>
          <w:color w:val="auto"/>
        </w:rPr>
        <w:t>. The directors may, for each officer:</w:t>
      </w:r>
    </w:p>
    <w:p>
      <w:pPr>
        <w:spacing w:after="0" w:line="229"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21.3 Qualifications</w:t>
      </w:r>
      <w:r>
        <w:rPr>
          <w:rFonts w:ascii="Arial" w:cs="Arial" w:eastAsia="Arial" w:hAnsi="Arial"/>
          <w:sz w:val="18"/>
          <w:szCs w:val="18"/>
          <w:color w:val="auto"/>
        </w:rPr>
        <w:t>. No officer may be appointed unless that officer is qualified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 hold</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one position as an officer of the Company. Any officer need not be a director.</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21.4 Remuneration</w:t>
      </w:r>
      <w:r>
        <w:rPr>
          <w:rFonts w:ascii="Arial" w:cs="Arial" w:eastAsia="Arial" w:hAnsi="Arial"/>
          <w:sz w:val="18"/>
          <w:szCs w:val="18"/>
          <w:color w:val="auto"/>
        </w:rPr>
        <w:t>. All appointments of officers are to be made on the terms and conditions and at the remuneration (whether by way of salary, fee,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participation in profits or otherwise) that the directors think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Definitions</w:t>
      </w:r>
      <w:r>
        <w:rPr>
          <w:rFonts w:ascii="Arial" w:cs="Arial" w:eastAsia="Arial" w:hAnsi="Arial"/>
          <w:sz w:val="18"/>
          <w:szCs w:val="18"/>
          <w:color w:val="auto"/>
        </w:rPr>
        <w:t>. In this Part 22:</w:t>
      </w:r>
    </w:p>
    <w:p>
      <w:pPr>
        <w:spacing w:after="0" w:line="225"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penalty</w:t>
      </w:r>
      <w:r>
        <w:rPr>
          <w:rFonts w:ascii="Arial" w:cs="Arial" w:eastAsia="Arial" w:hAnsi="Arial"/>
          <w:sz w:val="16"/>
          <w:szCs w:val="16"/>
          <w:color w:val="auto"/>
        </w:rPr>
        <w:t>” means a judgment, penalty or fine awarded or imposed in, or an amount paid in settlement of, an eligible proceeding;</w:t>
      </w:r>
    </w:p>
    <w:p>
      <w:pPr>
        <w:spacing w:after="0" w:line="248" w:lineRule="exact"/>
        <w:rPr>
          <w:rFonts w:ascii="Arial" w:cs="Arial" w:eastAsia="Arial" w:hAnsi="Arial"/>
          <w:sz w:val="16"/>
          <w:szCs w:val="16"/>
          <w:color w:val="auto"/>
        </w:rPr>
      </w:pPr>
    </w:p>
    <w:p>
      <w:pPr>
        <w:jc w:val="both"/>
        <w:ind w:left="1300" w:hanging="644"/>
        <w:spacing w:after="0" w:line="261"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proceeding</w:t>
      </w:r>
      <w:r>
        <w:rPr>
          <w:rFonts w:ascii="Arial" w:cs="Arial" w:eastAsia="Arial" w:hAnsi="Arial"/>
          <w:sz w:val="18"/>
          <w:szCs w:val="18"/>
          <w:color w:val="auto"/>
        </w:rPr>
        <w:t>” means a legal proceeding or investigative action, whether current, threatened, pending or completed, in which a director, former director of the Company or an affiliate of the Company (an “eligible party”) or any of the heirs and legal personal representatives of the eligible party, by reason of the eligible party being or having been a director of the Company or an affiliate of the Company:</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is or may be joined as a party;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is or may be liable for or in respect of a judgment, penalty or fine in, or expenses related to, the proceeding;</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- 20 -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has the meaning set out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22.2 Mandatory Indemnification of Directors and Former Directors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must indemnify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of a director or former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is deemed to have contracted with the Company on the terms of the indemnity contained in this Article 22.2.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22.3 Indemnification of Other Persons</w:t>
      </w:r>
      <w:r>
        <w:rPr>
          <w:rFonts w:ascii="Arial" w:cs="Arial" w:eastAsia="Arial" w:hAnsi="Arial"/>
          <w:sz w:val="17"/>
          <w:szCs w:val="17"/>
          <w:color w:val="auto"/>
        </w:rPr>
        <w:t>. Subject to any restrictions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indemnify any person.</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22.4 Non-Compliance with </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The failure of a director or former director of the Company to comply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or these Articles does not invalidate any indemnity to which he or she is entitled under this Part.</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22.5 Company May Purchase Insurance</w:t>
      </w:r>
      <w:r>
        <w:rPr>
          <w:rFonts w:ascii="Arial" w:cs="Arial" w:eastAsia="Arial" w:hAnsi="Arial"/>
          <w:sz w:val="18"/>
          <w:szCs w:val="18"/>
          <w:color w:val="auto"/>
        </w:rPr>
        <w:t>. The Company may purchase and maintain insurance for the benefit of any person (or his or her heirs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who:</w:t>
      </w:r>
    </w:p>
    <w:p>
      <w:pPr>
        <w:spacing w:after="0" w:line="166"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is or was a director, officer, employee or agent of a corporation at a time when the corporation is or was an affiliate of the Company;</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officer, employee or agent of a corporation or of a partnership, trust, joint venture or other unincorporated entity;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or officer of a partnership, trust, joint venture or other unincorporated entity;</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against any liability incurred by him or her as such director, officer, employee or agent or person who holds or held such equivalent position.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23.1 Payment of Dividends Subject to Special Rights</w:t>
      </w:r>
      <w:r>
        <w:rPr>
          <w:rFonts w:ascii="Arial" w:cs="Arial" w:eastAsia="Arial" w:hAnsi="Arial"/>
          <w:sz w:val="18"/>
          <w:szCs w:val="18"/>
          <w:color w:val="auto"/>
        </w:rPr>
        <w:t>. The provisions of this Part 23 are subject to the rights, if any, of shareholders holding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rights as to dividends.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23.2 Declaration of Dividends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directors may from time to time declare and authorize payment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as they may deem advisable.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23.3 No Notice Required</w:t>
      </w:r>
      <w:r>
        <w:rPr>
          <w:rFonts w:ascii="Arial" w:cs="Arial" w:eastAsia="Arial" w:hAnsi="Arial"/>
          <w:sz w:val="18"/>
          <w:szCs w:val="18"/>
          <w:color w:val="auto"/>
        </w:rPr>
        <w:t>. The directors need not give notice to any shareholder of any declaration under Article 23.2.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23.4 Record Date</w:t>
      </w:r>
      <w:r>
        <w:rPr>
          <w:rFonts w:ascii="Arial" w:cs="Arial" w:eastAsia="Arial" w:hAnsi="Arial"/>
          <w:sz w:val="18"/>
          <w:szCs w:val="18"/>
          <w:color w:val="auto"/>
        </w:rPr>
        <w:t>. The directors may set a date as the record date for the purpose of determining shareholders entitled to receive payment of a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record date must not precede the date on which the dividend is to be paid by more than two months. If no record date is set, the record date is 5 p.m. on the date on which the directors pass the resolution declaring the dividend.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23.5 Manner of Paying Dividend</w:t>
      </w:r>
      <w:r>
        <w:rPr>
          <w:rFonts w:ascii="Arial" w:cs="Arial" w:eastAsia="Arial" w:hAnsi="Arial"/>
          <w:sz w:val="18"/>
          <w:szCs w:val="18"/>
          <w:color w:val="auto"/>
        </w:rPr>
        <w:t>. A resolution declaring a dividend may direct payment of the dividend wholly or partly by the distribution of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of paid up shares or of bonds, debentures or other securities of the Company, or in any one or more of those ways.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23.6 Settlement of Difficulties</w:t>
      </w:r>
      <w:r>
        <w:rPr>
          <w:rFonts w:ascii="Arial" w:cs="Arial" w:eastAsia="Arial" w:hAnsi="Arial"/>
          <w:sz w:val="18"/>
          <w:szCs w:val="18"/>
          <w:color w:val="auto"/>
        </w:rPr>
        <w:t>. If any difficulty arises in regard to a distribution under Article 23.5, the directors may settle the difficulty as they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and, in particular, may:</w:t>
      </w:r>
    </w:p>
    <w:p>
      <w:pPr>
        <w:spacing w:after="0" w:line="166"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23.7 When Dividend Payable</w:t>
      </w:r>
      <w:r>
        <w:rPr>
          <w:rFonts w:ascii="Arial" w:cs="Arial" w:eastAsia="Arial" w:hAnsi="Arial"/>
          <w:sz w:val="18"/>
          <w:szCs w:val="18"/>
          <w:color w:val="auto"/>
        </w:rPr>
        <w:t>. Any dividend may be made payable on such date as is fixed by the directors.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23.8 Dividends to be Paid in Accordance with Number of Shares</w:t>
      </w:r>
      <w:r>
        <w:rPr>
          <w:rFonts w:ascii="Arial" w:cs="Arial" w:eastAsia="Arial" w:hAnsi="Arial"/>
          <w:sz w:val="18"/>
          <w:szCs w:val="18"/>
          <w:color w:val="auto"/>
        </w:rPr>
        <w:t>. All dividends on shares of any class or series of shares must be declared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number of such shares held.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23.9 Receipt by Joint Shareholders</w:t>
      </w:r>
      <w:r>
        <w:rPr>
          <w:rFonts w:ascii="Arial" w:cs="Arial" w:eastAsia="Arial" w:hAnsi="Arial"/>
          <w:sz w:val="18"/>
          <w:szCs w:val="18"/>
          <w:color w:val="auto"/>
        </w:rPr>
        <w:t>. If several persons are joint shareholders of any share, any one of them may give an effective receipt for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bonus or other money payable in respect of the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Dividend Bears No Interest</w:t>
      </w:r>
      <w:r>
        <w:rPr>
          <w:rFonts w:ascii="Arial" w:cs="Arial" w:eastAsia="Arial" w:hAnsi="Arial"/>
          <w:sz w:val="18"/>
          <w:szCs w:val="18"/>
          <w:color w:val="auto"/>
        </w:rPr>
        <w:t>. No dividend bears interest against the Company.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23.11 Fractional Dividends</w:t>
      </w:r>
      <w:r>
        <w:rPr>
          <w:rFonts w:ascii="Arial" w:cs="Arial" w:eastAsia="Arial" w:hAnsi="Arial"/>
          <w:sz w:val="17"/>
          <w:szCs w:val="17"/>
          <w:color w:val="auto"/>
        </w:rPr>
        <w:t>. If a dividend to which a shareholder is entitled includes a fraction of the smallest monetary unit of the currency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that fraction may be disregarded in making payment of the dividend and that payment represents full payment of the dividend.</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23.12 Payment of Dividends</w:t>
      </w:r>
      <w:r>
        <w:rPr>
          <w:rFonts w:ascii="Arial" w:cs="Arial" w:eastAsia="Arial" w:hAnsi="Arial"/>
          <w:sz w:val="17"/>
          <w:szCs w:val="17"/>
          <w:color w:val="auto"/>
        </w:rPr>
        <w:t>. Any dividend or other distribution payable in respect of shares will be paid by cheque or by electronic means or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method as the directors may determine. The payment will be made to or to the order of each registered holder of shares in respect of which the payment is to be made. Cheques will be sent to the registered address of the shareholder unless the shareholder otherwise directs. In the case of joint holders, the payment will be made to the order of all such joint holders and, if applicable, sent to them at the registered address of the joint shareholder who is first named on the central securities register, unless such joint holders otherwise direct. The sending of the cheque or the sending of the payment by electronic means or the sending of the payment by a method determined by the directors in an amount equal to the dividend or other distribution to be paid less any tax that the Company is required to withhold will satisfy and discharge the liability for the payment, unless payment is not made upon presentation, if applicable, or the amount of tax so deducted is not paid to the appropriate taxing authority.</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23.13 Capitalization of Surplus</w:t>
      </w:r>
      <w:r>
        <w:rPr>
          <w:rFonts w:ascii="Arial" w:cs="Arial" w:eastAsia="Arial" w:hAnsi="Arial"/>
          <w:sz w:val="18"/>
          <w:szCs w:val="18"/>
          <w:color w:val="auto"/>
        </w:rPr>
        <w:t>. Notwithstanding anything contained in these Articles, the directors may from time to time capitalize any surplus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may from time to time issue, as fully paid, shares or any bonds, debentures or other securities of the Company as a dividend representing the surplus or any part of the surplus.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23.14 Unclaimed Dividends</w:t>
      </w:r>
      <w:r>
        <w:rPr>
          <w:rFonts w:ascii="Arial" w:cs="Arial" w:eastAsia="Arial" w:hAnsi="Arial"/>
          <w:sz w:val="18"/>
          <w:szCs w:val="18"/>
          <w:color w:val="auto"/>
        </w:rPr>
        <w:t>. Any dividend unclaimed after a period of six years from the date on which the same has been declared to be payable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forfeited and shall revert to the Company. The Company shall not be liable to any person in respect of any dividend which is forfeited to the Company or delivered to any public official pursuant to any applicable abandoned property, escheat or similar law</w:t>
      </w:r>
    </w:p>
    <w:p>
      <w:pPr>
        <w:spacing w:after="0" w:line="1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24</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RECORDS AND REPORTS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24.1 Recording of Financial Affairs</w:t>
      </w:r>
      <w:r>
        <w:rPr>
          <w:rFonts w:ascii="Arial" w:cs="Arial" w:eastAsia="Arial" w:hAnsi="Arial"/>
          <w:sz w:val="18"/>
          <w:szCs w:val="18"/>
          <w:color w:val="auto"/>
        </w:rPr>
        <w:t>. The directors must cause adequate accounting records to be kept to record properly the financial affairs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 of the Company and to comply with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24.2 Inspection of Accounting Records</w:t>
      </w:r>
      <w:r>
        <w:rPr>
          <w:rFonts w:ascii="Arial" w:cs="Arial" w:eastAsia="Arial" w:hAnsi="Arial"/>
          <w:sz w:val="18"/>
          <w:szCs w:val="18"/>
          <w:color w:val="auto"/>
        </w:rPr>
        <w:t>. Unless the directors determine otherwise, or unless otherwise determined by ordinary resolution, no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entitled to inspect or obtain a copy of any accounting records of the Company.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24.3 Remuneration of Auditors</w:t>
      </w:r>
      <w:r>
        <w:rPr>
          <w:rFonts w:ascii="Arial" w:cs="Arial" w:eastAsia="Arial" w:hAnsi="Arial"/>
          <w:sz w:val="18"/>
          <w:szCs w:val="18"/>
          <w:color w:val="auto"/>
        </w:rPr>
        <w:t>. The remuneration of the auditors, if any, shall be set by the directors regardless of whether the auditor is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by the directors or otherwise. For greater certainty, the directors may delegate to the audit committee or other committee the power to set the remuneration of the auditors.</w:t>
      </w:r>
    </w:p>
    <w:p>
      <w:pPr>
        <w:spacing w:after="0" w:line="39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5280"/>
        <w:spacing w:after="0"/>
        <w:rPr>
          <w:sz w:val="20"/>
          <w:szCs w:val="20"/>
          <w:color w:val="auto"/>
        </w:rPr>
      </w:pPr>
      <w:r>
        <w:rPr>
          <w:rFonts w:ascii="Arial" w:cs="Arial" w:eastAsia="Arial" w:hAnsi="Arial"/>
          <w:sz w:val="18"/>
          <w:szCs w:val="18"/>
          <w:b w:val="1"/>
          <w:bCs w:val="1"/>
          <w:color w:val="auto"/>
        </w:rPr>
        <w:t>PART 25</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25.1 Method of Giving Notice</w:t>
      </w:r>
      <w:r>
        <w:rPr>
          <w:rFonts w:ascii="Arial" w:cs="Arial" w:eastAsia="Arial" w:hAnsi="Arial"/>
          <w:sz w:val="16"/>
          <w:szCs w:val="16"/>
          <w:color w:val="auto"/>
        </w:rPr>
        <w:t>. Unless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or these Articles provides otherwise, a notice, statement, report or other record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or permitted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to be sent by or to a person may be sent by any one of the following methods:</w:t>
      </w:r>
    </w:p>
    <w:p>
      <w:pPr>
        <w:spacing w:after="0" w:line="120"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225" w:lineRule="exact"/>
        <w:rPr>
          <w:rFonts w:ascii="Arial" w:cs="Arial" w:eastAsia="Arial" w:hAnsi="Arial"/>
          <w:sz w:val="18"/>
          <w:szCs w:val="18"/>
          <w:color w:val="auto"/>
        </w:rPr>
      </w:pPr>
    </w:p>
    <w:p>
      <w:pPr>
        <w:ind w:left="1960" w:hanging="656"/>
        <w:spacing w:after="0" w:line="308" w:lineRule="auto"/>
        <w:tabs>
          <w:tab w:leader="none" w:pos="19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225" w:lineRule="exact"/>
        <w:rPr>
          <w:rFonts w:ascii="Arial" w:cs="Arial" w:eastAsia="Arial" w:hAnsi="Arial"/>
          <w:sz w:val="18"/>
          <w:szCs w:val="18"/>
          <w:color w:val="auto"/>
        </w:rPr>
      </w:pPr>
    </w:p>
    <w:p>
      <w:pPr>
        <w:ind w:left="1960" w:hanging="656"/>
        <w:spacing w:after="0" w:line="342" w:lineRule="auto"/>
        <w:tabs>
          <w:tab w:leader="none" w:pos="19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sending the record, or a reference providing the intended recipient with immediate access to the record, by electronic communication to an address provided by the intended recipient for the sending of that record or records of that class;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sending the record by any method of transmitting legibly recorded messages, including without limitation by digital medium, magnetic medium, optical medium, mechanical reproduction or graphic imaging, to an address provided by the intended recipient for the sending of that record or records of that class;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physical delivery to the intended recipient.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25.2 Deemed Receipt</w:t>
      </w:r>
      <w:r>
        <w:rPr>
          <w:rFonts w:ascii="Arial" w:cs="Arial" w:eastAsia="Arial" w:hAnsi="Arial"/>
          <w:sz w:val="18"/>
          <w:szCs w:val="18"/>
          <w:color w:val="auto"/>
        </w:rPr>
        <w:t>. A record that is mailed to a person by ordinary mail to the applicable address for that person referred to in Article 25.1 is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received by the person to whom it was mailed on the day, Saturdays, Sundays and holidays excepted, following the date of mailing. Any demand, notice or other communication given by personal delivery will be conclusively deemed to have been given on the day of actual delivery thereof and, if given by electronic communication, on the day of transmittal thereof if given during statutory business hours on the day which statutory business hours next occur if not given during such hours on any day.</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25.3 Certificate of Sending</w:t>
      </w:r>
      <w:r>
        <w:rPr>
          <w:rFonts w:ascii="Arial" w:cs="Arial" w:eastAsia="Arial" w:hAnsi="Arial"/>
          <w:sz w:val="18"/>
          <w:szCs w:val="18"/>
          <w:color w:val="auto"/>
        </w:rPr>
        <w:t>. A certificate signed by the secretary, if any, or other officer of the Company or of any other corporation acting in that behalf</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stating that a notice, statement, report or other record was addressed as required by Article 25.1, prepaid and mailed or otherwise sent as permitted by Article 25.1 is conclusive evidence of that fact.</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25.4 Notice to Joint Shareholders</w:t>
      </w:r>
      <w:r>
        <w:rPr>
          <w:rFonts w:ascii="Arial" w:cs="Arial" w:eastAsia="Arial" w:hAnsi="Arial"/>
          <w:sz w:val="18"/>
          <w:szCs w:val="18"/>
          <w:color w:val="auto"/>
        </w:rPr>
        <w:t>. A notice, statement, report or other record may be provided by the Company to the joint shareholders of a share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notice to the joint shareholder first named in the central securities register in respect of the share.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25.5 Notice to Trustees</w:t>
      </w:r>
      <w:r>
        <w:rPr>
          <w:rFonts w:ascii="Arial" w:cs="Arial" w:eastAsia="Arial" w:hAnsi="Arial"/>
          <w:sz w:val="18"/>
          <w:szCs w:val="18"/>
          <w:color w:val="auto"/>
        </w:rPr>
        <w:t>. A notice, statement, report or other record may be provided by the Company to the persons entitled to a share in consequence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death, bankruptcy or incapacity of a shareholder by:</w:t>
      </w:r>
    </w:p>
    <w:p>
      <w:pPr>
        <w:spacing w:after="0" w:line="166"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- 23 -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1300" w:right="2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address referred to in paragraph (a)(ii) has not been supplied to the Company, by giving the notice in a manner in which it might have been given if the death, bankruptcy or incapacity had not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26.1 Who May Attest Seal</w:t>
      </w:r>
      <w:r>
        <w:rPr>
          <w:rFonts w:ascii="Arial" w:cs="Arial" w:eastAsia="Arial" w:hAnsi="Arial"/>
          <w:sz w:val="18"/>
          <w:szCs w:val="18"/>
          <w:color w:val="auto"/>
        </w:rPr>
        <w:t>. Except as provided in Articles 26.2 and 26.3, the Company’s seal, if any, must not be impressed on any record except when</w:t>
      </w:r>
      <w:r>
        <w:rPr>
          <w:rFonts w:ascii="Arial" w:cs="Arial" w:eastAsia="Arial" w:hAnsi="Arial"/>
          <w:sz w:val="18"/>
          <w:szCs w:val="18"/>
          <w:b w:val="1"/>
          <w:bCs w:val="1"/>
          <w:color w:val="auto"/>
        </w:rPr>
        <w:t xml:space="preserve"> </w:t>
      </w:r>
      <w:r>
        <w:rPr>
          <w:rFonts w:ascii="Arial" w:cs="Arial" w:eastAsia="Arial" w:hAnsi="Arial"/>
          <w:sz w:val="18"/>
          <w:szCs w:val="18"/>
          <w:color w:val="auto"/>
        </w:rPr>
        <w:t>that impression is attested by the signature or signatures of:</w:t>
      </w:r>
    </w:p>
    <w:p>
      <w:pPr>
        <w:spacing w:after="0" w:line="166"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officer, together with any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resolution of the directors.</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26.2 Sealing Copies</w:t>
      </w:r>
      <w:r>
        <w:rPr>
          <w:rFonts w:ascii="Arial" w:cs="Arial" w:eastAsia="Arial" w:hAnsi="Arial"/>
          <w:sz w:val="17"/>
          <w:szCs w:val="17"/>
          <w:color w:val="auto"/>
        </w:rPr>
        <w:t>. For the purpose of certifying under seal a certificate of incumbency of the directors or officers of the Company or a true copy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or other document, despite Article 26.1, the impression of the seal may be attested by the signature of any director or officer.</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26.3 Mechanical Reproduction of Seal</w:t>
      </w:r>
      <w:r>
        <w:rPr>
          <w:rFonts w:ascii="Arial" w:cs="Arial" w:eastAsia="Arial" w:hAnsi="Arial"/>
          <w:sz w:val="16"/>
          <w:szCs w:val="16"/>
          <w:color w:val="auto"/>
        </w:rPr>
        <w:t>. The directors may authorize the seal to be impressed by third parties on share certificates or bonds, debentures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PROHIBITIONS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27.1 Definitions</w:t>
      </w:r>
      <w:r>
        <w:rPr>
          <w:rFonts w:ascii="Arial" w:cs="Arial" w:eastAsia="Arial" w:hAnsi="Arial"/>
          <w:sz w:val="18"/>
          <w:szCs w:val="18"/>
          <w:color w:val="auto"/>
        </w:rPr>
        <w:t>. In this Part 27:</w:t>
      </w:r>
    </w:p>
    <w:p>
      <w:pPr>
        <w:spacing w:after="0" w:line="22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security</w:t>
      </w:r>
      <w:r>
        <w:rPr>
          <w:rFonts w:ascii="Arial" w:cs="Arial" w:eastAsia="Arial" w:hAnsi="Arial"/>
          <w:sz w:val="18"/>
          <w:szCs w:val="18"/>
          <w:color w:val="auto"/>
        </w:rPr>
        <w:t>” means:</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voting security of the Company;</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security of the Company that is not a debt security and that carries a residual right to participate in the earnings of the Company or, on the liquidation or winding up of the Company, in its assets;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security of the Company convertible, directly or indirectly, into a security described in paragraph (a) or (b);</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has the meaning assigned in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xml:space="preserve"> (British Columbia);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security</w:t>
      </w:r>
      <w:r>
        <w:rPr>
          <w:rFonts w:ascii="Arial" w:cs="Arial" w:eastAsia="Arial" w:hAnsi="Arial"/>
          <w:sz w:val="18"/>
          <w:szCs w:val="18"/>
          <w:color w:val="auto"/>
        </w:rPr>
        <w:t>” means a security of the Company that:</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not a debt security,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carries a voting right either under all circumstances or under some circumstances that have occurred and are continuing.</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27.2 Application</w:t>
      </w:r>
      <w:r>
        <w:rPr>
          <w:rFonts w:ascii="Arial" w:cs="Arial" w:eastAsia="Arial" w:hAnsi="Arial"/>
          <w:sz w:val="18"/>
          <w:szCs w:val="18"/>
          <w:color w:val="auto"/>
        </w:rPr>
        <w:t>. Except as otherwise contemplated in Article 30.5, Article 27.3 does not apply to the Company if and for so long as it is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- 24 -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66" w:lineRule="auto"/>
        <w:rPr>
          <w:sz w:val="20"/>
          <w:szCs w:val="20"/>
          <w:color w:val="auto"/>
        </w:rPr>
      </w:pPr>
      <w:r>
        <w:rPr>
          <w:rFonts w:ascii="Arial" w:cs="Arial" w:eastAsia="Arial" w:hAnsi="Arial"/>
          <w:sz w:val="18"/>
          <w:szCs w:val="18"/>
          <w:b w:val="1"/>
          <w:bCs w:val="1"/>
          <w:color w:val="auto"/>
        </w:rPr>
        <w:t>27.3 Consent Required for Transfer of Shares or Designated Securities</w:t>
      </w:r>
      <w:r>
        <w:rPr>
          <w:rFonts w:ascii="Arial" w:cs="Arial" w:eastAsia="Arial" w:hAnsi="Arial"/>
          <w:sz w:val="18"/>
          <w:szCs w:val="18"/>
          <w:color w:val="auto"/>
        </w:rPr>
        <w:t>. No share or designated security may be sold, transferred or otherwise disposed</w:t>
      </w:r>
      <w:r>
        <w:rPr>
          <w:rFonts w:ascii="Arial" w:cs="Arial" w:eastAsia="Arial" w:hAnsi="Arial"/>
          <w:sz w:val="18"/>
          <w:szCs w:val="18"/>
          <w:b w:val="1"/>
          <w:bCs w:val="1"/>
          <w:color w:val="auto"/>
        </w:rPr>
        <w:t xml:space="preserve"> </w:t>
      </w:r>
      <w:r>
        <w:rPr>
          <w:rFonts w:ascii="Arial" w:cs="Arial" w:eastAsia="Arial" w:hAnsi="Arial"/>
          <w:sz w:val="18"/>
          <w:szCs w:val="18"/>
          <w:color w:val="auto"/>
        </w:rPr>
        <w:t>of without the consent of the directors and the directors are not required to give any reason for refusing to consent to any such sale, transfer or other disposition.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28.1 Definitions </w:t>
      </w:r>
      <w:r>
        <w:rPr>
          <w:rFonts w:ascii="Arial" w:cs="Arial" w:eastAsia="Arial" w:hAnsi="Arial"/>
          <w:sz w:val="18"/>
          <w:szCs w:val="18"/>
          <w:color w:val="auto"/>
        </w:rPr>
        <w:t>In Part 28, Part 29, Part 30, Part 31, and Part 32 of these Articles:</w:t>
      </w:r>
    </w:p>
    <w:p>
      <w:pPr>
        <w:spacing w:after="0" w:line="225" w:lineRule="exact"/>
        <w:rPr>
          <w:sz w:val="20"/>
          <w:szCs w:val="20"/>
          <w:color w:val="auto"/>
        </w:rPr>
      </w:pPr>
    </w:p>
    <w:p>
      <w:pPr>
        <w:jc w:val="both"/>
        <w:ind w:left="1300" w:hanging="644"/>
        <w:spacing w:after="0" w:line="281"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64"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w:t>
      </w:r>
      <w:r>
        <w:rPr>
          <w:rFonts w:ascii="Arial" w:cs="Arial" w:eastAsia="Arial" w:hAnsi="Arial"/>
          <w:sz w:val="18"/>
          <w:szCs w:val="18"/>
          <w:color w:val="auto"/>
        </w:rPr>
        <w:t>” means the automatic conversion into Common Shares of the Class A Special Shares, Class B Special Shares, Class C Special Shares, Class D Special Shares, Class E Special Shares, Class F Special Shares, Class G Special Shares, Class H Special Shares, Class I Special Shares or Class J Special Shares, as applicable, each in accordance with the terms and conditions set forth in Part 31 of these Articles.</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 Date</w:t>
      </w:r>
      <w:r>
        <w:rPr>
          <w:rFonts w:ascii="Arial" w:cs="Arial" w:eastAsia="Arial" w:hAnsi="Arial"/>
          <w:sz w:val="18"/>
          <w:szCs w:val="18"/>
          <w:color w:val="auto"/>
        </w:rPr>
        <w:t>” has the meaning set forth in Article 31.11.</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Equity Securities of the Company or (y) that results, directly or indirectly, in the shareholders of the Company as of immediately prior to such transaction holding, in the aggregate, less than fifty percent (50%) of the voting Equity Securities of the Company immediately after the consummation thereof (excluding, for the avoidance of doubt, any Special Shares and the Common Shares issuable upon conversion thereof pursuant to Part 31) (in the case of each of clause (x) and (y), whether by amalgamation, merger, consolidation, arrangement, tender offer, recapitalization, purchase or issuance of Equity Securities or otherwise).</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Special Shares</w:t>
      </w:r>
      <w:r>
        <w:rPr>
          <w:rFonts w:ascii="Arial" w:cs="Arial" w:eastAsia="Arial" w:hAnsi="Arial"/>
          <w:sz w:val="18"/>
          <w:szCs w:val="18"/>
          <w:color w:val="auto"/>
        </w:rPr>
        <w:t>” means the Class A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Special Shares</w:t>
      </w:r>
      <w:r>
        <w:rPr>
          <w:rFonts w:ascii="Arial" w:cs="Arial" w:eastAsia="Arial" w:hAnsi="Arial"/>
          <w:sz w:val="18"/>
          <w:szCs w:val="18"/>
          <w:color w:val="auto"/>
        </w:rPr>
        <w:t>” means the Class B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Special Shares</w:t>
      </w:r>
      <w:r>
        <w:rPr>
          <w:rFonts w:ascii="Arial" w:cs="Arial" w:eastAsia="Arial" w:hAnsi="Arial"/>
          <w:sz w:val="18"/>
          <w:szCs w:val="18"/>
          <w:color w:val="auto"/>
        </w:rPr>
        <w:t>” means the Class C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D Special Shares</w:t>
      </w:r>
      <w:r>
        <w:rPr>
          <w:rFonts w:ascii="Arial" w:cs="Arial" w:eastAsia="Arial" w:hAnsi="Arial"/>
          <w:sz w:val="18"/>
          <w:szCs w:val="18"/>
          <w:color w:val="auto"/>
        </w:rPr>
        <w:t>” means the Class D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E Special Shares</w:t>
      </w:r>
      <w:r>
        <w:rPr>
          <w:rFonts w:ascii="Arial" w:cs="Arial" w:eastAsia="Arial" w:hAnsi="Arial"/>
          <w:sz w:val="18"/>
          <w:szCs w:val="18"/>
          <w:color w:val="auto"/>
        </w:rPr>
        <w:t>” means the Class E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F Special Shares</w:t>
      </w:r>
      <w:r>
        <w:rPr>
          <w:rFonts w:ascii="Arial" w:cs="Arial" w:eastAsia="Arial" w:hAnsi="Arial"/>
          <w:sz w:val="18"/>
          <w:szCs w:val="18"/>
          <w:color w:val="auto"/>
        </w:rPr>
        <w:t>” means the Class F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G Special Shares</w:t>
      </w:r>
      <w:r>
        <w:rPr>
          <w:rFonts w:ascii="Arial" w:cs="Arial" w:eastAsia="Arial" w:hAnsi="Arial"/>
          <w:sz w:val="18"/>
          <w:szCs w:val="18"/>
          <w:color w:val="auto"/>
        </w:rPr>
        <w:t>” means the Class G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H Special Shares”</w:t>
      </w:r>
      <w:r>
        <w:rPr>
          <w:rFonts w:ascii="Arial" w:cs="Arial" w:eastAsia="Arial" w:hAnsi="Arial"/>
          <w:sz w:val="18"/>
          <w:szCs w:val="18"/>
          <w:color w:val="auto"/>
        </w:rPr>
        <w:t xml:space="preserve"> means the Class H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 Special Shares”</w:t>
      </w:r>
      <w:r>
        <w:rPr>
          <w:rFonts w:ascii="Arial" w:cs="Arial" w:eastAsia="Arial" w:hAnsi="Arial"/>
          <w:sz w:val="18"/>
          <w:szCs w:val="18"/>
          <w:color w:val="auto"/>
        </w:rPr>
        <w:t xml:space="preserve"> means the Class I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J Special Shares”</w:t>
      </w:r>
      <w:r>
        <w:rPr>
          <w:rFonts w:ascii="Arial" w:cs="Arial" w:eastAsia="Arial" w:hAnsi="Arial"/>
          <w:sz w:val="18"/>
          <w:szCs w:val="18"/>
          <w:color w:val="auto"/>
        </w:rPr>
        <w:t xml:space="preserve"> means the Class J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the common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has the meaning set forth in Article 30.6.</w:t>
      </w:r>
    </w:p>
    <w:p>
      <w:pPr>
        <w:spacing w:after="0" w:line="225" w:lineRule="exact"/>
        <w:rPr>
          <w:rFonts w:ascii="Arial" w:cs="Arial" w:eastAsia="Arial" w:hAnsi="Arial"/>
          <w:sz w:val="18"/>
          <w:szCs w:val="18"/>
          <w:color w:val="auto"/>
        </w:rPr>
      </w:pPr>
    </w:p>
    <w:p>
      <w:pPr>
        <w:jc w:val="both"/>
        <w:ind w:left="1300" w:hanging="644"/>
        <w:spacing w:after="0" w:line="314"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Securities</w:t>
      </w:r>
      <w:r>
        <w:rPr>
          <w:rFonts w:ascii="Arial" w:cs="Arial" w:eastAsia="Arial" w:hAnsi="Arial"/>
          <w:sz w:val="16"/>
          <w:szCs w:val="16"/>
          <w:color w:val="auto"/>
        </w:rPr>
        <w:t>” means the Common Shares, the Preferred Shares, the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35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- 25 -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of any share referred to herein means the holder of such share as registered on the central securities register of the Company and, in respect of shares held by joint holders, means all such joint holders.</w:t>
      </w:r>
    </w:p>
    <w:p>
      <w:pPr>
        <w:spacing w:after="0" w:line="161" w:lineRule="exact"/>
        <w:rPr>
          <w:rFonts w:ascii="Arial" w:cs="Arial" w:eastAsia="Arial" w:hAnsi="Arial"/>
          <w:sz w:val="18"/>
          <w:szCs w:val="18"/>
          <w:color w:val="auto"/>
        </w:rPr>
      </w:pPr>
    </w:p>
    <w:p>
      <w:pPr>
        <w:jc w:val="both"/>
        <w:ind w:left="644" w:hanging="644"/>
        <w:spacing w:after="0" w:line="258"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Transmittal</w:t>
      </w:r>
      <w:r>
        <w:rPr>
          <w:rFonts w:ascii="Arial" w:cs="Arial" w:eastAsia="Arial" w:hAnsi="Arial"/>
          <w:sz w:val="18"/>
          <w:szCs w:val="18"/>
          <w:color w:val="auto"/>
        </w:rPr>
        <w:t>” means the letter of transmittal executed and delivered by holders of securities of DeepGreen Metals Inc. as a condition to obtaining Equity Securities arising from or in connection with the Business Combination Agreement (the “</w:t>
      </w:r>
      <w:r>
        <w:rPr>
          <w:rFonts w:ascii="Arial" w:cs="Arial" w:eastAsia="Arial" w:hAnsi="Arial"/>
          <w:sz w:val="18"/>
          <w:szCs w:val="18"/>
          <w:b w:val="1"/>
          <w:bCs w:val="1"/>
          <w:color w:val="auto"/>
        </w:rPr>
        <w:t>BCA</w:t>
      </w:r>
      <w:r>
        <w:rPr>
          <w:rFonts w:ascii="Arial" w:cs="Arial" w:eastAsia="Arial" w:hAnsi="Arial"/>
          <w:sz w:val="18"/>
          <w:szCs w:val="18"/>
          <w:color w:val="auto"/>
        </w:rPr>
        <w:t>”) between DeepGreen Metals Inc., 1291924 B.C. Unlimited Liability Company and the Company dated as of March 4, 2021 (including, for greater certainty, Equity Securities issued pursuant to the exercise of Rollover Options (as defined therein) after the completion of the transactions contemplated therein).</w:t>
      </w:r>
    </w:p>
    <w:p>
      <w:pPr>
        <w:spacing w:after="0" w:line="183"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Distribution</w:t>
      </w:r>
      <w:r>
        <w:rPr>
          <w:rFonts w:ascii="Arial" w:cs="Arial" w:eastAsia="Arial" w:hAnsi="Arial"/>
          <w:sz w:val="18"/>
          <w:szCs w:val="18"/>
          <w:color w:val="auto"/>
        </w:rPr>
        <w:t>” means a distribution of assets of the Company among its shareholders arising on the liquidation, dissolution or winding up of the Company, whether voluntary or involuntary, or any other distribution of the assets of the Company among its shareholders for the purpose of winding up its affairs.</w:t>
      </w:r>
    </w:p>
    <w:p>
      <w:pPr>
        <w:spacing w:after="0" w:line="175"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means the date, on or about September 9, 2021, on which the first Special Share is issued.</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 in respect of a proposed Transfer by a holder of Special Shares:</w:t>
      </w:r>
    </w:p>
    <w:p>
      <w:pPr>
        <w:spacing w:after="0" w:line="229" w:lineRule="exact"/>
        <w:rPr>
          <w:rFonts w:ascii="Arial" w:cs="Arial" w:eastAsia="Arial" w:hAnsi="Arial"/>
          <w:sz w:val="18"/>
          <w:szCs w:val="18"/>
          <w:color w:val="auto"/>
        </w:rPr>
      </w:pPr>
    </w:p>
    <w:p>
      <w:pPr>
        <w:ind w:left="1304" w:hanging="656"/>
        <w:spacing w:after="0" w:line="342" w:lineRule="auto"/>
        <w:tabs>
          <w:tab w:leader="none" w:pos="1304"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case of an individual, by gift to a member of one of the individual’s immediate family, to a trust, the beneficiaries of which are members of the individual’s immediate family or an Affiliate of such individual, in each case for estate planning purposes;</w:t>
      </w:r>
    </w:p>
    <w:p>
      <w:pPr>
        <w:spacing w:after="0" w:line="123" w:lineRule="exact"/>
        <w:rPr>
          <w:rFonts w:ascii="Arial" w:cs="Arial" w:eastAsia="Arial" w:hAnsi="Arial"/>
          <w:sz w:val="16"/>
          <w:szCs w:val="16"/>
          <w:color w:val="auto"/>
        </w:rPr>
      </w:pPr>
    </w:p>
    <w:p>
      <w:pPr>
        <w:ind w:left="1304" w:hanging="656"/>
        <w:spacing w:after="0"/>
        <w:tabs>
          <w:tab w:leader="none" w:pos="13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the individual;</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by virtue of the holder’s organizational documents upon liquidation or dissolution of the holder; or</w:t>
      </w:r>
    </w:p>
    <w:p>
      <w:pPr>
        <w:spacing w:after="0" w:line="225"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subject to the provisions of Article 30.5, a Transfer to the officers or directors of such holder, the members or partners of such holder, any Affiliates of such holder or any employee of such Affiliate.</w:t>
      </w:r>
    </w:p>
    <w:p>
      <w:pPr>
        <w:spacing w:after="0" w:line="166"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any transferee arising from a Permitted Transfer.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means the preferred shares in the capital of the Company, issuable in series.</w:t>
      </w:r>
    </w:p>
    <w:p>
      <w:pPr>
        <w:spacing w:after="0" w:line="252"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with respect to each Class A Special Share, Class B Special Share, Class C Special Share, Class D Special Share, Class E Special Share, Class F Special Share, Class G Special Share, Class H Special Share, Class I Special Share and Class J Special Share, shall be equal to US$0.00000000001 per share.</w:t>
      </w:r>
    </w:p>
    <w:p>
      <w:pPr>
        <w:spacing w:after="0" w:line="176" w:lineRule="exact"/>
        <w:rPr>
          <w:sz w:val="20"/>
          <w:szCs w:val="20"/>
          <w:color w:val="auto"/>
        </w:rPr>
      </w:pPr>
    </w:p>
    <w:p>
      <w:pPr>
        <w:ind w:left="644" w:hanging="644"/>
        <w:spacing w:after="0"/>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Time</w:t>
      </w:r>
      <w:r>
        <w:rPr>
          <w:rFonts w:ascii="Arial" w:cs="Arial" w:eastAsia="Arial" w:hAnsi="Arial"/>
          <w:sz w:val="18"/>
          <w:szCs w:val="18"/>
          <w:color w:val="auto"/>
        </w:rPr>
        <w:t>” has the meaning set forth in Article 30.4.</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61"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Shares</w:t>
      </w:r>
      <w:r>
        <w:rPr>
          <w:rFonts w:ascii="Arial" w:cs="Arial" w:eastAsia="Arial" w:hAnsi="Arial"/>
          <w:sz w:val="18"/>
          <w:szCs w:val="18"/>
          <w:color w:val="auto"/>
        </w:rPr>
        <w:t>” means, collectively, the Class A Special Shares, Class B Special Shares, Class C Special Shares, Class D Special Shares, Class E Special Shares, Class F Special Shares, Class G Special Shares, Class H Special Shares, Class I Special Shares and Class J Special Shares.</w:t>
      </w:r>
    </w:p>
    <w:p>
      <w:pPr>
        <w:spacing w:after="0" w:line="17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Common Shares are actually traded on the principal securities exchange or securities market on which Common Shares are then traded.</w:t>
      </w:r>
    </w:p>
    <w:p>
      <w:pPr>
        <w:spacing w:after="0" w:line="161" w:lineRule="exact"/>
        <w:rPr>
          <w:rFonts w:ascii="Arial" w:cs="Arial" w:eastAsia="Arial" w:hAnsi="Arial"/>
          <w:sz w:val="18"/>
          <w:szCs w:val="18"/>
          <w:color w:val="auto"/>
        </w:rPr>
      </w:pPr>
    </w:p>
    <w:p>
      <w:pPr>
        <w:jc w:val="both"/>
        <w:ind w:left="644" w:hanging="644"/>
        <w:spacing w:after="0" w:line="261"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 provided that a Permitted Transfer as contemplated in Article 28.1(w)(i) and Article 28.1(w)(v) shall be without consideration or for nominal consideration).</w:t>
      </w:r>
    </w:p>
    <w:p>
      <w:pPr>
        <w:spacing w:after="0" w:line="396"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- 26 -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7"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29.1 Voting </w:t>
      </w:r>
      <w:r>
        <w:rPr>
          <w:rFonts w:ascii="Arial" w:cs="Arial" w:eastAsia="Arial" w:hAnsi="Arial"/>
          <w:sz w:val="17"/>
          <w:szCs w:val="17"/>
          <w:color w:val="auto"/>
        </w:rPr>
        <w:t>The holders of the Common Shares shall be entitled to one vote for each Common Share held at all meetings of shareholders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meetings at which only the holders of another class or series of shares are entitled to vote separately as a class or series.</w:t>
      </w:r>
    </w:p>
    <w:p>
      <w:pPr>
        <w:spacing w:after="0" w:line="14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29.2 Dividends </w:t>
      </w:r>
      <w:r>
        <w:rPr>
          <w:rFonts w:ascii="Arial" w:cs="Arial" w:eastAsia="Arial" w:hAnsi="Arial"/>
          <w:sz w:val="16"/>
          <w:szCs w:val="16"/>
          <w:color w:val="auto"/>
        </w:rPr>
        <w:t>Subject to the prior rights of the Preferred Shares and any other class ranking senior to the Common Shares, the holders of the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shall be entitled to receive and the Company shall pay thereon, as and when declared by the directors of the Company out of moneys of the Company properly applicable to the payment of dividends, such non-cumulative dividends as the directors may from time to time declare.</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29.3 Liquidation Distribution </w:t>
      </w:r>
      <w:r>
        <w:rPr>
          <w:rFonts w:ascii="Arial" w:cs="Arial" w:eastAsia="Arial" w:hAnsi="Arial"/>
          <w:sz w:val="18"/>
          <w:szCs w:val="18"/>
          <w:color w:val="auto"/>
        </w:rPr>
        <w:t>In the event of any Liquidation Distribution, subject to the prior rights of the holders of Special Shares,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Shares of all series and the holders of the shares of any other class ranking senior to the Common Shares, the holders of the Common Shares shall be entitled to receive all remaining property and assets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SHARES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30.1 Non-Voting </w:t>
      </w:r>
      <w:r>
        <w:rPr>
          <w:rFonts w:ascii="Arial" w:cs="Arial" w:eastAsia="Arial" w:hAnsi="Arial"/>
          <w:sz w:val="18"/>
          <w:szCs w:val="18"/>
          <w:color w:val="auto"/>
        </w:rPr>
        <w:t>The holders of the Special Shares shall not be entitled to any voting rights except as otherwise required under the Business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30.2 Dividends </w:t>
      </w:r>
      <w:r>
        <w:rPr>
          <w:rFonts w:ascii="Arial" w:cs="Arial" w:eastAsia="Arial" w:hAnsi="Arial"/>
          <w:sz w:val="17"/>
          <w:szCs w:val="17"/>
          <w:color w:val="auto"/>
        </w:rPr>
        <w:t>The holders of the Special Shares shall not be entitled to any dividends or other distributions other than a Liquidation Distribution.</w:t>
      </w:r>
    </w:p>
    <w:p>
      <w:pPr>
        <w:spacing w:after="0" w:line="23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30.3 Liquidation Distribution </w:t>
      </w:r>
      <w:r>
        <w:rPr>
          <w:rFonts w:ascii="Arial" w:cs="Arial" w:eastAsia="Arial" w:hAnsi="Arial"/>
          <w:sz w:val="16"/>
          <w:szCs w:val="16"/>
          <w:color w:val="auto"/>
        </w:rPr>
        <w:t>In the event of any Liquidation Distribution, the holders of Special Shares shall be entitled to receive, before any 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of capital or any distribution of any part of the assets of the Company to the holders of the Common Shares, and any shares ranking junior to the Special Shares, an amount per Special Share equal to the Redemption Price. After payment to the holders of the Special Shares of the amount so payable to them as above provided, the holders of the Special Shares shall not be entitled to share in any further distribution of the property or assets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30.4 Redemption </w:t>
      </w:r>
      <w:r>
        <w:rPr>
          <w:rFonts w:ascii="Arial" w:cs="Arial" w:eastAsia="Arial" w:hAnsi="Arial"/>
          <w:sz w:val="18"/>
          <w:szCs w:val="18"/>
          <w:color w:val="auto"/>
        </w:rPr>
        <w:t>Subject to Section 79 of the Business Corporations Act, the Company shall:</w:t>
      </w:r>
    </w:p>
    <w:p>
      <w:pPr>
        <w:spacing w:after="0" w:line="209"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36"/>
          <w:szCs w:val="36"/>
          <w:color w:val="auto"/>
          <w:vertAlign w:val="superscript"/>
        </w:rPr>
      </w:pPr>
      <w:r>
        <w:rPr>
          <w:rFonts w:ascii="Arial" w:cs="Arial" w:eastAsia="Arial" w:hAnsi="Arial"/>
          <w:sz w:val="18"/>
          <w:szCs w:val="18"/>
          <w:color w:val="auto"/>
        </w:rPr>
        <w:t>at any time after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year anniversary of the Original Issue Date; or</w:t>
      </w:r>
    </w:p>
    <w:p>
      <w:pPr>
        <w:spacing w:after="0" w:line="78" w:lineRule="exact"/>
        <w:rPr>
          <w:rFonts w:ascii="Arial" w:cs="Arial" w:eastAsia="Arial" w:hAnsi="Arial"/>
          <w:sz w:val="36"/>
          <w:szCs w:val="36"/>
          <w:color w:val="auto"/>
          <w:vertAlign w:val="superscript"/>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any time after a Change of Control;</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without notice, redeem at any time the whole of the then outstanding Special Shares on payment, in respect of each Special Share to be redeemed, of the Redemption Price thereon (provided that the ability to redeem Special Shares shall not apply in respect of any Special Shares which are automatically converted into Common Shares in accordance with the provisions of Part 31).</w:t>
      </w:r>
    </w:p>
    <w:p>
      <w:pPr>
        <w:spacing w:after="0" w:line="18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Subject to Section 79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in the event that any holder of Special Shares breaches any covenant of such holder, in respect of its ownership of the Special Shares, contained in the Letter of Transmittal, such holder’s Special Shares shall be deemed to be immediately redeemed, without notice or formality, whereupon such holder shall cease to hold any rights in respect of such Special Shares and shall only be entitled to receive an amount equal to the aggregate of the Redemption Price in respect of such holder’s Special Shares. Any such redemption of Special Shares shall be immediate upon the occurrence of such breach (the “</w:t>
      </w:r>
      <w:r>
        <w:rPr>
          <w:rFonts w:ascii="Arial" w:cs="Arial" w:eastAsia="Arial" w:hAnsi="Arial"/>
          <w:sz w:val="17"/>
          <w:szCs w:val="17"/>
          <w:b w:val="1"/>
          <w:bCs w:val="1"/>
          <w:color w:val="auto"/>
        </w:rPr>
        <w:t>Redemption Time</w:t>
      </w:r>
      <w:r>
        <w:rPr>
          <w:rFonts w:ascii="Arial" w:cs="Arial" w:eastAsia="Arial" w:hAnsi="Arial"/>
          <w:sz w:val="17"/>
          <w:szCs w:val="17"/>
          <w:color w:val="auto"/>
        </w:rPr>
        <w:t>”), and such holder’s only rights in respect thereof shall be to receive the Redemption Price in respect of such Special Shares. For greater certainty, after the Redemption Time, the rights in respect of Special Shares of such holder shall no longer be exercisable by such holder in respect thereof. The Company shall thereafter deliver to such holder of Special Shares the Redemption Price thereon.</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30.5 Limits on Transferability </w:t>
      </w:r>
      <w:r>
        <w:rPr>
          <w:rFonts w:ascii="Arial" w:cs="Arial" w:eastAsia="Arial" w:hAnsi="Arial"/>
          <w:sz w:val="18"/>
          <w:szCs w:val="18"/>
          <w:color w:val="auto"/>
        </w:rPr>
        <w:t>None of the Special Shares may be Transferred without the prior approval of the board of directors, which shall only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if:</w:t>
      </w:r>
    </w:p>
    <w:p>
      <w:pPr>
        <w:spacing w:after="0" w:line="166"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board of directors is satisfied that the Transfer is a Permitted Transfer; and</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- 27 -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1300" w:hanging="644"/>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transferring holder and the Permitted Transferee enter into a written agreement in form and substance reasonably satisfactory to the Company providing such assurances as the Company may require relating to, among other things: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eligibility of the Transfer as a Permitted Transfer;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Permitted Transferee’s acknowledgement of the transfer restrictions in respect of the Special Shares being transferred; and</w:t>
      </w:r>
    </w:p>
    <w:p>
      <w:pPr>
        <w:spacing w:after="0" w:line="248" w:lineRule="exact"/>
        <w:rPr>
          <w:rFonts w:ascii="Arial" w:cs="Arial" w:eastAsia="Arial" w:hAnsi="Arial"/>
          <w:sz w:val="16"/>
          <w:szCs w:val="16"/>
          <w:color w:val="auto"/>
        </w:rPr>
      </w:pPr>
    </w:p>
    <w:p>
      <w:pPr>
        <w:jc w:val="both"/>
        <w:ind w:left="1960" w:hanging="656"/>
        <w:spacing w:after="0" w:line="263"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Permitted Transferee’s agreement to be bound by all of the covenants, agreements and obligations of the transferring holder to the Company in respect of (x) matters relating to the Special Shares and (y) the transferring holder’s ownership of the Special Shares.</w:t>
      </w:r>
    </w:p>
    <w:p>
      <w:pPr>
        <w:spacing w:after="0" w:line="184"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Company shall not register, and no holder shall have any right to request, any Transfer of the registered ownership of any Special Shares without such approval. For greater certainty, no holder shall be entitled to pledge, mortgage, exchange, hypothecate or grant a security interest or encumbrance in any Special Shares. Notwithstanding the foregoing, any holder or proposed holder of Special Shares may, at such Person’s option, at any time (whether before or after the issuance of any Special Shares to such Person) provide an irrevocable direction and agreement (the “</w:t>
      </w:r>
      <w:r>
        <w:rPr>
          <w:rFonts w:ascii="Arial" w:cs="Arial" w:eastAsia="Arial" w:hAnsi="Arial"/>
          <w:sz w:val="17"/>
          <w:szCs w:val="17"/>
          <w:b w:val="1"/>
          <w:bCs w:val="1"/>
          <w:color w:val="auto"/>
        </w:rPr>
        <w:t>Direction</w:t>
      </w:r>
      <w:r>
        <w:rPr>
          <w:rFonts w:ascii="Arial" w:cs="Arial" w:eastAsia="Arial" w:hAnsi="Arial"/>
          <w:sz w:val="17"/>
          <w:szCs w:val="17"/>
          <w:color w:val="auto"/>
        </w:rPr>
        <w:t>”) in favour of the Company (which Direction may be contained in the Letter of Transmittal or in a separate document delivered to the Company), that a proposed Transfer contemplated in Article 28.1(w)(v) shall be deemed not be a Permitted Transfer in respect of any Special Shares held or proposed to be held by such Person (and, for greater certainty, such Direction may (but need not) also provide that any other proposed Transfer contemplated in Article 28.1(w)(v) shall be conditional upon the proposed transferee executing an identical Direction), whereupon the Company shall thereafter disregard any request by such Person for a Transfer to be made pursuant to Article 28.1(w)(v) unless such request complies with such Direction.</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30.6 Conversion Provisions </w:t>
      </w:r>
      <w:r>
        <w:rPr>
          <w:rFonts w:ascii="Arial" w:cs="Arial" w:eastAsia="Arial" w:hAnsi="Arial"/>
          <w:sz w:val="18"/>
          <w:szCs w:val="18"/>
          <w:color w:val="auto"/>
        </w:rPr>
        <w:t>Unless and until adjusted as provided for in this Article 30.6, for all conversions of Special Shares, each Special Share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converted into Common Shares on a 1:1 basis (the “Conversion Rate”).</w:t>
      </w:r>
    </w:p>
    <w:p>
      <w:pPr>
        <w:spacing w:after="0" w:line="166" w:lineRule="exact"/>
        <w:rPr>
          <w:sz w:val="20"/>
          <w:szCs w:val="20"/>
          <w:color w:val="auto"/>
        </w:rPr>
      </w:pPr>
    </w:p>
    <w:p>
      <w:pPr>
        <w:jc w:val="both"/>
        <w:ind w:left="1300" w:hanging="644"/>
        <w:spacing w:after="0" w:line="25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fractional Common Shares shall be issued upon conversion of the Special Shares. All Common Shares (including fractions thereof) issuable upon conversion of more than one Special Share by a holder thereof shall be aggregated for the purpose of determining whether the conversion would result in the issuance of any fractional share. If, after the aforementioned aggregation, the conversion would result in the issuance of any fractional Common Share, the holder shall be entitled to the number of Common Shares determined by rounding the entitlement down to the nearest whole number.</w:t>
      </w:r>
    </w:p>
    <w:p>
      <w:pPr>
        <w:spacing w:after="0" w:line="187"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 Company shall at any time or from time to time after the Original Issue Date effect a subdivision of the outstanding Common Shares, the Special Shares shall be similarly subdivided at the same time (failing which the Conversion Rate shall be adjusted accordingly). If the Company shall at any time or from time to time after the Original Issue Date effect a consolidation of the outstanding Common Shares, the Special Shares shall be similarly consolidated at the same time (failing which the Conversion Rate shall be adjusted accordingly). In each case, the dollar values set forth in Part 31 shall be appropriately adjusted to provide the holders of the Special Shares the same economic effect as contemplated by these Articles prior to such event.</w:t>
      </w:r>
    </w:p>
    <w:p>
      <w:pPr>
        <w:spacing w:after="0" w:line="177"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Common Shares of the Company shall be changed into the same or a different number of shares of any class, whether by capital reorganization, reclassification, or otherwise (other than a subdivision or combination of shares, or a reorganization, merger, amalgamation, arrangement, consolidation, business combination or sale of assets provided for below), then in the event that any Special Shares are thereafter converted into Common Shares, the holders of the Special Shares shall be entitled to receive the kind and amount of shares or other securities or property receivable, upon such reorganization, reclassification or other change, that would have otherwise been receivable by the holders of the number of Common Shares into which such Special Shares would have been converted immediately prior to such reorganization, reclassification or change, all subject to further adjustment as provided herein.</w:t>
      </w:r>
    </w:p>
    <w:p>
      <w:pPr>
        <w:spacing w:after="0" w:line="166" w:lineRule="exact"/>
        <w:rPr>
          <w:rFonts w:ascii="Arial" w:cs="Arial" w:eastAsia="Arial" w:hAnsi="Arial"/>
          <w:sz w:val="16"/>
          <w:szCs w:val="16"/>
          <w:color w:val="auto"/>
        </w:rPr>
      </w:pPr>
    </w:p>
    <w:p>
      <w:pPr>
        <w:jc w:val="both"/>
        <w:ind w:left="1300" w:hanging="644"/>
        <w:spacing w:after="0" w:line="288"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case of any merger, amalgamation, consolidation, arrangement, reorganization or other business combination involving the Company and any other corporation or other entity or Person (in each case, other than a Change of Control), then in the event that any Special Shares are thereafter converted into Common Shares, such Special Shares shall thereafter be convertible (or shall be converted into a security which shall be convertible) into the kind and amount of shares or other securities or property to which a holder of the number of Common Shares of the Company that would have otherwise been deliverable upon conversion of such Special Shares would have been entitled upon such event; and, in such case, appropriate adjustment (as determined in good faith by the board of directors of the Company) shall be made in the application of the provisions in this Article 30.6(d) set forth with respect to the rights and interest thereafter of the holders of the Special Shares, to the end that the provisions set forth in this Article 30.6(d) (including provisions with respect to changes in and other adjustments of the Conversion Rate) shall thereafter be applicable, as nearly as reasonably may be, in relation to any shares or other securities or property thereafter deliverable upon the conversion of the Special Shares.</w:t>
      </w:r>
    </w:p>
    <w:p>
      <w:pPr>
        <w:spacing w:after="0" w:line="38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- 28 -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left="1300" w:hanging="644"/>
        <w:spacing w:after="0" w:line="263"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any Special Shares being converted as herein provided, all rights with respect to such shares, including the rights, if any, to receive notices and to vote, shall immediately cease and terminate on the Automatic Conversion Date, other than the right of the holders thereof to receive Common Shares in exchange therefor.</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31</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AUTOMATIC CONVERSIONS OF SPECIAL SHARES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31.1 Class A Special Shares </w:t>
      </w:r>
      <w:r>
        <w:rPr>
          <w:rFonts w:ascii="Arial" w:cs="Arial" w:eastAsia="Arial" w:hAnsi="Arial"/>
          <w:sz w:val="18"/>
          <w:szCs w:val="18"/>
          <w:color w:val="auto"/>
        </w:rPr>
        <w:t>Class A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US$15.00;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US$15.00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31.2 Class B Special Shares </w:t>
      </w:r>
      <w:r>
        <w:rPr>
          <w:rFonts w:ascii="Arial" w:cs="Arial" w:eastAsia="Arial" w:hAnsi="Arial"/>
          <w:sz w:val="18"/>
          <w:szCs w:val="18"/>
          <w:color w:val="auto"/>
        </w:rPr>
        <w:t>Class B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US$25.00;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US$25.00 per Common Share.</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31.3 Class C Special Shares </w:t>
      </w:r>
      <w:r>
        <w:rPr>
          <w:rFonts w:ascii="Arial" w:cs="Arial" w:eastAsia="Arial" w:hAnsi="Arial"/>
          <w:sz w:val="18"/>
          <w:szCs w:val="18"/>
          <w:color w:val="auto"/>
        </w:rPr>
        <w:t>Class C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US$35.00;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US$35.00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31.4 Class D Special Shares </w:t>
      </w:r>
      <w:r>
        <w:rPr>
          <w:rFonts w:ascii="Arial" w:cs="Arial" w:eastAsia="Arial" w:hAnsi="Arial"/>
          <w:sz w:val="18"/>
          <w:szCs w:val="18"/>
          <w:color w:val="auto"/>
        </w:rPr>
        <w:t>Class D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US$50.00;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US$50.00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31.5 Class E Special Shares </w:t>
      </w:r>
      <w:r>
        <w:rPr>
          <w:rFonts w:ascii="Arial" w:cs="Arial" w:eastAsia="Arial" w:hAnsi="Arial"/>
          <w:sz w:val="18"/>
          <w:szCs w:val="18"/>
          <w:color w:val="auto"/>
        </w:rPr>
        <w:t>Class E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US$75.00; or</w:t>
      </w:r>
    </w:p>
    <w:p>
      <w:pPr>
        <w:spacing w:after="0" w:line="35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- 29 -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1300" w:right="20" w:hanging="644"/>
        <w:spacing w:after="0" w:line="277"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US$75.00 per Common Share.</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31.6 Class F Special Shares </w:t>
      </w:r>
      <w:r>
        <w:rPr>
          <w:rFonts w:ascii="Arial" w:cs="Arial" w:eastAsia="Arial" w:hAnsi="Arial"/>
          <w:sz w:val="18"/>
          <w:szCs w:val="18"/>
          <w:color w:val="auto"/>
        </w:rPr>
        <w:t>Class F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US$100.00;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US$100.00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31.7 Class G Special Shares </w:t>
      </w:r>
      <w:r>
        <w:rPr>
          <w:rFonts w:ascii="Arial" w:cs="Arial" w:eastAsia="Arial" w:hAnsi="Arial"/>
          <w:sz w:val="18"/>
          <w:szCs w:val="18"/>
          <w:color w:val="auto"/>
        </w:rPr>
        <w:t>Class G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US$150.00;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US$150.00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31.8 Class H Special Shares </w:t>
      </w:r>
      <w:r>
        <w:rPr>
          <w:rFonts w:ascii="Arial" w:cs="Arial" w:eastAsia="Arial" w:hAnsi="Arial"/>
          <w:sz w:val="18"/>
          <w:szCs w:val="18"/>
          <w:color w:val="auto"/>
        </w:rPr>
        <w:t>Class H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US$200.00;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US$200.00 per Common Share.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31.9 Class I Special Shares </w:t>
      </w:r>
      <w:r>
        <w:rPr>
          <w:rFonts w:ascii="Arial" w:cs="Arial" w:eastAsia="Arial" w:hAnsi="Arial"/>
          <w:sz w:val="16"/>
          <w:szCs w:val="16"/>
          <w:color w:val="auto"/>
        </w:rPr>
        <w:t>Class I Special Shares shall be converted automatically into Common Shares in accordance with the provisions set forth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 31 if:</w:t>
      </w:r>
    </w:p>
    <w:p>
      <w:pPr>
        <w:spacing w:after="0" w:line="211" w:lineRule="exact"/>
        <w:rPr>
          <w:sz w:val="20"/>
          <w:szCs w:val="20"/>
          <w:color w:val="auto"/>
        </w:rPr>
      </w:pPr>
    </w:p>
    <w:p>
      <w:pPr>
        <w:ind w:left="1300" w:hanging="644"/>
        <w:spacing w:after="0" w:line="308" w:lineRule="auto"/>
        <w:tabs>
          <w:tab w:leader="none" w:pos="13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US$50.00;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US$50.00 per Common Share.</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31.10 Class J Special Shares </w:t>
      </w:r>
      <w:r>
        <w:rPr>
          <w:rFonts w:ascii="Arial" w:cs="Arial" w:eastAsia="Arial" w:hAnsi="Arial"/>
          <w:sz w:val="18"/>
          <w:szCs w:val="18"/>
          <w:color w:val="auto"/>
        </w:rPr>
        <w:t>Class J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r>
        <w:rPr>
          <w:rFonts w:ascii="Arial" w:cs="Arial" w:eastAsia="Arial" w:hAnsi="Arial"/>
          <w:sz w:val="18"/>
          <w:szCs w:val="18"/>
          <w:b w:val="1"/>
          <w:bCs w:val="1"/>
          <w:color w:val="auto"/>
        </w:rPr>
        <w:t>:</w:t>
      </w:r>
    </w:p>
    <w:p>
      <w:pPr>
        <w:spacing w:after="0" w:line="166" w:lineRule="exact"/>
        <w:rPr>
          <w:sz w:val="20"/>
          <w:szCs w:val="20"/>
          <w:color w:val="auto"/>
        </w:rPr>
      </w:pPr>
    </w:p>
    <w:p>
      <w:pPr>
        <w:ind w:left="1300" w:hanging="644"/>
        <w:spacing w:after="0" w:line="308" w:lineRule="auto"/>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US$12.00;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US$12.00 per Common Share.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31.11 Automatic Conversion. </w:t>
      </w:r>
      <w:r>
        <w:rPr>
          <w:rFonts w:ascii="Arial" w:cs="Arial" w:eastAsia="Arial" w:hAnsi="Arial"/>
          <w:sz w:val="17"/>
          <w:szCs w:val="17"/>
          <w:color w:val="auto"/>
        </w:rPr>
        <w:t>Upon the occurrence of an Automatic Conversion under the foregoing Articles, all the then issued and outstanding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the applicable class shall be converted automatically without any further action by the holders thereof and whether or not the certificates (if any) representing such shares are surrendered to the Company or its transfer agent; provided, however, that in each case all holders of Special Shares being converted shall be </w:t>
      </w:r>
      <w:r>
        <w:rPr>
          <w:rFonts w:ascii="Arial" w:cs="Arial" w:eastAsia="Arial" w:hAnsi="Arial"/>
          <w:sz w:val="17"/>
          <w:szCs w:val="17"/>
          <w:b w:val="1"/>
          <w:bCs w:val="1"/>
          <w:color w:val="auto"/>
        </w:rPr>
        <w:t>given written notice of the</w:t>
      </w:r>
      <w:r>
        <w:rPr>
          <w:rFonts w:ascii="Arial" w:cs="Arial" w:eastAsia="Arial" w:hAnsi="Arial"/>
          <w:sz w:val="17"/>
          <w:szCs w:val="17"/>
          <w:color w:val="auto"/>
        </w:rPr>
        <w:t xml:space="preserve"> occurrence of an Automatic Conversion, including the date such event occurred (the “Automatic Conversion Date”), and the Company shall not be obligated to issue certificates evidencing the Common Shares issuable upon such conversion unless certificates evidencing such Special Shares being converted, if any, are either delivered to the Company, or its transfer agent, or the holder notifies the Company, or its transfer agent, that such certificates have been lost, stolen or destroyed and executes an agreement satisfactory to the Company to indemnify the Company (and its transfer agent, if applicable) from any loss incurred by it in connection therewith</w:t>
      </w:r>
      <w:r>
        <w:rPr>
          <w:rFonts w:ascii="Arial" w:cs="Arial" w:eastAsia="Arial" w:hAnsi="Arial"/>
          <w:sz w:val="17"/>
          <w:szCs w:val="17"/>
          <w:b w:val="1"/>
          <w:bCs w:val="1"/>
          <w:color w:val="auto"/>
        </w:rPr>
        <w:t>.</w:t>
      </w:r>
    </w:p>
    <w:p>
      <w:pPr>
        <w:spacing w:after="0" w:line="38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- 30 -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b w:val="1"/>
          <w:bCs w:val="1"/>
          <w:color w:val="auto"/>
        </w:rPr>
        <w:t xml:space="preserve">31.12 Effect of Automatic Conversion </w:t>
      </w:r>
      <w:r>
        <w:rPr>
          <w:rFonts w:ascii="Arial" w:cs="Arial" w:eastAsia="Arial" w:hAnsi="Arial"/>
          <w:sz w:val="18"/>
          <w:szCs w:val="18"/>
          <w:color w:val="auto"/>
        </w:rPr>
        <w:t>On the Automatic Conversion Date, all rights with respect to the Special Shares so converted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any of the rights of the holder thereof, upon surrender of the holder’s certificate or certificates therefor, to receive certificates for the number of Common Shares into which such Special Shares have been converted. Upon the automatic conversion of the applicable Special Shares, the holders of such Special Shares shall surrender the certificates representing such shares at the registered office of the Company or of its transfer agent. Upon surrender of such certificates, the Company shall promptly issue and deliver to such holder, in such holder’s name as shown on such surrendered certificate or certificates, a certificate or certificates for the number of Common Shares into which the Special Shares surrendered were converted on the Automatic Conversion Date. Such conversion shall be deemed to have been made upon the occurrence of the Automatic Conversion and the Person or Persons entitled to receive the Common Shares issuable upon conversion shall be treated for all purposes as the record holder or holders of such Common Shares at such time</w:t>
      </w:r>
      <w:r>
        <w:rPr>
          <w:rFonts w:ascii="Arial" w:cs="Arial" w:eastAsia="Arial" w:hAnsi="Arial"/>
          <w:sz w:val="18"/>
          <w:szCs w:val="18"/>
          <w:b w:val="1"/>
          <w:bCs w:val="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Issuable in Series</w:t>
      </w:r>
    </w:p>
    <w:p>
      <w:pPr>
        <w:spacing w:after="0" w:line="229"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Preferred Shares may include one or more series.</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Subject to Article 32.1(c) of these Articles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from time to time, the directors by resolution or the shareholders by ordinary resolution may, if none of the Preferred Shares of any particular series are issued, alter these Articles and authorize the alteration of the Notice of Articles of the Company, as the case may be, to do one or more of the following:</w:t>
      </w:r>
    </w:p>
    <w:p>
      <w:pPr>
        <w:spacing w:after="0" w:line="165"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determine the maximum number of shares of any of those series of Preferred Shares that the Company is authorized to issue, determine that there is no such maximum number, or alter any determination made under this Article 32.1(b)(i) or otherwise in relation to a maximum number of those shares;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create an identifying create an identifying name by which the shares of any of those series of Preferred Shares may be identified, or alter any identifying name created for those shares;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attach or alter special rights or restrictions to the shares of any of those series of Preferred Shares, including, but without limiting or restricting the generality of the foregoing, special rights or restrictions with respect to:</w:t>
      </w:r>
    </w:p>
    <w:p>
      <w:pPr>
        <w:spacing w:after="0" w:line="170" w:lineRule="exact"/>
        <w:rPr>
          <w:rFonts w:ascii="Arial" w:cs="Arial" w:eastAsia="Arial" w:hAnsi="Arial"/>
          <w:sz w:val="18"/>
          <w:szCs w:val="18"/>
          <w:color w:val="auto"/>
        </w:rPr>
      </w:pPr>
    </w:p>
    <w:p>
      <w:pPr>
        <w:jc w:val="both"/>
        <w:ind w:left="2600" w:hanging="648"/>
        <w:spacing w:after="0" w:line="263" w:lineRule="auto"/>
        <w:tabs>
          <w:tab w:leader="none" w:pos="2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rate, amount, method of calculation and payment of any dividends, whether cumulative, partly cumulative or non-cumulative, and whether such rate, amount, method of calculation or payment is subject to change or adjustment in the future;</w:t>
      </w:r>
    </w:p>
    <w:p>
      <w:pPr>
        <w:spacing w:after="0" w:line="183"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rights upon a dissolution, liquidation or winding-up of the Company or upon any other return of capital or distribution of the assets of the Company among its shareholders for the purpose of winding up its affairs;</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rights of redemption, retraction or purchase for cancellation and the prices and terms and conditions of any such rights;</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rights of conversion, exchange or reclassification and the terms and conditions of any such rights;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rights to vote; and</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other special rights or restrictions, not inconsistent with these share provisions, attaching to such series of Preferred Shares.</w:t>
      </w:r>
    </w:p>
    <w:p>
      <w:pPr>
        <w:spacing w:after="0" w:line="170"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 special rights or restrictions attached to any series of Preferred Shares shall confer upon the shares of such series a priority over the shares of any other series of Preferred Shares in respect of dividends or a return of capital in the event of the dissolution of the Company or on the occurrence of any other event that entitles the shareholders holding the shares of all series of the Preferred Shares to a return of capital. The Preferred Shares of each series shall, with respect to the payment of dividends and the distribution of assets or return of capital in the event of dissolution or on the occurrence of any other event that entitles the shareholders holding the shares of all series of the Preferred Shares to a return of capital, rank on a parity with the shares of every other series.</w:t>
      </w:r>
    </w:p>
    <w:p>
      <w:pPr>
        <w:spacing w:after="0" w:line="39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left="1300"/>
        <w:spacing w:after="0" w:line="271" w:lineRule="auto"/>
        <w:rPr>
          <w:sz w:val="20"/>
          <w:szCs w:val="20"/>
          <w:color w:val="auto"/>
        </w:rPr>
      </w:pPr>
      <w:r>
        <w:rPr>
          <w:rFonts w:ascii="Arial" w:cs="Arial" w:eastAsia="Arial" w:hAnsi="Arial"/>
          <w:sz w:val="17"/>
          <w:szCs w:val="17"/>
          <w:color w:val="auto"/>
        </w:rPr>
        <w:t>Unless the special rights or restrictions attached to any series of Preferred Shares otherwise state, each series of Preferred Shares shall, with respect to the payment of dividends and the distribution of assets or return of capital in the event of dissolution or on the occurrence of any other event that entitles the shareholders holding the shares of all series of the Preferred Shares to a return of capital, rank in priority to the rights of holders of Common Shares and Special Shares and any other class of shares stated to be ranking junior to the Preferred Shares. For greater certainty, the amount of the priority in respect of the return of capital in the case of the distribution of assets or return of capital in the event of dissolution or on the occurrence of any other event that entitles the shareholders holding the shares of all series of the Preferred Shares to a return of capital shall be the amount stated or calculated in accordance with the special rights or restrictions of the particular series of Preferred Shares.</w:t>
      </w:r>
    </w:p>
    <w:p>
      <w:pPr>
        <w:spacing w:after="0" w:line="17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September 9, 2021.</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SCOTT LEONARD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 CERTIFICATE</w:t>
      </w:r>
    </w:p>
    <w:p>
      <w:pPr>
        <w:spacing w:after="0" w:line="229" w:lineRule="exact"/>
        <w:rPr>
          <w:sz w:val="20"/>
          <w:szCs w:val="20"/>
          <w:color w:val="auto"/>
        </w:rPr>
      </w:pPr>
    </w:p>
    <w:p>
      <w:pPr>
        <w:spacing w:after="0"/>
        <w:tabs>
          <w:tab w:leader="none" w:pos="105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SHARES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BUSINESS CORPORATIONS ACT (BRITISH COLUMBIA)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 87261Y 106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Certifies that _____________________________is the registered owner of___________________________</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FULLY PAID AND NON-ASSESSABLE COMMON SHARES WITHOUT PAR VALUE IN THE CAPITAL OF TMC THE METALS COMPANY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subject to the Company’s notice of articles and articles, as the same may be amended from time to time, and transferable on the books of the Company in</w:t>
      </w:r>
    </w:p>
    <w:p>
      <w:pPr>
        <w:spacing w:after="0" w:line="46"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i w:val="1"/>
          <w:iCs w:val="1"/>
          <w:color w:val="auto"/>
        </w:rPr>
        <w:t>person or by duly authorized attorney upon surrender of this certificate properly endorsed. THERE ARE SPECIAL RIGHTS OR RESTRICTIONS ATTACHED TO THESE SHARES AND A COPY OF THE FULL TEXT THEREOF IS OBTAINABLE FROM THE REGISTERED OFFICE OF THE COMPANY ON DEMAND AND WITHOUT CHARGE.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certificate is not valid unless countersigned by the Transfer Agent and registered by the Registrar.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witness whereof the Company has caused this Certificate to be signed by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8543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TMC THE METALS COMPANY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certificate and the shares represented thereby are issued and shall be held subject to all the provisions of the Company’s notice of articles and articles, as the same may be amended from time to time,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4340" w:type="dxa"/>
            <w:vAlign w:val="bottom"/>
          </w:tcPr>
          <w:p>
            <w:pPr>
              <w:ind w:left="140"/>
              <w:spacing w:after="0"/>
              <w:rPr>
                <w:sz w:val="20"/>
                <w:szCs w:val="20"/>
                <w:color w:val="auto"/>
              </w:rPr>
            </w:pPr>
            <w:r>
              <w:rPr>
                <w:rFonts w:ascii="Arial" w:cs="Arial" w:eastAsia="Arial" w:hAnsi="Arial"/>
                <w:sz w:val="18"/>
                <w:szCs w:val="18"/>
                <w:color w:val="auto"/>
              </w:rPr>
              <w:t>— as tenants in common</w:t>
            </w:r>
          </w:p>
        </w:tc>
        <w:tc>
          <w:tcPr>
            <w:tcW w:w="2100" w:type="dxa"/>
            <w:vAlign w:val="bottom"/>
          </w:tcPr>
          <w:p>
            <w:pPr>
              <w:ind w:left="220"/>
              <w:spacing w:after="0"/>
              <w:rPr>
                <w:sz w:val="20"/>
                <w:szCs w:val="20"/>
                <w:color w:val="auto"/>
              </w:rPr>
            </w:pPr>
            <w:r>
              <w:rPr>
                <w:rFonts w:ascii="Arial" w:cs="Arial" w:eastAsia="Arial" w:hAnsi="Arial"/>
                <w:sz w:val="18"/>
                <w:szCs w:val="18"/>
                <w:color w:val="auto"/>
              </w:rPr>
              <w:t>UNIF GIFT MIN ACT</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453"/>
        </w:trPr>
        <w:tc>
          <w:tcPr>
            <w:tcW w:w="96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4340" w:type="dxa"/>
            <w:vAlign w:val="bottom"/>
            <w:vMerge w:val="restart"/>
          </w:tcPr>
          <w:p>
            <w:pPr>
              <w:ind w:left="140"/>
              <w:spacing w:after="0"/>
              <w:rPr>
                <w:sz w:val="20"/>
                <w:szCs w:val="20"/>
                <w:color w:val="auto"/>
              </w:rPr>
            </w:pPr>
            <w:r>
              <w:rPr>
                <w:rFonts w:ascii="Arial" w:cs="Arial" w:eastAsia="Arial" w:hAnsi="Arial"/>
                <w:sz w:val="18"/>
                <w:szCs w:val="18"/>
                <w:color w:val="auto"/>
              </w:rPr>
              <w:t>— as tenants by the entireties</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(Cust)</w:t>
            </w:r>
          </w:p>
        </w:tc>
        <w:tc>
          <w:tcPr>
            <w:tcW w:w="1000" w:type="dxa"/>
            <w:vAlign w:val="bottom"/>
          </w:tcPr>
          <w:p>
            <w:pPr>
              <w:spacing w:after="0"/>
              <w:rPr>
                <w:sz w:val="24"/>
                <w:szCs w:val="24"/>
                <w:color w:val="auto"/>
              </w:rPr>
            </w:pPr>
          </w:p>
        </w:tc>
        <w:tc>
          <w:tcPr>
            <w:tcW w:w="1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43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3840" w:type="dxa"/>
            <w:vAlign w:val="bottom"/>
            <w:gridSpan w:val="4"/>
            <w:vMerge w:val="restart"/>
          </w:tcPr>
          <w:p>
            <w:pPr>
              <w:ind w:left="480"/>
              <w:spacing w:after="0"/>
              <w:rPr>
                <w:sz w:val="20"/>
                <w:szCs w:val="20"/>
                <w:color w:val="auto"/>
              </w:rPr>
            </w:pPr>
            <w:r>
              <w:rPr>
                <w:rFonts w:ascii="Arial" w:cs="Arial" w:eastAsia="Arial" w:hAnsi="Arial"/>
                <w:sz w:val="18"/>
                <w:szCs w:val="18"/>
                <w:color w:val="auto"/>
              </w:rPr>
              <w:t>under Uniform Gifts to Minors</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80" w:type="dxa"/>
            <w:vAlign w:val="bottom"/>
            <w:gridSpan w:val="2"/>
          </w:tcPr>
          <w:p>
            <w:pPr>
              <w:ind w:left="480"/>
              <w:spacing w:after="0"/>
              <w:rPr>
                <w:sz w:val="20"/>
                <w:szCs w:val="20"/>
                <w:color w:val="auto"/>
              </w:rPr>
            </w:pPr>
            <w:r>
              <w:rPr>
                <w:rFonts w:ascii="Arial" w:cs="Arial" w:eastAsia="Arial" w:hAnsi="Arial"/>
                <w:sz w:val="18"/>
                <w:szCs w:val="18"/>
                <w:color w:val="auto"/>
              </w:rPr>
              <w:t>Act</w:t>
            </w: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60" w:type="dxa"/>
            <w:vAlign w:val="bottom"/>
            <w:vMerge w:val="restart"/>
          </w:tcPr>
          <w:p>
            <w:pPr>
              <w:spacing w:after="0"/>
              <w:rPr>
                <w:sz w:val="20"/>
                <w:szCs w:val="20"/>
                <w:color w:val="auto"/>
              </w:rPr>
            </w:pPr>
            <w:r>
              <w:rPr>
                <w:rFonts w:ascii="Arial" w:cs="Arial" w:eastAsia="Arial" w:hAnsi="Arial"/>
                <w:sz w:val="18"/>
                <w:szCs w:val="18"/>
                <w:color w:val="auto"/>
              </w:rPr>
              <w:t>JT TEN</w:t>
            </w:r>
          </w:p>
        </w:tc>
        <w:tc>
          <w:tcPr>
            <w:tcW w:w="4340" w:type="dxa"/>
            <w:vAlign w:val="bottom"/>
            <w:vMerge w:val="restart"/>
          </w:tcPr>
          <w:p>
            <w:pPr>
              <w:ind w:left="140"/>
              <w:spacing w:after="0"/>
              <w:rPr>
                <w:sz w:val="20"/>
                <w:szCs w:val="20"/>
                <w:color w:val="auto"/>
              </w:rPr>
            </w:pPr>
            <w:r>
              <w:rPr>
                <w:rFonts w:ascii="Arial" w:cs="Arial" w:eastAsia="Arial" w:hAnsi="Arial"/>
                <w:sz w:val="18"/>
                <w:szCs w:val="18"/>
                <w:color w:val="auto"/>
                <w:w w:val="96"/>
              </w:rPr>
              <w:t>— as joint tenants with right of survivorship and not as</w:t>
            </w: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187"/>
        </w:trPr>
        <w:tc>
          <w:tcPr>
            <w:tcW w:w="960" w:type="dxa"/>
            <w:vAlign w:val="bottom"/>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340" w:type="dxa"/>
            <w:vAlign w:val="bottom"/>
          </w:tcPr>
          <w:p>
            <w:pPr>
              <w:ind w:left="400"/>
              <w:spacing w:after="0"/>
              <w:rPr>
                <w:sz w:val="20"/>
                <w:szCs w:val="20"/>
                <w:color w:val="auto"/>
              </w:rPr>
            </w:pPr>
            <w:r>
              <w:rPr>
                <w:rFonts w:ascii="Arial" w:cs="Arial" w:eastAsia="Arial" w:hAnsi="Arial"/>
                <w:sz w:val="18"/>
                <w:szCs w:val="18"/>
                <w:color w:val="auto"/>
              </w:rPr>
              <w:t>tenants in common</w:t>
            </w:r>
          </w:p>
        </w:tc>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tabs>
          <w:tab w:leader="none" w:pos="2520" w:val="left"/>
          <w:tab w:leader="none" w:pos="3600" w:val="left"/>
          <w:tab w:leader="none" w:pos="4040" w:val="left"/>
          <w:tab w:leader="none" w:pos="4520" w:val="left"/>
          <w:tab w:leader="none" w:pos="5220" w:val="left"/>
          <w:tab w:leader="none" w:pos="6280" w:val="left"/>
          <w:tab w:leader="none" w:pos="6800" w:val="left"/>
          <w:tab w:leader="none" w:pos="7380" w:val="left"/>
          <w:tab w:leader="none" w:pos="8120" w:val="left"/>
          <w:tab w:leader="none" w:pos="9200" w:val="left"/>
          <w:tab w:leader="none" w:pos="10160" w:val="left"/>
          <w:tab w:leader="none" w:pos="10660" w:val="left"/>
        </w:tabs>
        <w:rPr>
          <w:sz w:val="20"/>
          <w:szCs w:val="20"/>
          <w:color w:val="auto"/>
        </w:rPr>
      </w:pPr>
      <w:r>
        <w:rPr>
          <w:rFonts w:ascii="Arial" w:cs="Arial" w:eastAsia="Arial" w:hAnsi="Arial"/>
          <w:sz w:val="18"/>
          <w:szCs w:val="18"/>
          <w:color w:val="auto"/>
        </w:rPr>
        <w:t>____________________Shares</w:t>
        <w:tab/>
        <w:t>represented</w:t>
        <w:tab/>
        <w:t>by</w:t>
        <w:tab/>
        <w:t>the</w:t>
        <w:tab/>
        <w:t>within</w:t>
        <w:tab/>
        <w:t>Certificate,</w:t>
        <w:tab/>
        <w:t>and</w:t>
        <w:tab/>
        <w:t>does</w:t>
        <w:tab/>
        <w:t>hereby</w:t>
        <w:tab/>
        <w:t>irrevocably</w:t>
        <w:tab/>
        <w:t>constitute</w:t>
        <w:tab/>
        <w:t>and</w:t>
      </w:r>
      <w:r>
        <w:rPr>
          <w:sz w:val="20"/>
          <w:szCs w:val="20"/>
          <w:color w:val="auto"/>
        </w:rPr>
        <w:tab/>
      </w:r>
      <w:r>
        <w:rPr>
          <w:rFonts w:ascii="Arial" w:cs="Arial" w:eastAsia="Arial" w:hAnsi="Arial"/>
          <w:sz w:val="16"/>
          <w:szCs w:val="16"/>
          <w:color w:val="auto"/>
        </w:rPr>
        <w:t>appoint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 Attorney to transfer the said shares on the books of the within named Company with full power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substitution in the premises.</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Shareholder</w:t>
      </w:r>
    </w:p>
    <w:p>
      <w:pPr>
        <w:spacing w:after="0" w:line="200" w:lineRule="exact"/>
        <w:rPr>
          <w:sz w:val="20"/>
          <w:szCs w:val="20"/>
          <w:color w:val="auto"/>
        </w:rPr>
      </w:pPr>
    </w:p>
    <w:p>
      <w:pPr>
        <w:sectPr>
          <w:pgSz w:w="11900" w:h="16838" w:orient="portrait"/>
          <w:cols w:equalWidth="0" w:num="2">
            <w:col w:w="5020" w:space="720"/>
            <w:col w:w="5500"/>
          </w:cols>
          <w:pgMar w:left="320" w:top="908" w:right="339" w:bottom="1440" w:gutter="0" w:footer="0" w:header="0"/>
          <w:type w:val="continuous"/>
        </w:sectPr>
      </w:pPr>
    </w:p>
    <w:p>
      <w:pPr>
        <w:spacing w:after="0" w:line="45" w:lineRule="exact"/>
        <w:rPr>
          <w:sz w:val="20"/>
          <w:szCs w:val="20"/>
          <w:color w:val="auto"/>
        </w:rPr>
      </w:pPr>
    </w:p>
    <w:p>
      <w:pPr>
        <w:ind w:left="5740"/>
        <w:spacing w:after="0"/>
        <w:tabs>
          <w:tab w:leader="none" w:pos="6580" w:val="left"/>
          <w:tab w:leader="none" w:pos="7100" w:val="left"/>
          <w:tab w:leader="none" w:pos="8460" w:val="left"/>
          <w:tab w:leader="none" w:pos="8860" w:val="left"/>
          <w:tab w:leader="none" w:pos="9400" w:val="left"/>
          <w:tab w:leader="none" w:pos="10720" w:val="left"/>
        </w:tabs>
        <w:rPr>
          <w:sz w:val="20"/>
          <w:szCs w:val="20"/>
          <w:color w:val="auto"/>
        </w:rPr>
      </w:pPr>
      <w:r>
        <w:rPr>
          <w:rFonts w:ascii="Arial" w:cs="Arial" w:eastAsia="Arial" w:hAnsi="Arial"/>
          <w:sz w:val="18"/>
          <w:szCs w:val="18"/>
          <w:color w:val="auto"/>
        </w:rPr>
        <w:t>NOTICE:</w:t>
        <w:tab/>
        <w:t>THE</w:t>
        <w:tab/>
        <w:t>SIGNATURE(S)</w:t>
        <w:tab/>
        <w:t>TO</w:t>
        <w:tab/>
        <w:t>THIS</w:t>
        <w:tab/>
        <w:t>ASSIGNMENT</w:t>
      </w:r>
      <w:r>
        <w:rPr>
          <w:sz w:val="20"/>
          <w:szCs w:val="20"/>
          <w:color w:val="auto"/>
        </w:rPr>
        <w:tab/>
      </w:r>
      <w:r>
        <w:rPr>
          <w:rFonts w:ascii="Arial" w:cs="Arial" w:eastAsia="Arial" w:hAnsi="Arial"/>
          <w:sz w:val="17"/>
          <w:szCs w:val="17"/>
          <w:color w:val="auto"/>
        </w:rPr>
        <w:t>MUST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CORRESPOND WITH THE NAME AS WRITTEN UPON THE FACE</w:t>
      </w:r>
    </w:p>
    <w:p>
      <w:pPr>
        <w:spacing w:after="0" w:line="9" w:lineRule="exact"/>
        <w:rPr>
          <w:sz w:val="20"/>
          <w:szCs w:val="20"/>
          <w:color w:val="auto"/>
        </w:rPr>
      </w:pPr>
    </w:p>
    <w:p>
      <w:pPr>
        <w:ind w:left="5740"/>
        <w:spacing w:after="0"/>
        <w:tabs>
          <w:tab w:leader="none" w:pos="6120" w:val="left"/>
          <w:tab w:leader="none" w:pos="6640" w:val="left"/>
          <w:tab w:leader="none" w:pos="7940" w:val="left"/>
          <w:tab w:leader="none" w:pos="8300" w:val="left"/>
          <w:tab w:leader="none" w:pos="9060" w:val="left"/>
          <w:tab w:leader="none" w:pos="10380" w:val="left"/>
        </w:tabs>
        <w:rPr>
          <w:sz w:val="20"/>
          <w:szCs w:val="20"/>
          <w:color w:val="auto"/>
        </w:rPr>
      </w:pPr>
      <w:r>
        <w:rPr>
          <w:rFonts w:ascii="Arial" w:cs="Arial" w:eastAsia="Arial" w:hAnsi="Arial"/>
          <w:sz w:val="18"/>
          <w:szCs w:val="18"/>
          <w:color w:val="auto"/>
        </w:rPr>
        <w:t>OF</w:t>
        <w:tab/>
        <w:t>THE</w:t>
        <w:tab/>
        <w:t>CERTIFICATE</w:t>
        <w:tab/>
        <w:t>IN</w:t>
        <w:tab/>
        <w:t>EVERY</w:t>
        <w:tab/>
        <w:t>PARTICULAR,</w:t>
        <w:tab/>
        <w:t>WITHOUT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ALTERATION OR ENLARGEMENT OR ANY CHANGE WHATEVER.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This Agreement is made as of the </w:t>
      </w:r>
      <w:r>
        <w:rPr>
          <w:rFonts w:ascii="Arial" w:cs="Arial" w:eastAsia="Arial" w:hAnsi="Arial"/>
          <w:sz w:val="18"/>
          <w:szCs w:val="18"/>
          <w:b w:val="1"/>
          <w:bCs w:val="1"/>
          <w:color w:val="auto"/>
        </w:rPr>
        <w:t>___</w:t>
      </w:r>
      <w:r>
        <w:rPr>
          <w:rFonts w:ascii="Arial" w:cs="Arial" w:eastAsia="Arial" w:hAnsi="Arial"/>
          <w:sz w:val="18"/>
          <w:szCs w:val="18"/>
          <w:color w:val="auto"/>
        </w:rPr>
        <w:t xml:space="preserve"> day of </w:t>
      </w:r>
      <w:r>
        <w:rPr>
          <w:rFonts w:ascii="Arial" w:cs="Arial" w:eastAsia="Arial" w:hAnsi="Arial"/>
          <w:sz w:val="18"/>
          <w:szCs w:val="18"/>
          <w:b w:val="1"/>
          <w:bCs w:val="1"/>
          <w:color w:val="auto"/>
        </w:rPr>
        <w:t>___</w:t>
      </w:r>
      <w:r>
        <w:rPr>
          <w:rFonts w:ascii="Arial" w:cs="Arial" w:eastAsia="Arial" w:hAnsi="Arial"/>
          <w:sz w:val="18"/>
          <w:szCs w:val="18"/>
          <w:color w:val="auto"/>
        </w:rPr>
        <w:t>, 202</w:t>
      </w:r>
      <w:r>
        <w:rPr>
          <w:rFonts w:ascii="Arial" w:cs="Arial" w:eastAsia="Arial" w:hAnsi="Arial"/>
          <w:sz w:val="18"/>
          <w:szCs w:val="18"/>
          <w:b w:val="1"/>
          <w:bCs w:val="1"/>
          <w:color w:val="auto"/>
        </w:rPr>
        <w:t>___</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TMC THE METALS COMPANY INC.</w:t>
      </w:r>
      <w:r>
        <w:rPr>
          <w:rFonts w:ascii="Arial" w:cs="Arial" w:eastAsia="Arial" w:hAnsi="Arial"/>
          <w:sz w:val="17"/>
          <w:szCs w:val="17"/>
          <w:color w:val="auto"/>
        </w:rPr>
        <w:t>, a company incorporated under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(British Columbia) (the “</w:t>
      </w:r>
      <w:r>
        <w:rPr>
          <w:rFonts w:ascii="Arial" w:cs="Arial" w:eastAsia="Arial" w:hAnsi="Arial"/>
          <w:sz w:val="17"/>
          <w:szCs w:val="17"/>
          <w:b w:val="1"/>
          <w:bCs w:val="1"/>
          <w:color w:val="auto"/>
        </w:rPr>
        <w:t>Act</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_</w:t>
      </w:r>
      <w:r>
        <w:rPr>
          <w:rFonts w:ascii="Arial" w:cs="Arial" w:eastAsia="Arial" w:hAnsi="Arial"/>
          <w:sz w:val="18"/>
          <w:szCs w:val="18"/>
          <w:color w:val="auto"/>
        </w:rPr>
        <w:t>_____</w:t>
      </w:r>
      <w:r>
        <w:rPr>
          <w:rFonts w:ascii="Arial" w:cs="Arial" w:eastAsia="Arial" w:hAnsi="Arial"/>
          <w:sz w:val="18"/>
          <w:szCs w:val="18"/>
          <w:b w:val="1"/>
          <w:bCs w:val="1"/>
          <w:color w:val="auto"/>
        </w:rPr>
        <w:t>____</w:t>
      </w:r>
      <w:r>
        <w:rPr>
          <w:rFonts w:ascii="Arial" w:cs="Arial" w:eastAsia="Arial" w:hAnsi="Arial"/>
          <w:sz w:val="18"/>
          <w:szCs w:val="18"/>
          <w:color w:val="auto"/>
        </w:rPr>
        <w:t>, an individual having an address for mailing at</w:t>
      </w:r>
      <w:r>
        <w:rPr>
          <w:rFonts w:ascii="Arial" w:cs="Arial" w:eastAsia="Arial" w:hAnsi="Arial"/>
          <w:sz w:val="18"/>
          <w:szCs w:val="18"/>
          <w:b w:val="1"/>
          <w:bCs w:val="1"/>
          <w:color w:val="auto"/>
        </w:rPr>
        <w:t xml:space="preserve"> ___</w:t>
      </w:r>
      <w:r>
        <w:rPr>
          <w:rFonts w:ascii="Arial" w:cs="Arial" w:eastAsia="Arial" w:hAnsi="Arial"/>
          <w:sz w:val="18"/>
          <w:szCs w:val="18"/>
          <w:color w:val="auto"/>
        </w:rPr>
        <w:t>_____</w:t>
      </w:r>
      <w:r>
        <w:rPr>
          <w:rFonts w:ascii="Arial" w:cs="Arial" w:eastAsia="Arial" w:hAnsi="Arial"/>
          <w:sz w:val="18"/>
          <w:szCs w:val="18"/>
          <w:b w:val="1"/>
          <w:bCs w:val="1"/>
          <w:color w:val="auto"/>
        </w:rPr>
        <w:t>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Indemnified 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line="282"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Company wishes to have the Indemnified Party serve as </w:t>
      </w:r>
      <w:r>
        <w:rPr>
          <w:rFonts w:ascii="Arial" w:cs="Arial" w:eastAsia="Arial" w:hAnsi="Arial"/>
          <w:sz w:val="18"/>
          <w:szCs w:val="18"/>
          <w:b w:val="1"/>
          <w:bCs w:val="1"/>
          <w:color w:val="auto"/>
        </w:rPr>
        <w:t>_____</w:t>
      </w:r>
      <w:r>
        <w:rPr>
          <w:rFonts w:ascii="Arial" w:cs="Arial" w:eastAsia="Arial" w:hAnsi="Arial"/>
          <w:sz w:val="18"/>
          <w:szCs w:val="18"/>
          <w:color w:val="auto"/>
        </w:rPr>
        <w:t xml:space="preserve"> of the Company and, if applicable, as a director or officer of the entities listed in Schedule A attached hereto (collectively, the “</w:t>
      </w:r>
      <w:r>
        <w:rPr>
          <w:rFonts w:ascii="Arial" w:cs="Arial" w:eastAsia="Arial" w:hAnsi="Arial"/>
          <w:sz w:val="18"/>
          <w:szCs w:val="18"/>
          <w:b w:val="1"/>
          <w:bCs w:val="1"/>
          <w:color w:val="auto"/>
        </w:rPr>
        <w:t>Subsidiaries</w:t>
      </w:r>
      <w:r>
        <w:rPr>
          <w:rFonts w:ascii="Arial" w:cs="Arial" w:eastAsia="Arial" w:hAnsi="Arial"/>
          <w:sz w:val="18"/>
          <w:szCs w:val="18"/>
          <w:color w:val="auto"/>
        </w:rPr>
        <w:t>”, and each as applicable, a “</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a condition to the Indemnified Party providing the service to the Company the Indemnified Party has requested an indemnity from the Company and the Company wishes that the Indemnified Party be indemnified in respect of the Indemnified Party’s service to the Company.</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covenants contained herein, of the Indemnified Party’s agreement for continued service to the Company and for other good and valuable consideration, the receipt and sufficiency of which is hereby acknowledged by the parties, the parties hereto agree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Indemnification</w:t>
      </w:r>
    </w:p>
    <w:p>
      <w:pPr>
        <w:spacing w:after="0" w:line="229" w:lineRule="exact"/>
        <w:rPr>
          <w:sz w:val="20"/>
          <w:szCs w:val="20"/>
          <w:color w:val="auto"/>
        </w:rPr>
      </w:pPr>
    </w:p>
    <w:p>
      <w:pPr>
        <w:jc w:val="both"/>
        <w:ind w:left="660" w:hanging="652"/>
        <w:spacing w:after="0" w:line="272"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hereby agrees to indemnify and save harmless the Indemnified Party (and _____ heirs and successors or personal or other legal representatives) from and against any and all costs, charges and expenses and any and all judgments, penalties or fines, or any amount paid in settlement, (including, but not limited to, legal and other fees, a judgment, penalty, or fine awarded or imposed in, or any amount paid to settle any action or to satisfy any judgment), reasonably incurred by the Indemnified Party (or _____ heirs or successors or personal or other legal representatives) in respect of any civil, criminal, administrative, investigative or other proceeding or action, whether current, threatened, pending, or completed, in which the Indemnified Party is involved, including if joined as a party, or if liable for or in respect of a judgment, penalty or fine in, or expenses related to, such proceeding or action, by reason of:</w:t>
      </w:r>
    </w:p>
    <w:p>
      <w:pPr>
        <w:spacing w:after="0" w:line="177"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being or having been the _____ of or acted in a similar capacity to, the Company,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292" w:hanging="644"/>
        <w:spacing w:after="0"/>
        <w:tabs>
          <w:tab w:leader="none" w:pos="12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being or having been a director or officer of each Subsidiary, and/or</w:t>
      </w:r>
    </w:p>
    <w:p>
      <w:pPr>
        <w:spacing w:after="0" w:line="225"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being or having been a director or officer of another corporation (i) at a time when the corporation is or was an affiliate of the Company or (ii) at the request of the Company; and/or</w:t>
      </w:r>
    </w:p>
    <w:p>
      <w:pPr>
        <w:spacing w:after="0" w:line="170"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holding or having held, at the request of the Company, a position equivalent to that of a director or officer of a partnership, trust, joint venture or other unincorporated entity;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unless:</w:t>
      </w:r>
    </w:p>
    <w:p>
      <w:pPr>
        <w:spacing w:after="0" w:line="225" w:lineRule="exact"/>
        <w:rPr>
          <w:sz w:val="20"/>
          <w:szCs w:val="20"/>
          <w:color w:val="auto"/>
        </w:rPr>
      </w:pPr>
    </w:p>
    <w:p>
      <w:pPr>
        <w:ind w:left="1292" w:hanging="644"/>
        <w:spacing w:after="0" w:line="277" w:lineRule="auto"/>
        <w:tabs>
          <w:tab w:leader="none" w:pos="12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Indemnified Party did not act honestly and in good faith with a view to the best interests of the Company or the applicable entity referenced in (ii) – (iv) above, as the case may be; and</w:t>
      </w:r>
    </w:p>
    <w:p>
      <w:pPr>
        <w:spacing w:after="0" w:line="170"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other than in a civil proceeding, the Indemnified Party did not have reasonable grounds for believing that _____ conduct in respect of which the proceeding was brought was lawful.</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addition, for the avoidance of doubt and without limitation of Section 1(a) above, the Company agrees:</w:t>
      </w:r>
    </w:p>
    <w:p>
      <w:pPr>
        <w:spacing w:after="0" w:line="225" w:lineRule="exact"/>
        <w:rPr>
          <w:rFonts w:ascii="Arial" w:cs="Arial" w:eastAsia="Arial" w:hAnsi="Arial"/>
          <w:sz w:val="18"/>
          <w:szCs w:val="18"/>
          <w:color w:val="auto"/>
        </w:rPr>
      </w:pPr>
    </w:p>
    <w:p>
      <w:pPr>
        <w:jc w:val="both"/>
        <w:ind w:left="1292" w:hanging="644"/>
        <w:spacing w:after="0" w:line="254" w:lineRule="auto"/>
        <w:tabs>
          <w:tab w:leader="none" w:pos="12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indemnify the Indemnified Party (and _____ heirs and successors or personal or other legal representatives) (and, if requested by the Indemnified Party, advance monies to the Indemnified Party under section 2) in respect of any proceeding by or on behalf of the Company or an affiliate to procure a judgment in its favour, to which the Indemnified Party is made a party because of the Indemnified Party’s association with the Company, against all costs, charges and expenses, as more fully referenced in Section 1(a), reasonably incurred by _____ in connection with such proceeding, provided the Indemnified Party has fulfilled the conditions described in subsections 1(a)(i) and 1(a)(ii) above and subject to the Company obtaining any necessary approval of a Court or the Company’s Articles, if required, to pay such indemnity or make such advance; and</w:t>
      </w:r>
    </w:p>
    <w:p>
      <w:pPr>
        <w:spacing w:after="0" w:line="194"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event that the approval of a Court is required to permit the payment of any indemnity or advance hereunder, the Company agrees to make application for and use its best efforts to obtain the Court’s approval to such payment or advance.</w:t>
      </w:r>
    </w:p>
    <w:p>
      <w:pPr>
        <w:spacing w:after="0" w:line="170" w:lineRule="exact"/>
        <w:rPr>
          <w:rFonts w:ascii="Arial" w:cs="Arial" w:eastAsia="Arial" w:hAnsi="Arial"/>
          <w:sz w:val="18"/>
          <w:szCs w:val="18"/>
          <w:color w:val="auto"/>
        </w:rPr>
      </w:pPr>
    </w:p>
    <w:p>
      <w:pPr>
        <w:jc w:val="both"/>
        <w:ind w:left="652" w:hanging="652"/>
        <w:spacing w:after="0" w:line="263" w:lineRule="auto"/>
        <w:tabs>
          <w:tab w:leader="none" w:pos="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intention of this Agreement is to provide the Indemnified Party indemnification and advancement of monies to the fullest extent permitted by law, including for negligence on the part of the Indemnified Party, and without limiting the generality of the foregoing and notwithstanding anything contained herein:</w:t>
      </w:r>
    </w:p>
    <w:p>
      <w:pPr>
        <w:spacing w:after="0" w:line="183"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nothing in this Agreement shall be interpreted, by implication or otherwise, in limitation of the scope of the indemnification provided in subsections 1(a) and (b) hereof; and</w:t>
      </w:r>
    </w:p>
    <w:p>
      <w:pPr>
        <w:spacing w:after="0" w:line="170" w:lineRule="exact"/>
        <w:rPr>
          <w:rFonts w:ascii="Arial" w:cs="Arial" w:eastAsia="Arial" w:hAnsi="Arial"/>
          <w:sz w:val="18"/>
          <w:szCs w:val="18"/>
          <w:color w:val="auto"/>
        </w:rPr>
      </w:pPr>
    </w:p>
    <w:p>
      <w:pPr>
        <w:jc w:val="both"/>
        <w:ind w:left="1292" w:hanging="644"/>
        <w:spacing w:after="0" w:line="301" w:lineRule="auto"/>
        <w:tabs>
          <w:tab w:leader="none" w:pos="12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subsections 1(a) and 1(b) and section 2 are intended to provide indemnification to the Indemnified Party to the fullest extent permitted by the Act and, in the event that such statute is amended to permit a broader scope of indemnification (including, without limitation, the deletion or limiting of one or more of the provisos to the applicability of indemnification), subsections 1(a) and 1(b) and section 2, as applicable, shall be deemed to be amended concurrently with such amendment so as to provide such broader indemnification.</w:t>
      </w:r>
    </w:p>
    <w:p>
      <w:pPr>
        <w:spacing w:after="0" w:line="365" w:lineRule="exact"/>
        <w:rPr>
          <w:rFonts w:ascii="Arial" w:cs="Arial" w:eastAsia="Arial" w:hAnsi="Arial"/>
          <w:sz w:val="16"/>
          <w:szCs w:val="16"/>
          <w:color w:val="auto"/>
        </w:rPr>
      </w:pPr>
    </w:p>
    <w:p>
      <w:pPr>
        <w:ind w:left="5572" w:hanging="136"/>
        <w:spacing w:after="0"/>
        <w:tabs>
          <w:tab w:leader="none" w:pos="5572" w:val="left"/>
        </w:tabs>
        <w:numPr>
          <w:ilvl w:val="2"/>
          <w:numId w:val="10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color w:val="auto"/>
        </w:rPr>
        <w:t>2. Advance of Costs</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Company agrees that it will advance monies to the Indemnified Party without security or interest for the costs, charges and expenses of a civil, criminal or administrative action or proceeding contemplated by section 1 above, promptly at the request of the Indemnified Party, with the understanding and agreement that, in the event it is ultimately determined that the Indemnified Party did not fulfil the conditions described in paragraph 1(a)(i) and 1(a)(ii) above, the Indemnified Party will repay to the Company the monies or the appropriate portion thereof, so paid in advance, and the Company may require a written undertaking to that effect as a condition to advancing such monies.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Other Rights and Remedies</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Neither the right to indemnification and advance of moneys to cover costs, charges and expenses of the Indemnified Party set out in Sections 1 and 2 above, nor the making of any payment to the Indemnified Party pursuant thereto will be deemed to derogate from or exclude any other rights of indemnification or contribution to which the Indemnified Party may be entitled under any provision of the Act or otherwise at law or under the Articles of the Company or any vote of shareholders of the Company or otherwise, and the Company will, to the extent permitted by law, indemnify and save the Indemnified Party harmless from and against all other losses, liabilities, claims, damages, costs, charges or expenses that the Indemnified Party may suffer or incur by or as a result of the Indemnified Party serving as, or in a similar capacity to, the _____ Company, a director or officer of each</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Subsidiary, a director or officer of another corporation at a time when the corporation is or was an affiliate of the Company or at the request of the Company and/or, at the require of the company, a position equivalent to that of a director or officer of a partnership, trust, joint venture or other unincorporated entity, as applicable.</w:t>
      </w:r>
    </w:p>
    <w:p>
      <w:pPr>
        <w:spacing w:after="0" w:line="186" w:lineRule="exact"/>
        <w:rPr>
          <w:sz w:val="20"/>
          <w:szCs w:val="20"/>
          <w:color w:val="auto"/>
        </w:rPr>
      </w:pPr>
    </w:p>
    <w:p>
      <w:pPr>
        <w:ind w:left="840" w:hanging="184"/>
        <w:spacing w:after="0"/>
        <w:tabs>
          <w:tab w:leader="none" w:pos="84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 Presumption as to Absence of Good Faith</w:t>
      </w:r>
    </w:p>
    <w:p>
      <w:pPr>
        <w:spacing w:after="0" w:line="229"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respect of any claim for indemnification pursuant to this Indemnity, the Indemnified Party shall be presumed to have acted honestly and in good faith and with a view to the best interests of the Company.</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Determination of any civil, criminal or administrative action or proceeding by judgment, order, settlement or conviction, or upon a plea of “nolo contendere” or its equivalent, shall not, of itself, create any presumption for the purposes of this Indemnity that the Indemnified Party did not act honestly and in good faith with a view to the best interests of the Company.</w:t>
      </w:r>
    </w:p>
    <w:p>
      <w:pPr>
        <w:spacing w:after="0" w:line="179" w:lineRule="exact"/>
        <w:rPr>
          <w:rFonts w:ascii="Arial" w:cs="Arial" w:eastAsia="Arial" w:hAnsi="Arial"/>
          <w:sz w:val="18"/>
          <w:szCs w:val="18"/>
          <w:color w:val="auto"/>
        </w:rPr>
      </w:pPr>
    </w:p>
    <w:p>
      <w:pPr>
        <w:ind w:left="840" w:hanging="184"/>
        <w:spacing w:after="0"/>
        <w:tabs>
          <w:tab w:leader="none" w:pos="84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Retain Independent Counsel</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shall have the right, at its expense, to participate in or assume control of the negotiation, settlement or defence of any claim, proceeding or other matter in which the Company has agreed to indemnify the Indemnified Party pursuant to this Agreement, including by approving counsel to act for the Indemnified Person jointly with the other indemnitees. In any such matter the Indemnified Party shall be entitled to retain other counsel to act on _____ behalf and, without limiting any other indemnification to which the Indemnified Party may be entitled, the fees and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disbursements of such other counsel retained by the Indemnified Party shall be paid by the Company provided (i) the employment of such counsel has been authorized by the Company; or (ii) the Company has not assumed the defence and employed counsel therefor within a reasonable time after receiving notice of such action, suit, proceeding, claim or investigation; or (iii) counsel retained by the Company or the Indemnified Party has advised the Indemnified Party that representation of both parties by the same counsel would be inappropriate for any reason, including without limitation because there may be legal defences available to the Indemnified Party which are different from or in addition to those available to the Company or another indemnitee or that there is a conflict of interest between the Company and the Indemnified Party or another indemnitee (in either of which events the Company shall not have the right to assume control of the defence on the Indemnified Party’s behalf). No admission of liability shall be made by the Indemnified Party without the Company’s consent, which consent shall not be unreasonably withheld, and the Company shall not be liable for any settlement of any action, suit, proceeding, claim or investigation made without its consent, which consent shall not be unreasonably withheld.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b w:val="1"/>
          <w:bCs w:val="1"/>
          <w:color w:val="auto"/>
        </w:rPr>
        <w:t>6. Fee for Service</w:t>
      </w:r>
    </w:p>
    <w:p>
      <w:pPr>
        <w:spacing w:after="0" w:line="22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If the Indemnified Party, at the request of the Company or otherwise, assists or is required to assist in investigation, defending or appealing any civil, criminal or administrative action or proceeding, actual or threatened, against the Company, an Affiliate or any other officer or director of the Company or an Affiliate, in addition to being indemnified as provided above for any losses, liabilities, claims, damages, costs, charges or expenses incurred or suffered by the Indemnified Party, if the Indemnified Party is not then a full-time employee of the Company, the Indemnified Party shall be paid a daily fee by the Company for such services as determined appropriate by the Company, acting reasonably, in addition to any other remuneration to which the Indemnified Party may be legally entitled to receive from the Company.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 Income or Other Tax</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Without limiting the generality of the foregoing, should any payment made pursuant to this Agreement be deemed by Canada Revenue Agency or any other taxation authority of Canada or any political subdivision thereof to constitute a taxable benefit or otherwise be or become subject to any tax, then the Company shall pay to the Indemnified Party such additional amount as may be necessary to ensure that the amount received by or on behalf of the Indemnified Party, after the payment of or withholding for such tax, is equal to the amount of the actual losses, liabilities, claims, damages, costs, charges or expenses against which the Indemnified Party was to be indemnified hereunder.</w:t>
      </w:r>
    </w:p>
    <w:p>
      <w:pPr>
        <w:spacing w:after="0" w:line="172" w:lineRule="exact"/>
        <w:rPr>
          <w:sz w:val="20"/>
          <w:szCs w:val="20"/>
          <w:color w:val="auto"/>
        </w:rPr>
      </w:pPr>
    </w:p>
    <w:p>
      <w:pPr>
        <w:ind w:left="840" w:hanging="184"/>
        <w:spacing w:after="0"/>
        <w:tabs>
          <w:tab w:leader="none" w:pos="840" w:val="left"/>
        </w:tabs>
        <w:numPr>
          <w:ilvl w:val="1"/>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jc w:val="both"/>
        <w:ind w:left="660" w:hanging="652"/>
        <w:spacing w:after="0" w:line="25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agrees to make commercially reasonable efforts to purchase and maintain or cause to be purchased and maintained, while the Indemnified Party remains the _____ of, or continues to act in a similar capacity to the Company and for a minimum of six years thereafter, insurance for the benefit of the Indemnified Party against any liabilities incurred by _____ in _____ current capacity, or in a similar capacity to, the Company, on terms no less favourable (in terms of coverage and amounts) than such insurance maintained by the Company as at the date hereof.</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agrees to provide evidence to the Indemnified Party on an annual basis (on the anniversary date of this Agreement) for so long as the Company is obligated to maintain such insurance under the terms hereof, that it has procured such insurance and shall, upon request of the Indemnified Party, provide the Indemnified Party with a copy of the relevant insurance policy.</w:t>
      </w:r>
    </w:p>
    <w:p>
      <w:pPr>
        <w:spacing w:after="0" w:line="392" w:lineRule="exact"/>
        <w:rPr>
          <w:rFonts w:ascii="Arial" w:cs="Arial" w:eastAsia="Arial" w:hAnsi="Arial"/>
          <w:sz w:val="18"/>
          <w:szCs w:val="18"/>
          <w:color w:val="auto"/>
        </w:rPr>
      </w:pPr>
    </w:p>
    <w:p>
      <w:pPr>
        <w:ind w:left="5580" w:hanging="136"/>
        <w:spacing w:after="0"/>
        <w:tabs>
          <w:tab w:leader="none" w:pos="5580" w:val="left"/>
        </w:tabs>
        <w:numPr>
          <w:ilvl w:val="2"/>
          <w:numId w:val="104"/>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hanging="652"/>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will be subrogated to all rights that the Indemnified Party or any of the heirs and personal or other personal or legal representatives of the Indemnified Party may have under policies of insurance.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Effective Time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effective as and from the date hereof.</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Legal Advice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Indemnified Party hereby acknowledges that _____ has not received any legal advice from the Company and has been advised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seek independent legal advice as _____ deems necessary.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Notices</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Unless otherwise permitted by this Agreement, all notices, requests, demands or other communications hereunder shall be in writing and shall be deemed to have been fully given or made as of the date delivered or sent if delivered personally or sent by facsimile or as of the following business day if sent by courier or on the fifth business day after the date on which it is mailed if mailed by prepaid registered mail (provided that if there is an interruption in the regular postal service during such period arising out of a strike, walk-out, work slowdown or similar labour dispute in the postal system, all days during such interruption occurs shall not be counted) to the parties hereto at the following addresses:</w:t>
      </w:r>
    </w:p>
    <w:p>
      <w:pPr>
        <w:spacing w:after="0" w:line="17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the Indemnified Party, at:</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________________________</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Vancouver, B.C. </w:t>
      </w:r>
      <w:r>
        <w:rPr>
          <w:rFonts w:ascii="Arial" w:cs="Arial" w:eastAsia="Arial" w:hAnsi="Arial"/>
          <w:sz w:val="18"/>
          <w:szCs w:val="18"/>
          <w:b w:val="1"/>
          <w:bCs w:val="1"/>
          <w:color w:val="auto"/>
        </w:rPr>
        <w:t>__________</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Attention: _______________</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the Company, at: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________________________</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each party may from time to time notify the other of in writing.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Severability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any provision or provisions of this Agreement shall be held to be invalid, illegal or unenforceable for any reason whatsoever:</w:t>
      </w:r>
    </w:p>
    <w:p>
      <w:pPr>
        <w:spacing w:after="0" w:line="237" w:lineRule="exact"/>
        <w:rPr>
          <w:sz w:val="20"/>
          <w:szCs w:val="20"/>
          <w:color w:val="auto"/>
        </w:rPr>
      </w:pPr>
    </w:p>
    <w:p>
      <w:pPr>
        <w:jc w:val="both"/>
        <w:ind w:left="660" w:hanging="652"/>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Agreement (including, without limitation, all portions of any paragraph of this Agreement containing such provisions held to be invalid, illegal or unenforceable, that are not of themselves in whole invalid, illegal or unenforceable) shall not in any way be affected or impaired thereby; and</w:t>
      </w:r>
    </w:p>
    <w:p>
      <w:pPr>
        <w:spacing w:after="0" w:line="183" w:lineRule="exact"/>
        <w:rPr>
          <w:rFonts w:ascii="Arial" w:cs="Arial" w:eastAsia="Arial" w:hAnsi="Arial"/>
          <w:sz w:val="18"/>
          <w:szCs w:val="18"/>
          <w:color w:val="auto"/>
        </w:rPr>
      </w:pPr>
    </w:p>
    <w:p>
      <w:pPr>
        <w:jc w:val="both"/>
        <w:ind w:left="660" w:right="20" w:hanging="652"/>
        <w:spacing w:after="0" w:line="311"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the fullest possible extent, the provisions of this Agreement (including, without limitations, all portions of any paragraphs of this Agreement containing any such provisions held to be invalid, illegal or unenforceable, that are not of themselves in whole invalid, illegal or unenforceable) shall be construed so as to give effect to the intent manifested by the provision which is held to be invalid, illegal or unenforceable.</w:t>
      </w:r>
    </w:p>
    <w:p>
      <w:pPr>
        <w:spacing w:after="0" w:line="357" w:lineRule="exact"/>
        <w:rPr>
          <w:rFonts w:ascii="Arial" w:cs="Arial" w:eastAsia="Arial" w:hAnsi="Arial"/>
          <w:sz w:val="16"/>
          <w:szCs w:val="16"/>
          <w:color w:val="auto"/>
        </w:rPr>
      </w:pPr>
    </w:p>
    <w:p>
      <w:pPr>
        <w:ind w:left="5580" w:hanging="136"/>
        <w:spacing w:after="0"/>
        <w:tabs>
          <w:tab w:leader="none" w:pos="55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b w:val="1"/>
          <w:bCs w:val="1"/>
          <w:color w:val="auto"/>
        </w:rPr>
        <w:t>13. Governing Law</w:t>
      </w:r>
    </w:p>
    <w:p>
      <w:pPr>
        <w:spacing w:after="0" w:line="229"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parties hereto agree that this agreement shall be construed in accordance with the laws of the Province of British Columbia and the federal laws of Canada enforceable therein and the parties hereto submit to the jurisdiction of the Courts of British Columbia.</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Further Assurances.</w:t>
      </w:r>
    </w:p>
    <w:p>
      <w:pPr>
        <w:spacing w:after="0" w:line="229"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The parties hereto will, from time to time, execute and deliver, or cause to be executed and delivered, such additional or further consents, documents and other instruments as another party hereto may reasonably request and is necessary or desirable to give effect to the provisions hereof.</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15. Modification and Waiver</w:t>
      </w:r>
    </w:p>
    <w:p>
      <w:pPr>
        <w:spacing w:after="0" w:line="22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This Agreement contains the entire agreement of the parties hereto relating to the subject matter hereof and supersedes all prior agreements and undertakings between the parties with respect to the subject matter herein. No supplement, modification or amendment of this Agreement shall be binding unless executed in writing by both parties hereto. No waiver of any of the provisions of this Agreement shall be deemed or shall constitute a waiver of any other provision hereof (whether or not similar) nor shall such waiver constitute a continuing waiver.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16. Successors and Assigns</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This Agreement shall be binding upon and enure to the benefit of the Company and its successors and assigns and to the Indemnified Party and </w:t>
      </w:r>
      <w:r>
        <w:rPr>
          <w:rFonts w:ascii="Arial" w:cs="Arial" w:eastAsia="Arial" w:hAnsi="Arial"/>
          <w:sz w:val="18"/>
          <w:szCs w:val="18"/>
          <w:b w:val="1"/>
          <w:bCs w:val="1"/>
          <w:color w:val="auto"/>
        </w:rPr>
        <w:t>_______</w:t>
      </w:r>
      <w:r>
        <w:rPr>
          <w:rFonts w:ascii="Arial" w:cs="Arial" w:eastAsia="Arial" w:hAnsi="Arial"/>
          <w:sz w:val="18"/>
          <w:szCs w:val="18"/>
          <w:color w:val="auto"/>
        </w:rPr>
        <w:t xml:space="preserve"> estate, executors, administrators, legal representatives, lawful heirs, successors and assigns.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Successor Legislation</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Any references herein to any enactment shall be deemed to be references to such enactment as the same may be amended or replaced from time to time and, in the event that the Company is continued, incorporated, amalgamated or otherwise becomes governed by an enactment other than the Act, then all references herein to the Act shall be deemed to be references to such enactment as the same may be amended or replaced from time to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18. Counterparts</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agreement may be executed in two or more counterparts, each of which shall be deemed to be an original but all of which together shall constitute one and the same instrument. The Parties shall be entitled to rely upon delivery of an executed electronic coy of this Agreement and such executed electronic copy shall be legally effective to create a valid and binding agreement between the Parties.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180"/>
        <w:spacing w:after="0"/>
        <w:rPr>
          <w:sz w:val="20"/>
          <w:szCs w:val="20"/>
          <w:color w:val="auto"/>
        </w:rPr>
      </w:pPr>
      <w:r>
        <w:rPr>
          <w:rFonts w:ascii="Arial" w:cs="Arial" w:eastAsia="Arial" w:hAnsi="Arial"/>
          <w:sz w:val="17"/>
          <w:szCs w:val="17"/>
          <w:color w:val="auto"/>
        </w:rPr>
        <w:t>IN WITNESS WHEREOF the parties hereto have executed this Agreement as at the date first above written.</w:t>
      </w:r>
    </w:p>
    <w:p>
      <w:pPr>
        <w:spacing w:after="0" w:line="23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23495</wp:posOffset>
            </wp:positionV>
            <wp:extent cx="24860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2486025" cy="1714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4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23495</wp:posOffset>
            </wp:positionV>
            <wp:extent cx="24860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2486025" cy="1714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17145</wp:posOffset>
            </wp:positionV>
            <wp:extent cx="2143125" cy="668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The Board of Directors of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the following Nonemployee Director Compensation Policy (this “</w:t>
      </w:r>
      <w:r>
        <w:rPr>
          <w:rFonts w:ascii="Arial" w:cs="Arial" w:eastAsia="Arial" w:hAnsi="Arial"/>
          <w:sz w:val="18"/>
          <w:szCs w:val="18"/>
          <w:u w:val="single" w:color="auto"/>
          <w:color w:val="auto"/>
        </w:rPr>
        <w:t>Policy</w:t>
      </w:r>
      <w:r>
        <w:rPr>
          <w:rFonts w:ascii="Arial" w:cs="Arial" w:eastAsia="Arial" w:hAnsi="Arial"/>
          <w:sz w:val="18"/>
          <w:szCs w:val="18"/>
          <w:color w:val="auto"/>
        </w:rPr>
        <w:t>”) to obtain and retain the services of qualified persons to serve as members of the Company’s Board of Directors. The Policy establishes compensation to be paid to nonemployee directors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Persons</w:t>
      </w:r>
    </w:p>
    <w:p>
      <w:pPr>
        <w:spacing w:after="0" w:line="229" w:lineRule="exact"/>
        <w:rPr>
          <w:sz w:val="20"/>
          <w:szCs w:val="20"/>
          <w:color w:val="auto"/>
        </w:rPr>
      </w:pPr>
    </w:p>
    <w:p>
      <w:pPr>
        <w:jc w:val="both"/>
        <w:ind w:left="20" w:right="20" w:firstLine="324"/>
        <w:spacing w:after="0" w:line="263" w:lineRule="auto"/>
        <w:rPr>
          <w:sz w:val="20"/>
          <w:szCs w:val="20"/>
          <w:color w:val="auto"/>
        </w:rPr>
      </w:pPr>
      <w:r>
        <w:rPr>
          <w:rFonts w:ascii="Arial" w:cs="Arial" w:eastAsia="Arial" w:hAnsi="Arial"/>
          <w:sz w:val="18"/>
          <w:szCs w:val="18"/>
          <w:color w:val="auto"/>
        </w:rPr>
        <w:t>This Policy shall apply to each director of the Company who is not an employee of the Company or any Affiliate (each, an “</w:t>
      </w:r>
      <w:r>
        <w:rPr>
          <w:rFonts w:ascii="Arial" w:cs="Arial" w:eastAsia="Arial" w:hAnsi="Arial"/>
          <w:sz w:val="18"/>
          <w:szCs w:val="18"/>
          <w:u w:val="single" w:color="auto"/>
          <w:color w:val="auto"/>
        </w:rPr>
        <w:t>Outside Director</w:t>
      </w:r>
      <w:r>
        <w:rPr>
          <w:rFonts w:ascii="Arial" w:cs="Arial" w:eastAsia="Arial" w:hAnsi="Arial"/>
          <w:sz w:val="18"/>
          <w:szCs w:val="18"/>
          <w:color w:val="auto"/>
        </w:rPr>
        <w:t>”).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 entity which is a direct or indirect parent or subsidiary of the Company, as determined pursuant to Section 424 of the Internal Revenue Code of 1986, as amended.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Equity Grants</w:t>
      </w:r>
    </w:p>
    <w:p>
      <w:pPr>
        <w:spacing w:after="0" w:line="229" w:lineRule="exact"/>
        <w:rPr>
          <w:sz w:val="20"/>
          <w:szCs w:val="20"/>
          <w:color w:val="auto"/>
        </w:rPr>
      </w:pPr>
    </w:p>
    <w:p>
      <w:pPr>
        <w:ind w:left="520" w:hanging="188"/>
        <w:spacing w:after="0"/>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Annual Grants</w:t>
      </w:r>
    </w:p>
    <w:p>
      <w:pPr>
        <w:spacing w:after="0" w:line="225" w:lineRule="exact"/>
        <w:rPr>
          <w:sz w:val="20"/>
          <w:szCs w:val="20"/>
          <w:color w:val="auto"/>
        </w:rPr>
      </w:pPr>
    </w:p>
    <w:p>
      <w:pPr>
        <w:jc w:val="both"/>
        <w:ind w:left="20" w:firstLine="319"/>
        <w:spacing w:after="0" w:line="273" w:lineRule="auto"/>
        <w:rPr>
          <w:sz w:val="20"/>
          <w:szCs w:val="20"/>
          <w:color w:val="auto"/>
        </w:rPr>
      </w:pPr>
      <w:r>
        <w:rPr>
          <w:rFonts w:ascii="Arial" w:cs="Arial" w:eastAsia="Arial" w:hAnsi="Arial"/>
          <w:sz w:val="17"/>
          <w:szCs w:val="17"/>
          <w:color w:val="auto"/>
        </w:rPr>
        <w:t>Each Outside Director shall be granted, annually under the Company’s 2021 Equity Incentive Plan or a successor plan (the “</w:t>
      </w:r>
      <w:r>
        <w:rPr>
          <w:rFonts w:ascii="Arial" w:cs="Arial" w:eastAsia="Arial" w:hAnsi="Arial"/>
          <w:sz w:val="17"/>
          <w:szCs w:val="17"/>
          <w:u w:val="single" w:color="auto"/>
          <w:color w:val="auto"/>
        </w:rPr>
        <w:t>Equity Plan</w:t>
      </w:r>
      <w:r>
        <w:rPr>
          <w:rFonts w:ascii="Arial" w:cs="Arial" w:eastAsia="Arial" w:hAnsi="Arial"/>
          <w:sz w:val="17"/>
          <w:szCs w:val="17"/>
          <w:color w:val="auto"/>
        </w:rPr>
        <w:t>”), a number of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xml:space="preserve">”) (each RSU relating to one Common Share, having an aggregate fair market value equal to $100,000) determined by </w:t>
      </w:r>
      <w:r>
        <w:rPr>
          <w:rFonts w:ascii="Arial" w:cs="Arial" w:eastAsia="Arial" w:hAnsi="Arial"/>
          <w:sz w:val="17"/>
          <w:szCs w:val="17"/>
          <w:u w:val="single" w:color="auto"/>
          <w:color w:val="auto"/>
        </w:rPr>
        <w:t>dividing</w:t>
      </w:r>
      <w:r>
        <w:rPr>
          <w:rFonts w:ascii="Arial" w:cs="Arial" w:eastAsia="Arial" w:hAnsi="Arial"/>
          <w:sz w:val="17"/>
          <w:szCs w:val="17"/>
          <w:color w:val="auto"/>
        </w:rPr>
        <w:t xml:space="preserve"> (A) $100,000 by (B) the closing price of the Common Shares on the Nasdaq Stock Market on the date of the grant (rounded down to the nearest whole share), each year on the first business day after the Company’s annual meeting of shareholders (the “</w:t>
      </w:r>
      <w:r>
        <w:rPr>
          <w:rFonts w:ascii="Arial" w:cs="Arial" w:eastAsia="Arial" w:hAnsi="Arial"/>
          <w:sz w:val="17"/>
          <w:szCs w:val="17"/>
          <w:u w:val="single" w:color="auto"/>
          <w:color w:val="auto"/>
        </w:rPr>
        <w:t>Annual Grant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there has been no annual meeting of shareholders held by the first business day of the third fiscal quarter, each Outside Director shall be granted, such Annual Grant on the first business day of the third fiscal quarter of such year.</w:t>
      </w:r>
    </w:p>
    <w:p>
      <w:pPr>
        <w:spacing w:after="0" w:line="178" w:lineRule="exact"/>
        <w:rPr>
          <w:sz w:val="20"/>
          <w:szCs w:val="20"/>
          <w:color w:val="auto"/>
        </w:rPr>
      </w:pPr>
    </w:p>
    <w:p>
      <w:pPr>
        <w:ind w:left="520" w:hanging="188"/>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Initial Grants for Newly Appointed or Elected Directors</w:t>
      </w:r>
    </w:p>
    <w:p>
      <w:pPr>
        <w:spacing w:after="0" w:line="225" w:lineRule="exact"/>
        <w:rPr>
          <w:sz w:val="20"/>
          <w:szCs w:val="20"/>
          <w:color w:val="auto"/>
        </w:rPr>
      </w:pPr>
    </w:p>
    <w:p>
      <w:pPr>
        <w:jc w:val="both"/>
        <w:ind w:left="20" w:firstLine="319"/>
        <w:spacing w:after="0" w:line="301" w:lineRule="auto"/>
        <w:rPr>
          <w:sz w:val="20"/>
          <w:szCs w:val="20"/>
          <w:color w:val="auto"/>
        </w:rPr>
      </w:pPr>
      <w:r>
        <w:rPr>
          <w:rFonts w:ascii="Arial" w:cs="Arial" w:eastAsia="Arial" w:hAnsi="Arial"/>
          <w:sz w:val="16"/>
          <w:szCs w:val="16"/>
          <w:color w:val="auto"/>
        </w:rPr>
        <w:t>Each new Outside Director shall be granted, under the Equity Plan, a number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xml:space="preserve">”) (each RSU relating to one Common Share, having an aggregate fair market value equal to $100,000) determined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(A) $100,000 by (B) the closing price of the Common Shares on the Nasdaq Stock Market on the date of the grant (rounded down to the nearest whole share), on the first business day after the date that the Outside Director is first appointed or elected to the Board of Directors (the “</w:t>
      </w:r>
      <w:r>
        <w:rPr>
          <w:rFonts w:ascii="Arial" w:cs="Arial" w:eastAsia="Arial" w:hAnsi="Arial"/>
          <w:sz w:val="16"/>
          <w:szCs w:val="16"/>
          <w:u w:val="single" w:color="auto"/>
          <w:color w:val="auto"/>
        </w:rPr>
        <w:t>Initial Grant</w:t>
      </w:r>
      <w:r>
        <w:rPr>
          <w:rFonts w:ascii="Arial" w:cs="Arial" w:eastAsia="Arial" w:hAnsi="Arial"/>
          <w:sz w:val="16"/>
          <w:szCs w:val="16"/>
          <w:color w:val="auto"/>
        </w:rPr>
        <w:t>” and, together with the Annual Grants, the “</w:t>
      </w:r>
      <w:r>
        <w:rPr>
          <w:rFonts w:ascii="Arial" w:cs="Arial" w:eastAsia="Arial" w:hAnsi="Arial"/>
          <w:sz w:val="16"/>
          <w:szCs w:val="16"/>
          <w:u w:val="single" w:color="auto"/>
          <w:color w:val="auto"/>
        </w:rPr>
        <w:t>Outside Director Grants</w:t>
      </w:r>
      <w:r>
        <w:rPr>
          <w:rFonts w:ascii="Arial" w:cs="Arial" w:eastAsia="Arial" w:hAnsi="Arial"/>
          <w:sz w:val="16"/>
          <w:szCs w:val="16"/>
          <w:color w:val="auto"/>
        </w:rPr>
        <w:t>”).</w:t>
      </w:r>
    </w:p>
    <w:p>
      <w:pPr>
        <w:spacing w:after="0" w:line="157" w:lineRule="exact"/>
        <w:rPr>
          <w:sz w:val="20"/>
          <w:szCs w:val="20"/>
          <w:color w:val="auto"/>
        </w:rPr>
      </w:pPr>
    </w:p>
    <w:p>
      <w:pPr>
        <w:ind w:left="520" w:hanging="188"/>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Terms of Outside Director Grants</w:t>
      </w:r>
    </w:p>
    <w:p>
      <w:pPr>
        <w:spacing w:after="0" w:line="225" w:lineRule="exact"/>
        <w:rPr>
          <w:sz w:val="20"/>
          <w:szCs w:val="20"/>
          <w:color w:val="auto"/>
        </w:rPr>
      </w:pPr>
    </w:p>
    <w:p>
      <w:pPr>
        <w:jc w:val="both"/>
        <w:ind w:left="20" w:firstLine="315"/>
        <w:spacing w:after="0" w:line="291" w:lineRule="auto"/>
        <w:rPr>
          <w:sz w:val="20"/>
          <w:szCs w:val="20"/>
          <w:color w:val="auto"/>
        </w:rPr>
      </w:pPr>
      <w:r>
        <w:rPr>
          <w:rFonts w:ascii="Arial" w:cs="Arial" w:eastAsia="Arial" w:hAnsi="Arial"/>
          <w:sz w:val="16"/>
          <w:szCs w:val="16"/>
          <w:color w:val="auto"/>
        </w:rPr>
        <w:t>Unless otherwise specified by the Board of Directors or the Compensation Committee at the time of grant, each Outside Director Grant shall: (i) vest, in the case of (A) an Annual Grant, at the end of the “</w:t>
      </w:r>
      <w:r>
        <w:rPr>
          <w:rFonts w:ascii="Arial" w:cs="Arial" w:eastAsia="Arial" w:hAnsi="Arial"/>
          <w:sz w:val="16"/>
          <w:szCs w:val="16"/>
          <w:u w:val="single" w:color="auto"/>
          <w:color w:val="auto"/>
        </w:rPr>
        <w:t>Directors’ Compensation Year</w:t>
      </w:r>
      <w:r>
        <w:rPr>
          <w:rFonts w:ascii="Arial" w:cs="Arial" w:eastAsia="Arial" w:hAnsi="Arial"/>
          <w:sz w:val="16"/>
          <w:szCs w:val="16"/>
          <w:color w:val="auto"/>
        </w:rPr>
        <w:t>,” which shall be defined as the period beginning on the date of each regular Annual Shareholders Meeting (or the first business day of the third fiscal quarter, as applicable) and ending on the date of the next regular Annual Shareholders Meeting, subject to the Outside Director’s continued service on the Board of Directors through the applicable Directors’ Compensation Year, and (B) an Initial Grant, in equal annual installments over three years from the date of the grant, subject to the Outside Director’s continued service on the Board of Directors on the applicable vesting dates; and (ii) be granted under the Company’s standard form of agreement unless on or prior to the date of grant the Board of Directors or the Compensation Committee shall determine that other terms or conditions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340" w:hanging="332"/>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Cash Fees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Annual Cash Fees</w:t>
      </w:r>
    </w:p>
    <w:p>
      <w:pPr>
        <w:spacing w:after="0" w:line="225" w:lineRule="exact"/>
        <w:rPr>
          <w:sz w:val="20"/>
          <w:szCs w:val="20"/>
          <w:color w:val="auto"/>
        </w:rPr>
      </w:pPr>
    </w:p>
    <w:p>
      <w:pPr>
        <w:jc w:val="both"/>
        <w:ind w:left="20" w:firstLine="319"/>
        <w:spacing w:after="0" w:line="263" w:lineRule="auto"/>
        <w:rPr>
          <w:sz w:val="20"/>
          <w:szCs w:val="20"/>
          <w:color w:val="auto"/>
        </w:rPr>
      </w:pPr>
      <w:r>
        <w:rPr>
          <w:rFonts w:ascii="Arial" w:cs="Arial" w:eastAsia="Arial" w:hAnsi="Arial"/>
          <w:sz w:val="18"/>
          <w:szCs w:val="18"/>
          <w:color w:val="auto"/>
        </w:rPr>
        <w:t>Each Outside Director will receive an annual cash retainer fee in the amount of $90,000, and the following additional annual cash fees shall be paid to the Outside Directors serving on the Audit Committee, Compensation Committee, Nominating and Governance Committee and Sustainability and Innovation Committee, as applicable or as the Lead Director (collectively, the “</w:t>
      </w:r>
      <w:r>
        <w:rPr>
          <w:rFonts w:ascii="Arial" w:cs="Arial" w:eastAsia="Arial" w:hAnsi="Arial"/>
          <w:sz w:val="18"/>
          <w:szCs w:val="18"/>
          <w:u w:val="single" w:color="auto"/>
          <w:color w:val="auto"/>
        </w:rPr>
        <w:t>Annual Fees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Retainer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Retainer</w:t>
            </w:r>
          </w:p>
        </w:tc>
        <w:tc>
          <w:tcPr>
            <w:tcW w:w="0" w:type="dxa"/>
            <w:vAlign w:val="bottom"/>
          </w:tcPr>
          <w:p>
            <w:pPr>
              <w:spacing w:after="0"/>
              <w:rPr>
                <w:sz w:val="1"/>
                <w:szCs w:val="1"/>
                <w:color w:val="auto"/>
              </w:rPr>
            </w:pPr>
          </w:p>
        </w:tc>
      </w:tr>
      <w:tr>
        <w:trPr>
          <w:trHeight w:val="216"/>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Committee of Board of Directors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 for</w:t>
            </w:r>
          </w:p>
        </w:tc>
        <w:tc>
          <w:tcPr>
            <w:tcW w:w="0" w:type="dxa"/>
            <w:vAlign w:val="bottom"/>
          </w:tcPr>
          <w:p>
            <w:pPr>
              <w:spacing w:after="0"/>
              <w:rPr>
                <w:sz w:val="1"/>
                <w:szCs w:val="1"/>
                <w:color w:val="auto"/>
              </w:rPr>
            </w:pPr>
          </w:p>
        </w:tc>
      </w:tr>
      <w:tr>
        <w:trPr>
          <w:trHeight w:val="241"/>
        </w:trPr>
        <w:tc>
          <w:tcPr>
            <w:tcW w:w="5780" w:type="dxa"/>
            <w:vAlign w:val="bottom"/>
            <w:vMerge w:val="continue"/>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Chair</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Other Members</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22,500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3"/>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Compensation Committee</w:t>
            </w: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10"/>
              <w:spacing w:after="0" w:line="203" w:lineRule="exact"/>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Nominating and Governance Committee</w:t>
            </w:r>
          </w:p>
        </w:tc>
        <w:tc>
          <w:tcPr>
            <w:tcW w:w="2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Sustainability and Innovation Committee</w:t>
            </w: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10"/>
              <w:spacing w:after="0" w:line="203" w:lineRule="exact"/>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Lead Director Fees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30,000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Payment Terms for All Cash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Annual Fees payable to Outside Directors shall be paid quarterly in arrears as soon as practicable following the last business day of each fiscal quarter.</w:t>
      </w:r>
    </w:p>
    <w:p>
      <w:pPr>
        <w:spacing w:after="0" w:line="248" w:lineRule="exact"/>
        <w:rPr>
          <w:sz w:val="20"/>
          <w:szCs w:val="20"/>
          <w:color w:val="auto"/>
        </w:rPr>
      </w:pPr>
    </w:p>
    <w:p>
      <w:pPr>
        <w:jc w:val="both"/>
        <w:ind w:left="20" w:right="20" w:firstLine="319"/>
        <w:spacing w:after="0" w:line="279" w:lineRule="auto"/>
        <w:rPr>
          <w:sz w:val="20"/>
          <w:szCs w:val="20"/>
          <w:color w:val="auto"/>
        </w:rPr>
      </w:pPr>
      <w:r>
        <w:rPr>
          <w:rFonts w:ascii="Arial" w:cs="Arial" w:eastAsia="Arial" w:hAnsi="Arial"/>
          <w:sz w:val="17"/>
          <w:szCs w:val="17"/>
          <w:color w:val="auto"/>
        </w:rPr>
        <w:t>Following an Outside Director’s first election or appointment to the Board of Directors, such Outside Director shall receive his or her cash compensation prorated during the first fiscal quarter in which he or she was initially appointed or elected for the number of days during which he or she provides service. If an Outside Director dies, resigns or is removed during any quarter, he or she shall be entitled to a cash payment on a prorated basis through his or her last day of service that shall be paid as soon as practicable following the last business day of the fiscal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left="20" w:firstLine="319"/>
        <w:spacing w:after="0" w:line="259" w:lineRule="auto"/>
        <w:rPr>
          <w:sz w:val="20"/>
          <w:szCs w:val="20"/>
          <w:color w:val="auto"/>
        </w:rPr>
      </w:pPr>
      <w:r>
        <w:rPr>
          <w:rFonts w:ascii="Arial" w:cs="Arial" w:eastAsia="Arial" w:hAnsi="Arial"/>
          <w:sz w:val="18"/>
          <w:szCs w:val="18"/>
          <w:color w:val="auto"/>
        </w:rPr>
        <w:t>Upon presentation of documentation of such expenses reasonably satisfactory to the Company, each Outside Director shall be reimbursed for his or her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ind w:left="20" w:firstLine="319"/>
        <w:spacing w:after="0" w:line="277" w:lineRule="auto"/>
        <w:rPr>
          <w:sz w:val="20"/>
          <w:szCs w:val="20"/>
          <w:color w:val="auto"/>
        </w:rPr>
      </w:pPr>
      <w:r>
        <w:rPr>
          <w:rFonts w:ascii="Arial" w:cs="Arial" w:eastAsia="Arial" w:hAnsi="Arial"/>
          <w:sz w:val="18"/>
          <w:szCs w:val="18"/>
          <w:color w:val="auto"/>
        </w:rPr>
        <w:t>The Compensation Committee or the Board of Directors shall review this Policy from time to time to assess whether any amendments in the type and amount of compensation provided herein should be adjusted in order to fulfill the objectives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INCENTIVE EQUITY PLAN</w:t>
      </w:r>
    </w:p>
    <w:p>
      <w:pPr>
        <w:spacing w:after="0" w:line="229" w:lineRule="exact"/>
        <w:rPr>
          <w:sz w:val="20"/>
          <w:szCs w:val="20"/>
          <w:color w:val="auto"/>
        </w:rPr>
      </w:pPr>
    </w:p>
    <w:p>
      <w:pPr>
        <w:ind w:left="620" w:hanging="180"/>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TMC the metals company Inc. 2021 Incentive Equity Plan, have the following meanings: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u w:val="single" w:color="auto"/>
          <w:color w:val="auto"/>
        </w:rPr>
        <w:t>Active Employment</w:t>
      </w:r>
      <w:r>
        <w:rPr>
          <w:rFonts w:ascii="Arial" w:cs="Arial" w:eastAsia="Arial" w:hAnsi="Arial"/>
          <w:sz w:val="17"/>
          <w:szCs w:val="17"/>
          <w:color w:val="auto"/>
        </w:rPr>
        <w:t xml:space="preserve"> means the period in which a Participant who is an Employee performs work for the Company or an Affiliate. For certainty, “Active Employment” shall be deemed to include only the period of minimum notice of termination as may be required to be provided to a Participant pursuant to applicable employment standards legislation but shall exclude any other period that follows the later of the end of the minimum statutory notice period or the Participant’s last day of performing work for the Company or an Affiliate, including at common law.</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Active Engagement</w:t>
      </w:r>
      <w:r>
        <w:rPr>
          <w:rFonts w:ascii="Arial" w:cs="Arial" w:eastAsia="Arial" w:hAnsi="Arial"/>
          <w:sz w:val="18"/>
          <w:szCs w:val="18"/>
          <w:color w:val="auto"/>
        </w:rPr>
        <w:t xml:space="preserve"> means any period in which a Participant who is not an Employee provides services to the Company or an Affiliate. For certainty, “Active Engagement” shall exclude any period that follows, or ought to have followed, a Participant’s last day of providing services to the Company or an Affiliate, including at common law.</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term “Administrator” means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 corporation or other entity, which, for purposes of Section 424 of the Code, is a parent or subsidiary of the Company, direct or indirect.</w:t>
      </w:r>
    </w:p>
    <w:p>
      <w:pPr>
        <w:spacing w:after="0" w:line="24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 written or electronic document setting forth the terms of a Stock Right delivered pursuant to the Plan, in such form as the Administrator shall approve.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“Cause” as defined in such Participant’s written employment or service agreement with the Company or an Affiliate; or (b) if there is no such defined term, then: (i) dishonesty with respect to the Company or any Affiliate, (ii) gross negligence, serious misconduct or a material failure to discharge the duties relating to the employment or service with the Company or Affiliate, including insubordination, (iii) material breach by a Participant of any provision of any written employment, consulting, advisory, nondisclosure, non-competition or similar agreement between the Participant and the Company or any Affiliate or any material written policy of the Company or any Affiliate, or (iv) any act or omission which would constitute Cause at common law.</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means the date on which the transactions contemplated by the Business Combination Agreement among the Company, 1291924 B.C. Unlimited Liability Company, an unlimited liability company existing under the laws of British Columbia, and DeepGreen Metals Inc., a company existing under the laws of British Columbia, dated March 4, 2021, are consummated.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2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if any, to which the Board of Directors has delegated power to act under or pursuant to the provisions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means the Common Shares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TMC the metals company Inc. a company existing under the laws of British Columbia, Canada.</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right="60"/>
        <w:spacing w:after="0" w:line="257" w:lineRule="auto"/>
        <w:rPr>
          <w:sz w:val="20"/>
          <w:szCs w:val="20"/>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Date of Disability</w:t>
      </w:r>
      <w:r>
        <w:rPr>
          <w:rFonts w:ascii="Arial" w:cs="Arial" w:eastAsia="Arial" w:hAnsi="Arial"/>
          <w:sz w:val="18"/>
          <w:szCs w:val="18"/>
          <w:color w:val="auto"/>
        </w:rPr>
        <w:t xml:space="preserve"> means: (a) the date on which a Participant’s service is deemed terminated due to a Disability in accordance with a Participant’s written employment or service agreement with the Company or an Affiliate or, (b) if there is no such defined term, on the last day of the relevant period as set out in the definition of Disability herein, subject to applicable human rights legislation.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has the meaning attributed thereto in a Participant’s written employment or service agreement with the Company or an Affiliate or, if there is no such defined term, means the Participant’s inability to substantially fulfil his or her duties on behalf of the Company or Affiliate as a result of illness or injury for a continuous period of nine (9) months or more or for an aggregate period of twelve (12) months or more during any consecutive twenty-four (24) month period.</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United States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Common Share means:</w:t>
      </w:r>
    </w:p>
    <w:p>
      <w:pPr>
        <w:spacing w:after="0" w:line="225" w:lineRule="exact"/>
        <w:rPr>
          <w:sz w:val="20"/>
          <w:szCs w:val="20"/>
          <w:color w:val="auto"/>
        </w:rPr>
      </w:pPr>
    </w:p>
    <w:p>
      <w:pPr>
        <w:jc w:val="both"/>
        <w:ind w:right="60" w:firstLine="440"/>
        <w:spacing w:after="0" w:line="311" w:lineRule="auto"/>
        <w:tabs>
          <w:tab w:leader="none" w:pos="67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Common Shares are listed on a national securities exchange or traded in the over-the-counter market and sales prices are regularly reported for the Common Shares, the closing or, if not applicable, the last price of the Common Shares on the composite tape or other comparable reporting system for the trading day on the applicable date and if such applicable date is not a trading day, the last market trading day prior to such date;</w:t>
      </w:r>
    </w:p>
    <w:p>
      <w:pPr>
        <w:spacing w:after="0" w:line="148" w:lineRule="exact"/>
        <w:rPr>
          <w:rFonts w:ascii="Arial" w:cs="Arial" w:eastAsia="Arial" w:hAnsi="Arial"/>
          <w:sz w:val="16"/>
          <w:szCs w:val="16"/>
          <w:color w:val="auto"/>
        </w:rPr>
      </w:pPr>
    </w:p>
    <w:p>
      <w:pPr>
        <w:ind w:right="20" w:firstLine="440"/>
        <w:spacing w:after="0" w:line="257" w:lineRule="auto"/>
        <w:tabs>
          <w:tab w:leader="none" w:pos="6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Common Shares are not traded on a national securities exchange but is traded on the over-the-counter market, if sales prices are not regularly reported for the Common Shares for the trading day referred to in clause (a), and if bid and asked prices for the Common Shares are regularly reported, the mean between the bid and the asked price for the Common Shares at the close of trading in the over-the-counter market for the most recent trading day on which Common Shares was traded on the applicable date and if such applicable date is not a trading day, the last market trading day prior to such date; and</w:t>
      </w:r>
    </w:p>
    <w:p>
      <w:pPr>
        <w:spacing w:after="0" w:line="187" w:lineRule="exact"/>
        <w:rPr>
          <w:rFonts w:ascii="Arial" w:cs="Arial" w:eastAsia="Arial" w:hAnsi="Arial"/>
          <w:sz w:val="18"/>
          <w:szCs w:val="18"/>
          <w:color w:val="auto"/>
        </w:rPr>
      </w:pPr>
    </w:p>
    <w:p>
      <w:pPr>
        <w:ind w:right="900" w:firstLine="440"/>
        <w:spacing w:after="0" w:line="277" w:lineRule="auto"/>
        <w:tabs>
          <w:tab w:leader="none" w:pos="67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Common Shares are neither listed on a national securities exchange nor traded in the over-the-counter market, such value as the Administrator, in good faith, shall determine in compliance with applicable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option to acquire Common Shares granted under the Plan.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Performance-Based Award</w:t>
      </w:r>
      <w:r>
        <w:rPr>
          <w:rFonts w:ascii="Arial" w:cs="Arial" w:eastAsia="Arial" w:hAnsi="Arial"/>
          <w:sz w:val="18"/>
          <w:szCs w:val="18"/>
          <w:color w:val="auto"/>
        </w:rPr>
        <w:t xml:space="preserve"> means a Stock Grant or Stock-Based Award which vests based on the attainment of written Performance Goals as set forth in Paragraph 9 hereof.</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u w:val="single" w:color="auto"/>
          <w:color w:val="auto"/>
        </w:rPr>
        <w:t>Permitted Designee</w:t>
      </w:r>
      <w:r>
        <w:rPr>
          <w:rFonts w:ascii="Arial" w:cs="Arial" w:eastAsia="Arial" w:hAnsi="Arial"/>
          <w:sz w:val="17"/>
          <w:szCs w:val="17"/>
          <w:color w:val="auto"/>
        </w:rPr>
        <w:t xml:space="preserve"> means, with respect to a Participant: (a) an entity that is wholly-owned by the Participant; (b) a spouse (common law or otherwise) or child (natural or adopted) of the Participant; (c) the estate and heirs and beneficiaries (arising from death) of the Participant and persons identified in (b) herein; or (d) a corporation, incorporated association or organization, body corporate, partnership, trust, association or other entity, the sole shareholders, partners or beneficiaries of which only include the Participant and persons referred to in (b) or (c) herein.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TMC the metals company Inc. 2021 Incentive Equity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w:t>
      </w:r>
      <w:r>
        <w:rPr>
          <w:rFonts w:ascii="Arial" w:cs="Arial" w:eastAsia="Arial" w:hAnsi="Arial"/>
          <w:sz w:val="18"/>
          <w:szCs w:val="18"/>
          <w:color w:val="auto"/>
        </w:rPr>
        <w:t xml:space="preserve"> means a stock appreciation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United States Securities Act of 1933, as amended.</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Common Shares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Stock-Based Award</w:t>
      </w:r>
      <w:r>
        <w:rPr>
          <w:rFonts w:ascii="Arial" w:cs="Arial" w:eastAsia="Arial" w:hAnsi="Arial"/>
          <w:sz w:val="16"/>
          <w:szCs w:val="16"/>
          <w:color w:val="auto"/>
        </w:rPr>
        <w:t xml:space="preserve"> means a grant by the Company under the Plan of an equity award or an equity based award, which is not an Option, or a Stock Grant.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an Option, a Stock Grant or a Stock-Based Award or a right to Shares or the value of Shares of the Company granted pursuant to the Plan.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means an award issued under the Plan in substitution for one or more equity awards of an acquired company that are converted, replaced or adjusted in connection with the acquisition.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in respect of a Participant, such Participant’s last day of Active Employment or Active Engagement (as applicable) with the Company or an Affiliate, whether such date is selected by the Participant, by mutual agreement between the Company or an Affiliate and the Participant, or unilaterally by the Company or an Affiliate.</w:t>
      </w:r>
    </w:p>
    <w:p>
      <w:pPr>
        <w:spacing w:after="0" w:line="184" w:lineRule="exact"/>
        <w:rPr>
          <w:sz w:val="20"/>
          <w:szCs w:val="20"/>
          <w:color w:val="auto"/>
        </w:rPr>
      </w:pPr>
    </w:p>
    <w:p>
      <w:pPr>
        <w:ind w:left="620" w:hanging="180"/>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Options, Stock Grants and Stock-Based Awards.</w:t>
      </w:r>
    </w:p>
    <w:p>
      <w:pPr>
        <w:spacing w:after="0" w:line="149" w:lineRule="exact"/>
        <w:rPr>
          <w:sz w:val="20"/>
          <w:szCs w:val="20"/>
          <w:color w:val="auto"/>
        </w:rPr>
      </w:pPr>
    </w:p>
    <w:p>
      <w:pPr>
        <w:ind w:left="620" w:hanging="180"/>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right="40" w:firstLine="440"/>
        <w:spacing w:after="0" w:line="277" w:lineRule="auto"/>
        <w:tabs>
          <w:tab w:leader="none" w:pos="6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number of Shares that may be issued from time to time pursuant to this Plan shall be 24,682,386 Common Shares; provided that 2,243,853 of the outstanding Common Shares shall only be available for Stock Rights made to non-employee directors of the Company.</w:t>
      </w:r>
    </w:p>
    <w:p>
      <w:pPr>
        <w:spacing w:after="0" w:line="170" w:lineRule="exact"/>
        <w:rPr>
          <w:rFonts w:ascii="Arial" w:cs="Arial" w:eastAsia="Arial" w:hAnsi="Arial"/>
          <w:sz w:val="18"/>
          <w:szCs w:val="18"/>
          <w:color w:val="auto"/>
        </w:rPr>
      </w:pPr>
    </w:p>
    <w:p>
      <w:pPr>
        <w:ind w:right="100" w:firstLine="440"/>
        <w:spacing w:after="0" w:line="259" w:lineRule="auto"/>
        <w:tabs>
          <w:tab w:leader="none" w:pos="6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Subparagraph (a) above, on the first day of each fiscal year of the Company during the period beginning in fiscal year 2022 and ending on the tenth anniversary of the Closing, the number of Shares that may be issued from time to time pursuant to the Plan, shall be increased automatically by an amount equal to the lesser of (i) 4% of the number of outstanding Common Shares on such date and (ii) an amount determined by the Administrator (the “</w:t>
      </w:r>
      <w:r>
        <w:rPr>
          <w:rFonts w:ascii="Arial" w:cs="Arial" w:eastAsia="Arial" w:hAnsi="Arial"/>
          <w:sz w:val="18"/>
          <w:szCs w:val="18"/>
          <w:u w:val="single" w:color="auto"/>
          <w:color w:val="auto"/>
        </w:rPr>
        <w:t>Annual Increase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440"/>
        <w:spacing w:after="0" w:line="272" w:lineRule="auto"/>
        <w:tabs>
          <w:tab w:leader="none" w:pos="67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ind w:right="120" w:firstLine="440"/>
        <w:spacing w:after="0" w:line="273" w:lineRule="auto"/>
        <w:tabs>
          <w:tab w:leader="none" w:pos="67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Administrator may grant Substitute Awards under the Plan. To the extent consistent with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78" w:lineRule="exact"/>
        <w:rPr>
          <w:sz w:val="20"/>
          <w:szCs w:val="20"/>
          <w:color w:val="auto"/>
        </w:rPr>
      </w:pPr>
    </w:p>
    <w:p>
      <w:pPr>
        <w:ind w:left="620" w:hanging="180"/>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46" w:lineRule="exact"/>
        <w:rPr>
          <w:sz w:val="20"/>
          <w:szCs w:val="20"/>
          <w:color w:val="auto"/>
        </w:rPr>
      </w:pPr>
    </w:p>
    <w:p>
      <w:pPr>
        <w:ind w:right="280" w:firstLine="440"/>
        <w:spacing w:after="0" w:line="277"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right="60" w:firstLine="440"/>
        <w:spacing w:after="0" w:line="259"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in any calendar year, exceed US$500,000, increased US$750,000 in the year in which such non-employee director initially joins the Board of Directors.</w:t>
      </w:r>
    </w:p>
    <w:p>
      <w:pPr>
        <w:spacing w:after="0" w:line="186" w:lineRule="exact"/>
        <w:rPr>
          <w:rFonts w:ascii="Arial" w:cs="Arial" w:eastAsia="Arial" w:hAnsi="Arial"/>
          <w:sz w:val="18"/>
          <w:szCs w:val="18"/>
          <w:color w:val="auto"/>
        </w:rPr>
      </w:pPr>
    </w:p>
    <w:p>
      <w:pPr>
        <w:ind w:right="260" w:firstLine="440"/>
        <w:spacing w:after="0" w:line="277"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 provided that no dividends or dividend equivalents shall be paid on any Stock Right prior to the vesting of the underlying Shares.</w:t>
      </w:r>
    </w:p>
    <w:p>
      <w:pPr>
        <w:spacing w:after="0" w:line="170" w:lineRule="exact"/>
        <w:rPr>
          <w:rFonts w:ascii="Arial" w:cs="Arial" w:eastAsia="Arial" w:hAnsi="Arial"/>
          <w:sz w:val="18"/>
          <w:szCs w:val="18"/>
          <w:color w:val="auto"/>
        </w:rPr>
      </w:pPr>
    </w:p>
    <w:p>
      <w:pPr>
        <w:ind w:right="160" w:firstLine="440"/>
        <w:spacing w:after="0" w:line="263" w:lineRule="auto"/>
        <w:tabs>
          <w:tab w:leader="none" w:pos="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pacing w:after="0" w:line="183" w:lineRule="exact"/>
        <w:rPr>
          <w:rFonts w:ascii="Arial" w:cs="Arial" w:eastAsia="Arial" w:hAnsi="Arial"/>
          <w:sz w:val="18"/>
          <w:szCs w:val="18"/>
          <w:color w:val="auto"/>
        </w:rPr>
      </w:pPr>
    </w:p>
    <w:p>
      <w:pPr>
        <w:ind w:left="660" w:hanging="220"/>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Determine and make any adjustments in the Performance Goals included in any Performance-Based Awards; and</w:t>
      </w:r>
    </w:p>
    <w:p>
      <w:pPr>
        <w:spacing w:after="0" w:line="225" w:lineRule="exact"/>
        <w:rPr>
          <w:rFonts w:ascii="Arial" w:cs="Arial" w:eastAsia="Arial" w:hAnsi="Arial"/>
          <w:sz w:val="18"/>
          <w:szCs w:val="18"/>
          <w:color w:val="auto"/>
        </w:rPr>
      </w:pPr>
    </w:p>
    <w:p>
      <w:pPr>
        <w:ind w:firstLine="440"/>
        <w:spacing w:after="0" w:line="286" w:lineRule="auto"/>
        <w:tabs>
          <w:tab w:leader="none" w:pos="68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6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8" w:lineRule="exact"/>
        <w:rPr>
          <w:sz w:val="20"/>
          <w:szCs w:val="20"/>
          <w:color w:val="auto"/>
        </w:rPr>
      </w:pPr>
    </w:p>
    <w:p>
      <w:pPr>
        <w:ind w:left="620" w:hanging="180"/>
        <w:spacing w:after="0"/>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r>
        <w:rPr>
          <w:rFonts w:ascii="Arial" w:cs="Arial" w:eastAsia="Arial" w:hAnsi="Arial"/>
          <w:sz w:val="18"/>
          <w:szCs w:val="18"/>
          <w:color w:val="auto"/>
        </w:rPr>
        <w:t>.</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firstLine="432"/>
        <w:spacing w:after="0" w:line="254" w:lineRule="auto"/>
        <w:rPr>
          <w:sz w:val="20"/>
          <w:szCs w:val="20"/>
          <w:color w:val="auto"/>
        </w:rPr>
      </w:pPr>
      <w:r>
        <w:rPr>
          <w:rFonts w:ascii="Arial" w:cs="Arial" w:eastAsia="Arial" w:hAnsi="Arial"/>
          <w:sz w:val="18"/>
          <w:szCs w:val="18"/>
          <w:color w:val="auto"/>
        </w:rPr>
        <w:t>A Participant to whom an Option is granted may request, by written notice to the Administrator, to have such Options issued in the name of a Permitted Designee. The Administrator may, in its sole and absolute discretion, accept or reject such request, provided that if the request is accepted: (a) the Participant and the Permitted Designee shall execute and deliver to the Company an instrument in writing providing such representations, warranties and covenants as the Company may require (including satisfying the Company that the intended designee is a Permitted Designee), and (b) the Company is satisfied, in its sole and absolute discretion, that the Company may do so (i) in compliance with all applicable laws (including the Exchange Act and the Securities Act), and (ii) without imposing any additional financial or other obligations upon the Company. If the Permitted Designee ceases at any time to qualify as a Permitted Designee of the Participant, then any Option held by such Permitted Designee shall immediately terminate and be of no further force and effect.</w:t>
      </w:r>
    </w:p>
    <w:p>
      <w:pPr>
        <w:spacing w:after="0" w:line="192"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References in Section 4(c) of the Plan to limits on the number of Shares under Stock Rights which may be granted shall be read as being the cumulative aggregation of Stock Rights granted to a Participant and such Participant’s Permitted Designees. The Permitted Designee shall be bound by the same provisions, effects and limitations set forth in the Plan (including, for greater certainty, the provisions of Sections 4(c), 9 and 14-22 inclusive), such that the effect of any provision on a Participant shall apply to the Participant’s Permitted Designee.</w:t>
      </w:r>
    </w:p>
    <w:p>
      <w:pPr>
        <w:spacing w:after="0" w:line="171" w:lineRule="exact"/>
        <w:rPr>
          <w:sz w:val="20"/>
          <w:szCs w:val="20"/>
          <w:color w:val="auto"/>
        </w:rPr>
      </w:pPr>
    </w:p>
    <w:p>
      <w:pPr>
        <w:ind w:left="620" w:hanging="180"/>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r>
        <w:rPr>
          <w:rFonts w:ascii="Arial" w:cs="Arial" w:eastAsia="Arial" w:hAnsi="Arial"/>
          <w:sz w:val="18"/>
          <w:szCs w:val="18"/>
          <w:color w:val="auto"/>
        </w:rPr>
        <w:t>.</w:t>
      </w:r>
    </w:p>
    <w:p>
      <w:pPr>
        <w:spacing w:after="0" w:line="22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In addition, the Option Agreements shall be subject to at least the following terms and conditions:</w:t>
      </w:r>
    </w:p>
    <w:p>
      <w:pPr>
        <w:spacing w:after="0" w:line="188" w:lineRule="exact"/>
        <w:rPr>
          <w:sz w:val="20"/>
          <w:szCs w:val="20"/>
          <w:color w:val="auto"/>
        </w:rPr>
      </w:pPr>
    </w:p>
    <w:p>
      <w:pPr>
        <w:ind w:right="60" w:firstLine="440"/>
        <w:spacing w:after="0" w:line="277"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Each Option shall be subject to the terms and conditions which the Administrator determines to be appropriate and in the best interest of the Company, subject to the following minimum standards for any such Option:</w:t>
      </w:r>
    </w:p>
    <w:p>
      <w:pPr>
        <w:spacing w:after="0" w:line="170" w:lineRule="exact"/>
        <w:rPr>
          <w:sz w:val="20"/>
          <w:szCs w:val="20"/>
          <w:color w:val="auto"/>
        </w:rPr>
      </w:pPr>
    </w:p>
    <w:p>
      <w:pPr>
        <w:ind w:left="440" w:right="80"/>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Common Share on the date of grant of the Option, unless otherwise determined by the Administrator.</w:t>
      </w:r>
    </w:p>
    <w:p>
      <w:pPr>
        <w:spacing w:after="0" w:line="183" w:lineRule="exact"/>
        <w:rPr>
          <w:rFonts w:ascii="Arial" w:cs="Arial" w:eastAsia="Arial" w:hAnsi="Arial"/>
          <w:sz w:val="18"/>
          <w:szCs w:val="18"/>
          <w:color w:val="auto"/>
        </w:rPr>
      </w:pPr>
    </w:p>
    <w:p>
      <w:pPr>
        <w:ind w:left="700" w:hanging="260"/>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225" w:lineRule="exact"/>
        <w:rPr>
          <w:rFonts w:ascii="Arial" w:cs="Arial" w:eastAsia="Arial" w:hAnsi="Arial"/>
          <w:sz w:val="18"/>
          <w:szCs w:val="18"/>
          <w:color w:val="auto"/>
        </w:rPr>
      </w:pPr>
    </w:p>
    <w:p>
      <w:pPr>
        <w:jc w:val="both"/>
        <w:ind w:left="440" w:right="660"/>
        <w:spacing w:after="0" w:line="263" w:lineRule="auto"/>
        <w:tabs>
          <w:tab w:leader="none" w:pos="75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83" w:lineRule="exact"/>
        <w:rPr>
          <w:rFonts w:ascii="Arial" w:cs="Arial" w:eastAsia="Arial" w:hAnsi="Arial"/>
          <w:sz w:val="18"/>
          <w:szCs w:val="18"/>
          <w:color w:val="auto"/>
        </w:rPr>
      </w:pPr>
    </w:p>
    <w:p>
      <w:pPr>
        <w:ind w:left="440" w:right="180"/>
        <w:spacing w:after="0" w:line="277" w:lineRule="auto"/>
        <w:tabs>
          <w:tab w:leader="none" w:pos="7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170" w:lineRule="exact"/>
        <w:rPr>
          <w:sz w:val="20"/>
          <w:szCs w:val="20"/>
          <w:color w:val="auto"/>
        </w:rPr>
      </w:pPr>
    </w:p>
    <w:p>
      <w:pPr>
        <w:ind w:firstLine="440"/>
        <w:spacing w:after="0" w:line="273" w:lineRule="auto"/>
        <w:tabs>
          <w:tab w:leader="none" w:pos="68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25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7" w:name="page78"/>
    <w:bookmarkEnd w:id="77"/>
    <w:p>
      <w:pPr>
        <w:ind w:left="620" w:hanging="180"/>
        <w:spacing w:after="0"/>
        <w:tabs>
          <w:tab w:leader="none" w:pos="6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r>
        <w:rPr>
          <w:rFonts w:ascii="Arial" w:cs="Arial" w:eastAsia="Arial" w:hAnsi="Arial"/>
          <w:sz w:val="18"/>
          <w:szCs w:val="18"/>
          <w:color w:val="auto"/>
        </w:rPr>
        <w:t>.</w:t>
      </w:r>
    </w:p>
    <w:p>
      <w:pPr>
        <w:spacing w:after="0" w:line="225" w:lineRule="exact"/>
        <w:rPr>
          <w:sz w:val="20"/>
          <w:szCs w:val="20"/>
          <w:color w:val="auto"/>
        </w:rPr>
      </w:pPr>
    </w:p>
    <w:p>
      <w:pPr>
        <w:ind w:right="20" w:firstLine="432"/>
        <w:spacing w:after="0" w:line="311" w:lineRule="auto"/>
        <w:rPr>
          <w:sz w:val="20"/>
          <w:szCs w:val="20"/>
          <w:color w:val="auto"/>
        </w:rPr>
      </w:pPr>
      <w:r>
        <w:rPr>
          <w:rFonts w:ascii="Arial" w:cs="Arial" w:eastAsia="Arial" w:hAnsi="Arial"/>
          <w:sz w:val="16"/>
          <w:szCs w:val="16"/>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49" w:lineRule="exact"/>
        <w:rPr>
          <w:sz w:val="20"/>
          <w:szCs w:val="20"/>
          <w:color w:val="auto"/>
        </w:rPr>
      </w:pPr>
    </w:p>
    <w:p>
      <w:pPr>
        <w:ind w:right="600" w:firstLine="440"/>
        <w:spacing w:after="0" w:line="277" w:lineRule="auto"/>
        <w:tabs>
          <w:tab w:leader="none" w:pos="6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on the date of the grant of the Stock Grant;</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w:t>
      </w:r>
    </w:p>
    <w:p>
      <w:pPr>
        <w:spacing w:after="0" w:line="225" w:lineRule="exact"/>
        <w:rPr>
          <w:rFonts w:ascii="Arial" w:cs="Arial" w:eastAsia="Arial" w:hAnsi="Arial"/>
          <w:sz w:val="18"/>
          <w:szCs w:val="18"/>
          <w:color w:val="auto"/>
        </w:rPr>
      </w:pPr>
    </w:p>
    <w:p>
      <w:pPr>
        <w:jc w:val="both"/>
        <w:ind w:right="160" w:firstLine="440"/>
        <w:spacing w:after="0" w:line="263" w:lineRule="auto"/>
        <w:tabs>
          <w:tab w:leader="none" w:pos="6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83" w:lineRule="exact"/>
        <w:rPr>
          <w:rFonts w:ascii="Arial" w:cs="Arial" w:eastAsia="Arial" w:hAnsi="Arial"/>
          <w:sz w:val="18"/>
          <w:szCs w:val="18"/>
          <w:color w:val="auto"/>
        </w:rPr>
      </w:pPr>
    </w:p>
    <w:p>
      <w:pPr>
        <w:ind w:right="200" w:firstLine="440"/>
        <w:spacing w:after="0" w:line="277" w:lineRule="auto"/>
        <w:tabs>
          <w:tab w:leader="none" w:pos="68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Dividends (other than stock dividends to be issued pursuant to Paragraph 25 of the Plan) may accrue but shall not be paid prior to the time, and may be paid only to the extent that, the restrictions or rights to reacquire the Shares subject to the Stock Grant lapse.</w:t>
      </w:r>
    </w:p>
    <w:p>
      <w:pPr>
        <w:spacing w:after="0" w:line="170" w:lineRule="exact"/>
        <w:rPr>
          <w:sz w:val="20"/>
          <w:szCs w:val="20"/>
          <w:color w:val="auto"/>
        </w:rPr>
      </w:pPr>
    </w:p>
    <w:p>
      <w:pPr>
        <w:ind w:left="620" w:hanging="180"/>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r>
        <w:rPr>
          <w:rFonts w:ascii="Arial" w:cs="Arial" w:eastAsia="Arial" w:hAnsi="Arial"/>
          <w:sz w:val="18"/>
          <w:szCs w:val="18"/>
          <w:color w:val="auto"/>
        </w:rPr>
        <w:t>.</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Administrator shall have the right to grant other Stock-Based Awards based upon the Common Shares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Common Share on the date of grant or (b) expire more than ten years following the date of grant.</w:t>
      </w:r>
    </w:p>
    <w:p>
      <w:pPr>
        <w:spacing w:after="0" w:line="182" w:lineRule="exact"/>
        <w:rPr>
          <w:sz w:val="20"/>
          <w:szCs w:val="20"/>
          <w:color w:val="auto"/>
        </w:rPr>
      </w:pPr>
    </w:p>
    <w:p>
      <w:pPr>
        <w:ind w:left="620" w:hanging="180"/>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spacing w:after="0" w:line="164" w:lineRule="exact"/>
        <w:rPr>
          <w:sz w:val="20"/>
          <w:szCs w:val="20"/>
          <w:color w:val="auto"/>
        </w:rPr>
      </w:pPr>
    </w:p>
    <w:p>
      <w:pPr>
        <w:ind w:left="700" w:hanging="260"/>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r>
        <w:rPr>
          <w:rFonts w:ascii="Arial" w:cs="Arial" w:eastAsia="Arial" w:hAnsi="Arial"/>
          <w:sz w:val="18"/>
          <w:szCs w:val="18"/>
          <w:i w:val="1"/>
          <w:iCs w:val="1"/>
          <w:color w:val="auto"/>
        </w:rPr>
        <w:t>.</w:t>
      </w:r>
    </w:p>
    <w:p>
      <w:pPr>
        <w:spacing w:after="0" w:line="22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Common Shares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(d) at the discretion of the Administrator, by permitting the Participant to surrender such number of Options in respect of Shares having a Fair Market Value that, when the aggregate exercise price of such Options is subtracted from such Fair Market Value, equals a difference as of the date of exercise to the aggregate exercise price for the number of Shares as to which the Option is being exercised; or (e) at the discretion of the Administrator, in accordance with a cashless exercise program established with a securities brokerage firm, and approved by the Administrator, providing for the sale of securities on the Participant’s behalf; or (f) at the discretion of the Administrator, by any combination of (a), (b), (c), (d) and (e) above or (g) at the discretion of the Administrator, by payment of such other lawful consideration as the Administrator may determine.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8" w:name="page79"/>
    <w:bookmarkEnd w:id="78"/>
    <w:p>
      <w:pPr>
        <w:ind w:right="20" w:firstLine="432"/>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700" w:hanging="260"/>
        <w:spacing w:after="0"/>
        <w:tabs>
          <w:tab w:leader="none" w:pos="70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PAYMENT IN CONNECTION WITH THE ISSUANCE OF STOCK GRANTS AND STOCK-BASED AWARDS AND ISSUE OF SHARES</w:t>
      </w:r>
      <w:r>
        <w:rPr>
          <w:rFonts w:ascii="Arial" w:cs="Arial" w:eastAsia="Arial" w:hAnsi="Arial"/>
          <w:sz w:val="17"/>
          <w:szCs w:val="17"/>
          <w:color w:val="auto"/>
        </w:rPr>
        <w:t>.</w:t>
      </w:r>
    </w:p>
    <w:p>
      <w:pPr>
        <w:spacing w:after="0" w:line="23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Common Shares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 (d) at the discretion of the Administrator, by any combination of (a) through (c) above; or (e) at the discretion of the Administrator, by payment of such other lawful consideration as the Administrator may determine.</w:t>
      </w:r>
    </w:p>
    <w:p>
      <w:pPr>
        <w:spacing w:after="0" w:line="195"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76" w:lineRule="exact"/>
        <w:rPr>
          <w:sz w:val="20"/>
          <w:szCs w:val="20"/>
          <w:color w:val="auto"/>
        </w:rPr>
      </w:pPr>
    </w:p>
    <w:p>
      <w:pPr>
        <w:ind w:left="700" w:hanging="260"/>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88" w:lineRule="exact"/>
        <w:rPr>
          <w:sz w:val="20"/>
          <w:szCs w:val="20"/>
          <w:color w:val="auto"/>
        </w:rPr>
      </w:pPr>
    </w:p>
    <w:p>
      <w:pPr>
        <w:ind w:left="700" w:hanging="260"/>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r>
        <w:rPr>
          <w:rFonts w:ascii="Arial" w:cs="Arial" w:eastAsia="Arial" w:hAnsi="Arial"/>
          <w:sz w:val="18"/>
          <w:szCs w:val="18"/>
          <w:color w:val="auto"/>
        </w:rPr>
        <w:t>.</w:t>
      </w:r>
    </w:p>
    <w:p>
      <w:pPr>
        <w:spacing w:after="0" w:line="225" w:lineRule="exact"/>
        <w:rPr>
          <w:sz w:val="20"/>
          <w:szCs w:val="20"/>
          <w:color w:val="auto"/>
        </w:rPr>
      </w:pPr>
    </w:p>
    <w:p>
      <w:pPr>
        <w:ind w:right="340" w:firstLine="432"/>
        <w:spacing w:after="0" w:line="263" w:lineRule="auto"/>
        <w:rPr>
          <w:sz w:val="20"/>
          <w:szCs w:val="20"/>
          <w:color w:val="auto"/>
        </w:rPr>
      </w:pPr>
      <w:r>
        <w:rPr>
          <w:rFonts w:ascii="Arial" w:cs="Arial" w:eastAsia="Arial" w:hAnsi="Arial"/>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9" w:name="page80"/>
    <w:bookmarkEnd w:id="79"/>
    <w:p>
      <w:pPr>
        <w:ind w:right="80"/>
        <w:spacing w:after="0" w:line="273" w:lineRule="auto"/>
        <w:rPr>
          <w:sz w:val="20"/>
          <w:szCs w:val="20"/>
          <w:color w:val="auto"/>
        </w:rPr>
      </w:pPr>
      <w:r>
        <w:rPr>
          <w:rFonts w:ascii="Arial" w:cs="Arial" w:eastAsia="Arial" w:hAnsi="Arial"/>
          <w:sz w:val="17"/>
          <w:szCs w:val="17"/>
          <w:color w:val="auto"/>
        </w:rPr>
        <w:t>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78" w:lineRule="exact"/>
        <w:rPr>
          <w:sz w:val="20"/>
          <w:szCs w:val="20"/>
          <w:color w:val="auto"/>
        </w:rPr>
      </w:pPr>
    </w:p>
    <w:p>
      <w:pPr>
        <w:ind w:left="700" w:hanging="260"/>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OTHER THAN FOR CAUSE OR DEATH OR DISABILITY</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Except as otherwise provided in a Participant’s Option Agreement in the event of a cessation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ind w:right="20" w:firstLine="440"/>
        <w:spacing w:after="0" w:line="257" w:lineRule="auto"/>
        <w:tabs>
          <w:tab w:leader="none" w:pos="6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for Cause, Disability, or death for which events there are special rules in Paragraphs 15, 16, and 17, respectively), may exercise any Option granted to such Participant to the extent that the Option is exercisable on the Termination Date, but only within such term as the Administrator has designated in a Participant’s Option Agreement. Except as otherwise determined by the Administrator, any Option, or portion thereof, that is not exercisable on the Termination Date will automatically terminate and become void on the Termination Date.</w:t>
      </w:r>
    </w:p>
    <w:p>
      <w:pPr>
        <w:spacing w:after="0" w:line="187" w:lineRule="exact"/>
        <w:rPr>
          <w:rFonts w:ascii="Arial" w:cs="Arial" w:eastAsia="Arial" w:hAnsi="Arial"/>
          <w:sz w:val="18"/>
          <w:szCs w:val="18"/>
          <w:color w:val="auto"/>
        </w:rPr>
      </w:pPr>
    </w:p>
    <w:p>
      <w:pPr>
        <w:ind w:firstLine="440"/>
        <w:spacing w:after="0" w:line="259" w:lineRule="auto"/>
        <w:tabs>
          <w:tab w:leader="none" w:pos="68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16 or 17, shall apply to a Participant who subsequently becomes Disabled or dies after their Termination Date; provided, however, in the case of a Participant’s Disability or death within three months after the Termination Date, the Participant or the Participant’s Survivors may exercise the Option within one year after the Termination Date, but in no event after the date of expiration of the term of the Option.</w:t>
      </w:r>
    </w:p>
    <w:p>
      <w:pPr>
        <w:spacing w:after="0" w:line="186" w:lineRule="exact"/>
        <w:rPr>
          <w:rFonts w:ascii="Arial" w:cs="Arial" w:eastAsia="Arial" w:hAnsi="Arial"/>
          <w:sz w:val="18"/>
          <w:szCs w:val="18"/>
          <w:color w:val="auto"/>
        </w:rPr>
      </w:pPr>
    </w:p>
    <w:p>
      <w:pPr>
        <w:jc w:val="both"/>
        <w:ind w:right="420" w:firstLine="440"/>
        <w:spacing w:after="0" w:line="286" w:lineRule="auto"/>
        <w:tabs>
          <w:tab w:leader="none" w:pos="67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subsequent to a Participant’s Termination Date, but prior to the exercise of an Option, the Administrator determines that, prior to the Participant’s Termination Date, the Participant engaged in conduct which would constitute Cause, then any Option which the Participant has not exercised at such time will automatically terminate and become void.</w:t>
      </w:r>
    </w:p>
    <w:p>
      <w:pPr>
        <w:spacing w:after="0" w:line="165" w:lineRule="exact"/>
        <w:rPr>
          <w:rFonts w:ascii="Arial" w:cs="Arial" w:eastAsia="Arial" w:hAnsi="Arial"/>
          <w:sz w:val="17"/>
          <w:szCs w:val="17"/>
          <w:color w:val="auto"/>
        </w:rPr>
      </w:pPr>
    </w:p>
    <w:p>
      <w:pPr>
        <w:ind w:firstLine="440"/>
        <w:spacing w:after="0" w:line="301" w:lineRule="auto"/>
        <w:tabs>
          <w:tab w:leader="none" w:pos="68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57" w:lineRule="exact"/>
        <w:rPr>
          <w:rFonts w:ascii="Arial" w:cs="Arial" w:eastAsia="Arial" w:hAnsi="Arial"/>
          <w:sz w:val="16"/>
          <w:szCs w:val="16"/>
          <w:color w:val="auto"/>
        </w:rPr>
      </w:pPr>
    </w:p>
    <w:p>
      <w:pPr>
        <w:jc w:val="both"/>
        <w:ind w:right="80" w:firstLine="440"/>
        <w:spacing w:after="0" w:line="263" w:lineRule="auto"/>
        <w:tabs>
          <w:tab w:leader="none" w:pos="6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4" w:lineRule="exact"/>
        <w:rPr>
          <w:sz w:val="20"/>
          <w:szCs w:val="20"/>
          <w:color w:val="auto"/>
        </w:rPr>
      </w:pPr>
    </w:p>
    <w:p>
      <w:pPr>
        <w:ind w:left="700" w:hanging="260"/>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FOR CAUSE</w:t>
      </w:r>
      <w:r>
        <w:rPr>
          <w:rFonts w:ascii="Arial" w:cs="Arial" w:eastAsia="Arial" w:hAnsi="Arial"/>
          <w:sz w:val="18"/>
          <w:szCs w:val="18"/>
          <w:color w:val="auto"/>
        </w:rPr>
        <w:t>.</w:t>
      </w:r>
    </w:p>
    <w:p>
      <w:pPr>
        <w:spacing w:after="0" w:line="22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ceases for Cause prior to the time that all his or her outstanding Options have been exercised:</w:t>
      </w:r>
    </w:p>
    <w:p>
      <w:pPr>
        <w:spacing w:after="0" w:line="124" w:lineRule="exact"/>
        <w:rPr>
          <w:sz w:val="20"/>
          <w:szCs w:val="20"/>
          <w:color w:val="auto"/>
        </w:rPr>
      </w:pPr>
    </w:p>
    <w:p>
      <w:pPr>
        <w:ind w:left="680" w:hanging="240"/>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Termination Date will immediately terminate and become void.</w:t>
      </w:r>
    </w:p>
    <w:p>
      <w:pPr>
        <w:spacing w:after="0" w:line="225" w:lineRule="exact"/>
        <w:rPr>
          <w:rFonts w:ascii="Arial" w:cs="Arial" w:eastAsia="Arial" w:hAnsi="Arial"/>
          <w:sz w:val="18"/>
          <w:szCs w:val="18"/>
          <w:color w:val="auto"/>
        </w:rPr>
      </w:pPr>
    </w:p>
    <w:p>
      <w:pPr>
        <w:ind w:right="60" w:firstLine="440"/>
        <w:spacing w:after="0" w:line="263" w:lineRule="auto"/>
        <w:tabs>
          <w:tab w:leader="none" w:pos="68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but prior to the exercise of an Option, that prior to the Participant’s Termination Date, the Participant engaged in conduct which would constitute Cause, then such Option will automatically terminate and become void.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left="440" w:right="4940"/>
        <w:spacing w:after="0" w:line="530" w:lineRule="auto"/>
        <w:tabs>
          <w:tab w:leader="none" w:pos="71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EFFECT ON OPTIONS OF CESSATION OF SERVICE FOR DISABILITY</w:t>
      </w:r>
      <w:r>
        <w:rPr>
          <w:rFonts w:ascii="Arial" w:cs="Arial" w:eastAsia="Arial" w:hAnsi="Arial"/>
          <w:sz w:val="17"/>
          <w:szCs w:val="17"/>
          <w:color w:val="auto"/>
        </w:rPr>
        <w:t>. Except as otherwise provided in a Participant’s Option Agreement:</w:t>
      </w:r>
    </w:p>
    <w:p>
      <w:pPr>
        <w:spacing w:after="0" w:line="1" w:lineRule="exact"/>
        <w:rPr>
          <w:sz w:val="20"/>
          <w:szCs w:val="20"/>
          <w:color w:val="auto"/>
        </w:rPr>
      </w:pPr>
    </w:p>
    <w:p>
      <w:pPr>
        <w:ind w:right="20" w:firstLine="440"/>
        <w:spacing w:after="0" w:line="257" w:lineRule="auto"/>
        <w:tabs>
          <w:tab w:leader="none" w:pos="67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as of the Date of Disability; and in the event rights to exercise the Option accrue periodically, to the extent of a pro rata portion through to the Date of Disability of any additional vesting rights that would have accrued on the next vesting date had the Participant not become Disabled. The proration shall be based upon the number of days accrued in the current vesting period prior to Date of Disability.</w:t>
      </w:r>
    </w:p>
    <w:p>
      <w:pPr>
        <w:spacing w:after="0" w:line="187" w:lineRule="exact"/>
        <w:rPr>
          <w:rFonts w:ascii="Arial" w:cs="Arial" w:eastAsia="Arial" w:hAnsi="Arial"/>
          <w:sz w:val="18"/>
          <w:szCs w:val="18"/>
          <w:color w:val="auto"/>
        </w:rPr>
      </w:pPr>
    </w:p>
    <w:p>
      <w:pPr>
        <w:ind w:right="240" w:firstLine="440"/>
        <w:spacing w:after="0" w:line="263" w:lineRule="auto"/>
        <w:tabs>
          <w:tab w:leader="none" w:pos="6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Disability, notwithstanding that the Participant might have been able to exercise the Option as to some or all of the Shares on a later date if the Participant had continued to be an Employee, director or Consultant or, if earlier, within the originally prescribed term of the Option.</w:t>
      </w:r>
    </w:p>
    <w:p>
      <w:pPr>
        <w:spacing w:after="0" w:line="184" w:lineRule="exact"/>
        <w:rPr>
          <w:sz w:val="20"/>
          <w:szCs w:val="20"/>
          <w:color w:val="auto"/>
        </w:rPr>
      </w:pPr>
    </w:p>
    <w:p>
      <w:pPr>
        <w:ind w:left="440" w:right="3380"/>
        <w:spacing w:after="0" w:line="500" w:lineRule="auto"/>
        <w:tabs>
          <w:tab w:leader="none" w:pos="71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r>
        <w:rPr>
          <w:rFonts w:ascii="Arial" w:cs="Arial" w:eastAsia="Arial" w:hAnsi="Arial"/>
          <w:sz w:val="18"/>
          <w:szCs w:val="18"/>
          <w:color w:val="auto"/>
        </w:rPr>
        <w:t>. Except as otherwise provided in a Participant’s Option Agreement:</w:t>
      </w:r>
    </w:p>
    <w:p>
      <w:pPr>
        <w:spacing w:after="0" w:line="2" w:lineRule="exact"/>
        <w:rPr>
          <w:sz w:val="20"/>
          <w:szCs w:val="20"/>
          <w:color w:val="auto"/>
        </w:rPr>
      </w:pPr>
    </w:p>
    <w:p>
      <w:pPr>
        <w:ind w:firstLine="440"/>
        <w:spacing w:after="0" w:line="257" w:lineRule="auto"/>
        <w:tabs>
          <w:tab w:leader="none" w:pos="6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7" w:lineRule="exact"/>
        <w:rPr>
          <w:rFonts w:ascii="Arial" w:cs="Arial" w:eastAsia="Arial" w:hAnsi="Arial"/>
          <w:sz w:val="18"/>
          <w:szCs w:val="18"/>
          <w:color w:val="auto"/>
        </w:rPr>
      </w:pPr>
    </w:p>
    <w:p>
      <w:pPr>
        <w:jc w:val="both"/>
        <w:ind w:right="100" w:firstLine="440"/>
        <w:spacing w:after="0" w:line="311" w:lineRule="auto"/>
        <w:tabs>
          <w:tab w:leader="none" w:pos="68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9" w:lineRule="exact"/>
        <w:rPr>
          <w:sz w:val="20"/>
          <w:szCs w:val="20"/>
          <w:color w:val="auto"/>
        </w:rPr>
      </w:pPr>
    </w:p>
    <w:p>
      <w:pPr>
        <w:ind w:left="700" w:hanging="260"/>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EFFECT OF CESSATION OF SERVICE ON UNACCEPTED STOCK GRANTS AND STOCK-BASED AWARDS</w:t>
      </w:r>
      <w:r>
        <w:rPr>
          <w:rFonts w:ascii="Arial" w:cs="Arial" w:eastAsia="Arial" w:hAnsi="Arial"/>
          <w:sz w:val="18"/>
          <w:szCs w:val="18"/>
          <w:color w:val="auto"/>
        </w:rPr>
        <w:t>.</w:t>
      </w:r>
    </w:p>
    <w:p>
      <w:pPr>
        <w:spacing w:after="0" w:line="225"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In the event of a cessation of service (whether as an Employee, director or Consultant) with the Company or an Affiliate for any reason before the Participant has accepted a Stock Grant or a Stock-Based Award and paid the purchase price, if required, such grant will automatically terminate on the Termination Date, Date of Disability or date of death, as applicable.</w:t>
      </w:r>
    </w:p>
    <w:p>
      <w:pPr>
        <w:spacing w:after="0" w:line="18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8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In addition, for purposes of this Paragraph 18 and Paragraph 19 below, any change of employment or other service within or among the Company and any Affiliates shall not be treated as a cessation of service (whether as an Employee, director or Consultant) so long as the Participant continues to be an Employee, director or Consultant of the Company or any Affiliate.</w:t>
      </w:r>
    </w:p>
    <w:p>
      <w:pPr>
        <w:spacing w:after="0" w:line="184" w:lineRule="exact"/>
        <w:rPr>
          <w:sz w:val="20"/>
          <w:szCs w:val="20"/>
          <w:color w:val="auto"/>
        </w:rPr>
      </w:pPr>
    </w:p>
    <w:p>
      <w:pPr>
        <w:ind w:left="440" w:right="140"/>
        <w:spacing w:after="0" w:line="277" w:lineRule="auto"/>
        <w:tabs>
          <w:tab w:leader="none" w:pos="71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OTHER THAN FOR CAUSE, DEATH OR DISABILITY</w:t>
      </w:r>
      <w:r>
        <w:rPr>
          <w:rFonts w:ascii="Arial" w:cs="Arial" w:eastAsia="Arial" w:hAnsi="Arial"/>
          <w:sz w:val="18"/>
          <w:szCs w:val="18"/>
          <w:color w:val="auto"/>
        </w:rPr>
        <w:t>.</w:t>
      </w:r>
    </w:p>
    <w:p>
      <w:pPr>
        <w:spacing w:after="0" w:line="170"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Except as otherwise provided in a Participant’s Agreement, in the event of a cessation of service for any reason (whether as an Employee, director or Consultant), other than for Cause, death or Disability for which there are special rules in Paragraphs 20, 21, and 22 below, before all forfeiture provisions or Company rights of repurchase shall have lapsed, then as of the Termination Date the Company shall have the right to cancel or repurchase that number of Shares subject to a Stock Grant or Stock-Based Award as to which the Company’s forfeiture or repurchase rights have not lapsed.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left="700" w:hanging="260"/>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CAUSE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otherwise provided in a Participant’s Agreement, the following rules apply if the Participant’s service (whether as an Employee, director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ceases for Cause:</w:t>
      </w:r>
    </w:p>
    <w:p>
      <w:pPr>
        <w:spacing w:after="0" w:line="211" w:lineRule="exact"/>
        <w:rPr>
          <w:sz w:val="20"/>
          <w:szCs w:val="20"/>
          <w:color w:val="auto"/>
        </w:rPr>
      </w:pPr>
    </w:p>
    <w:p>
      <w:pPr>
        <w:ind w:right="80" w:firstLine="440"/>
        <w:spacing w:after="0" w:line="277" w:lineRule="auto"/>
        <w:tabs>
          <w:tab w:leader="none" w:pos="67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Shares subject to any Stock Grant or Stock-Based Award that remain subject to forfeiture provisions or as to which the Company shall have a repurchase right shall be immediately forfeited to the Company as of the Termination Date.</w:t>
      </w:r>
    </w:p>
    <w:p>
      <w:pPr>
        <w:spacing w:after="0" w:line="170" w:lineRule="exact"/>
        <w:rPr>
          <w:rFonts w:ascii="Arial" w:cs="Arial" w:eastAsia="Arial" w:hAnsi="Arial"/>
          <w:sz w:val="18"/>
          <w:szCs w:val="18"/>
          <w:color w:val="auto"/>
        </w:rPr>
      </w:pPr>
    </w:p>
    <w:p>
      <w:pPr>
        <w:ind w:right="60" w:firstLine="440"/>
        <w:spacing w:after="0" w:line="259" w:lineRule="auto"/>
        <w:tabs>
          <w:tab w:leader="none" w:pos="68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that prior to the Participant’s Termination Date, the Participant engaged in conduct which would constitute Cause, then all Shares subject to any Stock Grant or Stock-Based Award that remained subject to forfeiture provisions or as to which the Company had a repurchase right on the Termination Date shall be immediately forfeited to the Company.</w:t>
      </w:r>
    </w:p>
    <w:p>
      <w:pPr>
        <w:spacing w:after="0" w:line="187" w:lineRule="exact"/>
        <w:rPr>
          <w:sz w:val="20"/>
          <w:szCs w:val="20"/>
          <w:color w:val="auto"/>
        </w:rPr>
      </w:pPr>
    </w:p>
    <w:p>
      <w:pPr>
        <w:ind w:left="700" w:hanging="260"/>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DISABILITY</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to the Date of Disability as would have lapsed had the Participant not become Disabled. The proration shall be based upon the number of days accrued prior to the Date of Disability.</w:t>
      </w:r>
    </w:p>
    <w:p>
      <w:pPr>
        <w:spacing w:after="0" w:line="192" w:lineRule="exact"/>
        <w:rPr>
          <w:sz w:val="20"/>
          <w:szCs w:val="20"/>
          <w:color w:val="auto"/>
        </w:rPr>
      </w:pPr>
    </w:p>
    <w:p>
      <w:pPr>
        <w:ind w:left="700" w:hanging="260"/>
        <w:spacing w:after="0"/>
        <w:tabs>
          <w:tab w:leader="none" w:pos="70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EFFECT ON STOCK GRANTS AND STOCK-BASED AWARDS OF DEATH WHILE AN EMPLOYEE, DIRECTOR OR CONSULTANT</w:t>
      </w:r>
      <w:r>
        <w:rPr>
          <w:rFonts w:ascii="Arial" w:cs="Arial" w:eastAsia="Arial" w:hAnsi="Arial"/>
          <w:sz w:val="17"/>
          <w:szCs w:val="17"/>
          <w:color w:val="auto"/>
        </w:rPr>
        <w:t>.</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92" w:lineRule="exact"/>
        <w:rPr>
          <w:sz w:val="20"/>
          <w:szCs w:val="20"/>
          <w:color w:val="auto"/>
        </w:rPr>
      </w:pPr>
    </w:p>
    <w:p>
      <w:pPr>
        <w:ind w:left="700" w:hanging="260"/>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RIGHTS TO STOCK RIGHTS OR DAMAGES</w:t>
      </w:r>
      <w:r>
        <w:rPr>
          <w:rFonts w:ascii="Arial" w:cs="Arial" w:eastAsia="Arial" w:hAnsi="Arial"/>
          <w:sz w:val="18"/>
          <w:szCs w:val="18"/>
          <w:color w:val="auto"/>
        </w:rPr>
        <w:t>.</w:t>
      </w:r>
    </w:p>
    <w:p>
      <w:pPr>
        <w:spacing w:after="0" w:line="225"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No Participant shall have any claim to be granted any Stock Right under the Plan, and there is no obligation for uniformity of treatment of Participants. The granting of any Stock Right hereunder shall not impose any obligation on the Company to grant any Stock Right to any Participant in the future nor shall it entitle any Participant to receive any further Stock Right. No Participant shall have any entitlement to damages or other compensation whatsoever arising from or related to not receiving any Stock Right under the Plan, including with respect to any Stock Right which may have vested or been granted after the Participant’s Termination Date, including but not limited to damages in lieu of notice at common law.</w:t>
      </w:r>
    </w:p>
    <w:p>
      <w:pPr>
        <w:spacing w:after="0" w:line="176" w:lineRule="exact"/>
        <w:rPr>
          <w:sz w:val="20"/>
          <w:szCs w:val="20"/>
          <w:color w:val="auto"/>
        </w:rPr>
      </w:pPr>
    </w:p>
    <w:p>
      <w:pPr>
        <w:ind w:left="700" w:hanging="260"/>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2" w:name="page83"/>
    <w:bookmarkEnd w:id="82"/>
    <w:p>
      <w:pPr>
        <w:ind w:left="700" w:hanging="260"/>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70" w:lineRule="exact"/>
        <w:rPr>
          <w:sz w:val="20"/>
          <w:szCs w:val="20"/>
          <w:color w:val="auto"/>
        </w:rPr>
      </w:pPr>
    </w:p>
    <w:p>
      <w:pPr>
        <w:ind w:left="680" w:hanging="240"/>
        <w:spacing w:after="0"/>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Changes with respect to Common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right="80" w:firstLine="576"/>
        <w:spacing w:after="0" w:line="254" w:lineRule="auto"/>
        <w:tabs>
          <w:tab w:leader="none" w:pos="123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If (1) the Common Shares shall be subdivided or combined into a greater or smaller number of shares or if the Company shall issue any Common Shares as a stock dividend on its outstanding Common Shares, or (2) additional shares or new or different shares or other securities of the Company or other non-cash assets are distributed with respect to such Common Shares, each Stock Right and the number of Common Shares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194" w:lineRule="exact"/>
        <w:rPr>
          <w:rFonts w:ascii="Arial" w:cs="Arial" w:eastAsia="Arial" w:hAnsi="Arial"/>
          <w:sz w:val="18"/>
          <w:szCs w:val="18"/>
          <w:color w:val="auto"/>
        </w:rPr>
      </w:pPr>
    </w:p>
    <w:p>
      <w:pPr>
        <w:jc w:val="both"/>
        <w:ind w:left="440" w:right="540" w:firstLine="576"/>
        <w:spacing w:after="0" w:line="263" w:lineRule="auto"/>
        <w:tabs>
          <w:tab w:leader="none" w:pos="128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w:t>
      </w:r>
    </w:p>
    <w:p>
      <w:pPr>
        <w:spacing w:after="0" w:line="184" w:lineRule="exact"/>
        <w:rPr>
          <w:sz w:val="20"/>
          <w:szCs w:val="20"/>
          <w:color w:val="auto"/>
        </w:rPr>
      </w:pPr>
    </w:p>
    <w:p>
      <w:pPr>
        <w:ind w:left="440" w:right="640" w:firstLine="576"/>
        <w:spacing w:after="0" w:line="277" w:lineRule="auto"/>
        <w:tabs>
          <w:tab w:leader="none" w:pos="128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References in the Plan to Shares will be construed to include any stock or securities resulting from an adjustment pursuant to this Paragraph 25(a).</w:t>
      </w:r>
    </w:p>
    <w:p>
      <w:pPr>
        <w:spacing w:after="0" w:line="170" w:lineRule="exact"/>
        <w:rPr>
          <w:rFonts w:ascii="Arial" w:cs="Arial" w:eastAsia="Arial" w:hAnsi="Arial"/>
          <w:sz w:val="18"/>
          <w:szCs w:val="18"/>
          <w:color w:val="auto"/>
        </w:rPr>
      </w:pPr>
    </w:p>
    <w:p>
      <w:pPr>
        <w:ind w:firstLine="440"/>
        <w:spacing w:after="0" w:line="268" w:lineRule="auto"/>
        <w:tabs>
          <w:tab w:leader="none" w:pos="687"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If the Company is to be consolidated with or acquired by another entity in a Corporate Transaction, the Administrator or the board of directors of any entity assuming the obligations of the Company hereunder (the “</w:t>
      </w:r>
      <w:r>
        <w:rPr>
          <w:rFonts w:ascii="Arial" w:cs="Arial" w:eastAsia="Arial" w:hAnsi="Arial"/>
          <w:sz w:val="17"/>
          <w:szCs w:val="17"/>
          <w:u w:val="single" w:color="auto"/>
          <w:color w:val="auto"/>
        </w:rPr>
        <w:t>Successor Board</w:t>
      </w:r>
      <w:r>
        <w:rPr>
          <w:rFonts w:ascii="Arial" w:cs="Arial" w:eastAsia="Arial" w:hAnsi="Arial"/>
          <w:sz w:val="17"/>
          <w:szCs w:val="17"/>
          <w:color w:val="auto"/>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Common Shares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Shares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Shares, such Option may be cancelled with no payment due hereunder or otherwise in respect thereof.</w:t>
      </w:r>
    </w:p>
    <w:p>
      <w:pPr>
        <w:spacing w:after="0" w:line="18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Shares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Shares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such Stock Grant or Stock-Based Award, as applicable, may be cancelled with no payment due hereunder or otherwise in respect thereof.</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3" w:name="page84"/>
    <w:bookmarkEnd w:id="83"/>
    <w:p>
      <w:pPr>
        <w:ind w:right="320" w:firstLine="432"/>
        <w:spacing w:after="0" w:line="277" w:lineRule="auto"/>
        <w:rPr>
          <w:sz w:val="20"/>
          <w:szCs w:val="20"/>
          <w:color w:val="auto"/>
        </w:rPr>
      </w:pPr>
      <w:r>
        <w:rPr>
          <w:rFonts w:ascii="Arial" w:cs="Arial" w:eastAsia="Arial" w:hAnsi="Arial"/>
          <w:sz w:val="18"/>
          <w:szCs w:val="18"/>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ind w:right="80" w:firstLine="440"/>
        <w:spacing w:after="0" w:line="257" w:lineRule="auto"/>
        <w:tabs>
          <w:tab w:leader="none" w:pos="67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Common Shares,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7" w:lineRule="exact"/>
        <w:rPr>
          <w:rFonts w:ascii="Arial" w:cs="Arial" w:eastAsia="Arial" w:hAnsi="Arial"/>
          <w:sz w:val="18"/>
          <w:szCs w:val="18"/>
          <w:color w:val="auto"/>
        </w:rPr>
      </w:pPr>
    </w:p>
    <w:p>
      <w:pPr>
        <w:jc w:val="both"/>
        <w:ind w:right="60" w:firstLine="440"/>
        <w:spacing w:after="0" w:line="259" w:lineRule="auto"/>
        <w:tabs>
          <w:tab w:leader="none" w:pos="687"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86" w:lineRule="exact"/>
        <w:rPr>
          <w:rFonts w:ascii="Arial" w:cs="Arial" w:eastAsia="Arial" w:hAnsi="Arial"/>
          <w:sz w:val="18"/>
          <w:szCs w:val="18"/>
          <w:color w:val="auto"/>
        </w:rPr>
      </w:pPr>
    </w:p>
    <w:p>
      <w:pPr>
        <w:ind w:right="80" w:firstLine="440"/>
        <w:spacing w:after="0" w:line="301" w:lineRule="auto"/>
        <w:tabs>
          <w:tab w:leader="none" w:pos="676"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Termination of Awards upon Consummation of a Corporate Transaction</w:t>
      </w:r>
      <w:r>
        <w:rPr>
          <w:rFonts w:ascii="Arial" w:cs="Arial" w:eastAsia="Arial" w:hAnsi="Arial"/>
          <w:sz w:val="16"/>
          <w:szCs w:val="16"/>
          <w:color w:val="auto"/>
        </w:rPr>
        <w:t>. Except as the Administrator may otherwise determine, each Stock Right will automatically terminate (and in the case of outstanding Shares of restricted Common Shares,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57" w:lineRule="exact"/>
        <w:rPr>
          <w:sz w:val="20"/>
          <w:szCs w:val="20"/>
          <w:color w:val="auto"/>
        </w:rPr>
      </w:pPr>
    </w:p>
    <w:p>
      <w:pPr>
        <w:ind w:left="700" w:hanging="260"/>
        <w:spacing w:after="0"/>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59" w:lineRule="auto"/>
        <w:tabs>
          <w:tab w:leader="none" w:pos="67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6" w:lineRule="exact"/>
        <w:rPr>
          <w:rFonts w:ascii="Arial" w:cs="Arial" w:eastAsia="Arial" w:hAnsi="Arial"/>
          <w:sz w:val="18"/>
          <w:szCs w:val="18"/>
          <w:color w:val="auto"/>
        </w:rPr>
      </w:pPr>
    </w:p>
    <w:p>
      <w:pPr>
        <w:ind w:firstLine="440"/>
        <w:spacing w:after="0" w:line="269" w:lineRule="auto"/>
        <w:tabs>
          <w:tab w:leader="none" w:pos="68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85" w:lineRule="exact"/>
        <w:rPr>
          <w:sz w:val="20"/>
          <w:szCs w:val="20"/>
          <w:color w:val="auto"/>
        </w:rPr>
      </w:pPr>
    </w:p>
    <w:p>
      <w:pPr>
        <w:ind w:left="700" w:hanging="260"/>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No fractional shares shall be issued under the Plan. The person exercising a Stock Right shall receive from the Company cash in lieu of such fractional shares equal to the Fair Market Value thereof, provided that, notwithstanding the foregoing, in the case of any Stock Right subject to section 7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the fractional shares subject to such Stock Right shall be rounded down to the nearest whole number of Shares with no further consideration payable to the Participant.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700" w:hanging="260"/>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the event that any federal, state, provincial or local income taxes, employment taxes, Federal Insurance Contributions Act withholdings or other amounts are required by applicable law or governmental regulation to be withheld in connection with the issuance of a Stock Right or Shares under the Plan, the Company or an Affiliate may withhold the amount necessary to satisfy such obligations from any amount which would otherwise be delivered, provided or paid to the Participant by the Company or an Affiliate, whether under this Plan or otherwise,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Shares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185" w:lineRule="exact"/>
        <w:rPr>
          <w:sz w:val="20"/>
          <w:szCs w:val="20"/>
          <w:color w:val="auto"/>
        </w:rPr>
      </w:pPr>
    </w:p>
    <w:p>
      <w:pPr>
        <w:ind w:left="700" w:hanging="260"/>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w:t>
      </w:r>
    </w:p>
    <w:p>
      <w:pPr>
        <w:spacing w:after="0" w:line="2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7" w:lineRule="exact"/>
        <w:rPr>
          <w:sz w:val="20"/>
          <w:szCs w:val="20"/>
          <w:color w:val="auto"/>
        </w:rPr>
      </w:pPr>
    </w:p>
    <w:p>
      <w:pPr>
        <w:ind w:left="700" w:hanging="260"/>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r>
        <w:rPr>
          <w:rFonts w:ascii="Arial" w:cs="Arial" w:eastAsia="Arial" w:hAnsi="Arial"/>
          <w:sz w:val="18"/>
          <w:szCs w:val="18"/>
          <w:color w:val="auto"/>
        </w:rPr>
        <w:t>.</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182" w:lineRule="exact"/>
        <w:rPr>
          <w:sz w:val="20"/>
          <w:szCs w:val="20"/>
          <w:color w:val="auto"/>
        </w:rPr>
      </w:pPr>
    </w:p>
    <w:p>
      <w:pPr>
        <w:ind w:left="700" w:hanging="260"/>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r>
        <w:rPr>
          <w:rFonts w:ascii="Arial" w:cs="Arial" w:eastAsia="Arial" w:hAnsi="Arial"/>
          <w:sz w:val="18"/>
          <w:szCs w:val="18"/>
          <w:color w:val="auto"/>
        </w:rPr>
        <w:t>.</w:t>
      </w:r>
    </w:p>
    <w:p>
      <w:pPr>
        <w:spacing w:after="0" w:line="225"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65" w:lineRule="exact"/>
        <w:rPr>
          <w:sz w:val="20"/>
          <w:szCs w:val="20"/>
          <w:color w:val="auto"/>
        </w:rPr>
      </w:pPr>
    </w:p>
    <w:p>
      <w:pPr>
        <w:ind w:left="700" w:hanging="260"/>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ind w:right="320" w:firstLine="432"/>
        <w:spacing w:after="0" w:line="296" w:lineRule="auto"/>
        <w:rPr>
          <w:sz w:val="20"/>
          <w:szCs w:val="20"/>
          <w:color w:val="auto"/>
        </w:rPr>
      </w:pPr>
      <w:r>
        <w:rPr>
          <w:rFonts w:ascii="Arial" w:cs="Arial" w:eastAsia="Arial" w:hAnsi="Arial"/>
          <w:sz w:val="16"/>
          <w:szCs w:val="16"/>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700" w:hanging="260"/>
        <w:spacing w:after="0"/>
        <w:tabs>
          <w:tab w:leader="none" w:pos="7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w:t>
      </w:r>
    </w:p>
    <w:p>
      <w:pPr>
        <w:spacing w:after="0" w:line="22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84" w:lineRule="exact"/>
        <w:rPr>
          <w:sz w:val="20"/>
          <w:szCs w:val="20"/>
          <w:color w:val="auto"/>
        </w:rPr>
      </w:pPr>
    </w:p>
    <w:p>
      <w:pPr>
        <w:ind w:left="700" w:hanging="260"/>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66" w:lineRule="exact"/>
        <w:rPr>
          <w:sz w:val="20"/>
          <w:szCs w:val="20"/>
          <w:color w:val="auto"/>
        </w:rPr>
      </w:pPr>
    </w:p>
    <w:p>
      <w:pPr>
        <w:ind w:left="700" w:hanging="260"/>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UNFUNDED OBLIGATIONS</w:t>
      </w:r>
      <w:r>
        <w:rPr>
          <w:rFonts w:ascii="Arial" w:cs="Arial" w:eastAsia="Arial" w:hAnsi="Arial"/>
          <w:sz w:val="18"/>
          <w:szCs w:val="18"/>
          <w:color w:val="auto"/>
        </w:rPr>
        <w:t>.</w:t>
      </w:r>
    </w:p>
    <w:p>
      <w:pPr>
        <w:spacing w:after="0" w:line="225"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24" w:lineRule="exact"/>
        <w:rPr>
          <w:sz w:val="20"/>
          <w:szCs w:val="20"/>
          <w:color w:val="auto"/>
        </w:rPr>
      </w:pPr>
    </w:p>
    <w:p>
      <w:pPr>
        <w:ind w:left="700" w:hanging="260"/>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Plan shall be construed and enforced in accordance with the laws of the Province of British Columbia and the laws of Canada applicable therein.</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u w:val="single" w:color="auto"/>
          <w:color w:val="auto"/>
        </w:rPr>
        <w:t>Addendum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of Grant of Options to United States Employees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SUB-PLAN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INCENTIVE EQUITY PLAN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of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established the TMC the metals company Inc. 2021 Incentive Equity Plan (the “</w:t>
      </w:r>
      <w:r>
        <w:rPr>
          <w:rFonts w:ascii="Arial" w:cs="Arial" w:eastAsia="Arial" w:hAnsi="Arial"/>
          <w:sz w:val="18"/>
          <w:szCs w:val="18"/>
          <w:u w:val="single" w:color="auto"/>
          <w:color w:val="auto"/>
        </w:rPr>
        <w:t>Plan</w:t>
      </w:r>
      <w:r>
        <w:rPr>
          <w:rFonts w:ascii="Arial" w:cs="Arial" w:eastAsia="Arial" w:hAnsi="Arial"/>
          <w:sz w:val="18"/>
          <w:szCs w:val="18"/>
          <w:color w:val="auto"/>
        </w:rPr>
        <w:t>”). Through the Plan, the Company established a framework to aid the Company in attracting and retaining the best available individuals for positions of substantial responsibility, and to promote the success of the Company’s and its Affiliates’ business by aligning the financial interests of individuals providing services to the Company and the Affiliates with long-term shareholder value.</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Board determined that it was necessary and desirable to establish a sub-plan of the Plan for the purpose of granting Options to Employees who are residents of the United States or who are or may become subject to U.S. tax (i.e., income tax, social security and/or withholding tax (“</w:t>
      </w:r>
      <w:r>
        <w:rPr>
          <w:rFonts w:ascii="Arial" w:cs="Arial" w:eastAsia="Arial" w:hAnsi="Arial"/>
          <w:sz w:val="17"/>
          <w:szCs w:val="17"/>
          <w:u w:val="single" w:color="auto"/>
          <w:color w:val="auto"/>
        </w:rPr>
        <w:t>U.S. Participant</w:t>
      </w:r>
      <w:r>
        <w:rPr>
          <w:rFonts w:ascii="Arial" w:cs="Arial" w:eastAsia="Arial" w:hAnsi="Arial"/>
          <w:sz w:val="17"/>
          <w:szCs w:val="17"/>
          <w:color w:val="auto"/>
        </w:rPr>
        <w:t>”)), with such Options qualifying as either Non-Qualified Stock Options or Incentive Stock Options (within the meaning of Section 422 of the Code), to cause all Options under the Plan to be exempt from or comply with Section 409A of the Code, and to cause Options to comply with certain other provisions and exemptions under U.S. law. The terms of the Plan, as amended from time to time, shall, subject to the provisions hereof, constitute this U.S. Sub-Plan of the Plan (this “</w:t>
      </w:r>
      <w:r>
        <w:rPr>
          <w:rFonts w:ascii="Arial" w:cs="Arial" w:eastAsia="Arial" w:hAnsi="Arial"/>
          <w:sz w:val="17"/>
          <w:szCs w:val="17"/>
          <w:u w:val="single" w:color="auto"/>
          <w:color w:val="auto"/>
        </w:rPr>
        <w:t>U.S. Sub-Plan</w:t>
      </w:r>
      <w:r>
        <w:rPr>
          <w:rFonts w:ascii="Arial" w:cs="Arial" w:eastAsia="Arial" w:hAnsi="Arial"/>
          <w:sz w:val="17"/>
          <w:szCs w:val="17"/>
          <w:color w:val="auto"/>
        </w:rPr>
        <w:t>”). This U.S. Sub-Plan supplements, and shall be read in conjunction with the Plan, and is subject to the terms and conditions of the Plan; provided, that to the extent that the terms and conditions of the Plan differ from or conflict with the terms or conditions of this U.S. Sub-Plan, the terms and conditions of this U.S. Sub-Plan shall prevail.</w:t>
      </w:r>
    </w:p>
    <w:p>
      <w:pPr>
        <w:spacing w:after="0" w:line="178" w:lineRule="exact"/>
        <w:rPr>
          <w:sz w:val="20"/>
          <w:szCs w:val="20"/>
          <w:color w:val="auto"/>
        </w:rPr>
      </w:pPr>
    </w:p>
    <w:p>
      <w:pPr>
        <w:ind w:left="180" w:hanging="172"/>
        <w:spacing w:after="0"/>
        <w:tabs>
          <w:tab w:leader="none" w:pos="1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purposes of this U.S. Sub-Plan, the definitions set out in the Plan shall apply to this U.S. Sub-Plan as such definitions apply to the Plan and in addition the following terms shall have the following meanings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a permanent and total disability as defined in Section 22(e)(3)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means 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means Section 422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of the Shares available for grant as set forth in Paragraph 3 under the Plan may be issued as ISOs; provided, however, that the maximum number of Shares available for grant under the Plan as ISOs will be equal to 440,000,000. The limits set forth in Paragraph 3 of the Plan will be construed to comply with the applicable requirements of Section 422. For purposes of determining the number of Shares available for grant under the Plan as ISOs under Paragraph 3(c) of the Plan, such provisions shall be subject to any limitations under the Code. In addition, Shares issued in respect of Substitute Awards that are ISOs shall be consistent with Section 422.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ISOs may be granted only to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OF OPTIONS TO U.S. PARTICIPANTS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Option intended to be a Non-Qualified Option shall meet the minimum standards required of Options, as described in Paragraph 6(a) of the Plan, except that the exercise price per share of the Shares covered by each ISO shall not be less than 100% of the Fair Market Value per share of the Common Shares on the date of grant of the Option so as to be exempt from the requirements of Section 409A. If the Administrator determines to grant an Option at less than 100% of the Fair Market Value per Common Share, the Option must comply with the requirements of Section 409A or be exempt from the requirements of Section 409A pursuant Treas. Reg. Section 1.409-1(b)(4).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right="200"/>
        <w:spacing w:after="0" w:line="263" w:lineRule="auto"/>
        <w:rPr>
          <w:sz w:val="20"/>
          <w:szCs w:val="20"/>
          <w:color w:val="auto"/>
        </w:rPr>
      </w:pPr>
      <w:r>
        <w:rPr>
          <w:rFonts w:ascii="Arial" w:cs="Arial" w:eastAsia="Arial" w:hAnsi="Arial"/>
          <w:sz w:val="18"/>
          <w:szCs w:val="18"/>
          <w:color w:val="auto"/>
        </w:rPr>
        <w:t>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84" w:lineRule="exact"/>
        <w:rPr>
          <w:sz w:val="20"/>
          <w:szCs w:val="20"/>
          <w:color w:val="auto"/>
        </w:rPr>
      </w:pPr>
    </w:p>
    <w:p>
      <w:pPr>
        <w:ind w:left="440" w:right="80"/>
        <w:spacing w:after="0" w:line="27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Options, as described in Paragraph 6(a) of the Plan, except clause (i) and (iv) thereunder.</w:t>
      </w:r>
    </w:p>
    <w:p>
      <w:pPr>
        <w:spacing w:after="0" w:line="170" w:lineRule="exact"/>
        <w:rPr>
          <w:rFonts w:ascii="Arial" w:cs="Arial" w:eastAsia="Arial" w:hAnsi="Arial"/>
          <w:sz w:val="18"/>
          <w:szCs w:val="18"/>
          <w:color w:val="auto"/>
        </w:rPr>
      </w:pPr>
    </w:p>
    <w:p>
      <w:pPr>
        <w:ind w:left="440" w:right="380"/>
        <w:spacing w:after="0" w:line="277" w:lineRule="auto"/>
        <w:tabs>
          <w:tab w:leader="none" w:pos="70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U.S. Participant owns, directly or by reason of the applicable attribution rules in Section 424(d) of the Code: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Shares on the date of grant of the Option; or</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Shares on the date of grant of the Option.</w:t>
      </w:r>
    </w:p>
    <w:p>
      <w:pPr>
        <w:spacing w:after="0" w:line="183" w:lineRule="exact"/>
        <w:rPr>
          <w:rFonts w:ascii="Arial" w:cs="Arial" w:eastAsia="Arial" w:hAnsi="Arial"/>
          <w:sz w:val="18"/>
          <w:szCs w:val="18"/>
          <w:color w:val="auto"/>
        </w:rPr>
      </w:pPr>
    </w:p>
    <w:p>
      <w:pPr>
        <w:ind w:left="760" w:hanging="320"/>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U.S. Participants who own:</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0" w:lineRule="exact"/>
        <w:rPr>
          <w:rFonts w:ascii="Arial" w:cs="Arial" w:eastAsia="Arial" w:hAnsi="Arial"/>
          <w:sz w:val="18"/>
          <w:szCs w:val="18"/>
          <w:color w:val="auto"/>
        </w:rPr>
      </w:pPr>
    </w:p>
    <w:p>
      <w:pPr>
        <w:ind w:left="440" w:right="260"/>
        <w:spacing w:after="0" w:line="263" w:lineRule="auto"/>
        <w:tabs>
          <w:tab w:leader="none" w:pos="74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To the extent that aggregate Fair Market Value (determined on the date each ISO is granted) of the Shares with respect to which ISOs are exercisable for the first time by the U.S. Participant in any calendar year exceeds US$100,000, such Options shall be treated as Non-Qualified Options even if denominated ISOs at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respect to Stock Grants, any entitlement to dividend equivalents or similar entitlements will be established and administered either consistent with an exemption from, or in compliance with the applicable requirements of Section 409A.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OPTIONS -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shall accept only such payment on exercise of an ISO as is permitted by 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ISO transferred except in compliance with clause (i) of Paragraph 13 shall no longer qualify as an ISO.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OF SERVICE; LEAVE OF ABSENCE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Except as provided in Subparagraph (b) of Paragraph 14 of the Plan, or Paragraph 16 or 17 of the Plan, in no event may an ISO be exercised later than three months after the U.S. Participant’s termination of employment. If the U.S. Participant does not exercise the ISO within three months after termination, to the extent is not yet terminated, it shall automatically convert to a Non-Qualified Option.</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With respect to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adjustments under Paragraph 25 of the Plan shall have due regard for the qualification of ISOs under Section 422, the requirements of Section 409A,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409A AND SECTION 422</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intends that the Plan and any Stock Rights granted to U.S Participants be exempt from or comply with Section 409A, to the extent applicable. The Company intends that ISOs comply with Section 422, to the extent applicable. Any ambiguities in the Plan or any Stock Right shall be construed to effect the intent as described herein.</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a U.S Participant is a “specified employee” as defined in Section 409A (and as applied according to procedures of the Company and its Affiliates) as of his or her separation from service, to the extent any payment under this Plan or pursuant to a Stock Right constitutes non-exempt deferred compensation under Section 409A that is being paid by reason of separation from service, no payments due under this Plan or pursuant to a Stock Right may be made until the earlier of: (i) the first day of the seventh month following the U.S. Participant’s separation from service, or (ii) the U.S. Participant’s date of death; provided, however, that any payments delayed during this six-month period shall be paid in the aggregate in a lump sum, without interest, on the first day of the seventh month following the U.S. Participant’s separation from service.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Administrator shall administer the Plan with respect to Stock Rights to U.S. Participants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U.S. Participant or any Survivor by reason of the acceleration of any income, or the imposition of any additional tax or penalty, with respect to any Stock Right, whether by reason of a failure to satisfy the requirements of Section 409A or Section 422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U.S. Sub Plan shall be construed and enforced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10.23.2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 under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2021 Incentive Equity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Vest 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ectPr>
          <w:pgSz w:w="11900" w:h="16838" w:orient="portrait"/>
          <w:cols w:equalWidth="0" w:num="1">
            <w:col w:w="11240"/>
          </w:cols>
          <w:pgMar w:left="320" w:top="11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This Option shall become exercisable (and the Shares issued upon exercise shall be vested) as follows provided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Participant is an Employee, Director or Consultant of the Company or of an Affiliate on the applicable vesting date:</w:t>
      </w:r>
    </w:p>
    <w:p>
      <w:pPr>
        <w:spacing w:after="0" w:line="200" w:lineRule="exact"/>
        <w:rPr>
          <w:sz w:val="20"/>
          <w:szCs w:val="20"/>
          <w:color w:val="auto"/>
        </w:rPr>
      </w:pPr>
    </w:p>
    <w:p>
      <w:pPr>
        <w:sectPr>
          <w:pgSz w:w="11900" w:h="16838" w:orient="portrait"/>
          <w:cols w:equalWidth="0" w:num="2">
            <w:col w:w="2100" w:space="720"/>
            <w:col w:w="8420"/>
          </w:cols>
          <w:pgMar w:left="320" w:top="111" w:right="339" w:bottom="1440" w:gutter="0" w:footer="0" w:header="0"/>
          <w:type w:val="continuous"/>
        </w:sectPr>
      </w:pPr>
    </w:p>
    <w:p>
      <w:pPr>
        <w:spacing w:after="0" w:line="34"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[Vesting Schedule Description]</w:t>
      </w:r>
    </w:p>
    <w:p>
      <w:pPr>
        <w:sectPr>
          <w:pgSz w:w="11900" w:h="16838" w:orient="portrait"/>
          <w:cols w:equalWidth="0" w:num="1">
            <w:col w:w="11240"/>
          </w:cols>
          <w:pgMar w:left="320" w:top="111" w:right="339" w:bottom="144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rights are cumulative and are subject to the other terms and conditions of this Agreement and the Plan.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and the Participant acknowledge receipt of this Stock Option Grant Notice and agree to the terms of the Stock Option Agreement attached hereto and incorporated by reference herein, the Company’s 2021 Incentive Equity Plan [and the Addendum thereto titled “Terms and Conditions of Options to United States Employees”], and the terms of this Option Grant as set forth above.</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280035</wp:posOffset>
            </wp:positionV>
            <wp:extent cx="28460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STOCK OPTION AGREEMENT - INCORPORATED TERMS AND CONDITIONS</w:t>
      </w:r>
    </w:p>
    <w:p>
      <w:pPr>
        <w:spacing w:after="0" w:line="22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AGREEMENT (this “Agreement”) made as of the date of grant set forth in the Stock Option Grant Notice by and between TMC the metals company Inc. (the “Company”), a company existing under the laws of British Columbia, Canada, and the individual whose name appears on the Stock Option Grant Notice (the “Participant”).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WHEREAS, the Company desires to grant to the Participant an Option to purchase Common Shares (the “Shares”), under and for the purposes set forth in the Company’s 2021 Incentive Equity Plan [and the Addendum thereto titled “Terms and Conditions of Options to United States Employees”] (the “Plan”);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same meanings as in the Plan;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and the Participant each intend that the Option granted herein shall be of the type set forth in the Stock Option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0" w:lineRule="exact"/>
        <w:rPr>
          <w:sz w:val="20"/>
          <w:szCs w:val="20"/>
          <w:color w:val="auto"/>
        </w:rPr>
      </w:pPr>
    </w:p>
    <w:p>
      <w:pPr>
        <w:ind w:right="260" w:firstLine="656"/>
        <w:spacing w:after="0" w:line="311" w:lineRule="auto"/>
        <w:tabs>
          <w:tab w:leader="none" w:pos="82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148" w:lineRule="exact"/>
        <w:rPr>
          <w:rFonts w:ascii="Arial" w:cs="Arial" w:eastAsia="Arial" w:hAnsi="Arial"/>
          <w:sz w:val="16"/>
          <w:szCs w:val="16"/>
          <w:color w:val="auto"/>
        </w:rPr>
      </w:pPr>
    </w:p>
    <w:p>
      <w:pPr>
        <w:jc w:val="both"/>
        <w:ind w:right="180" w:firstLine="656"/>
        <w:spacing w:after="0" w:line="286" w:lineRule="auto"/>
        <w:tabs>
          <w:tab w:leader="none" w:pos="82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10 of the Plan.</w:t>
      </w:r>
    </w:p>
    <w:p>
      <w:pPr>
        <w:spacing w:after="0" w:line="165" w:lineRule="exact"/>
        <w:rPr>
          <w:rFonts w:ascii="Arial" w:cs="Arial" w:eastAsia="Arial" w:hAnsi="Arial"/>
          <w:sz w:val="17"/>
          <w:szCs w:val="17"/>
          <w:color w:val="auto"/>
        </w:rPr>
      </w:pPr>
    </w:p>
    <w:p>
      <w:pPr>
        <w:ind w:right="20" w:firstLine="656"/>
        <w:spacing w:after="0" w:line="263" w:lineRule="auto"/>
        <w:tabs>
          <w:tab w:leader="none" w:pos="82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 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pacing w:after="0" w:line="183" w:lineRule="exact"/>
        <w:rPr>
          <w:rFonts w:ascii="Arial" w:cs="Arial" w:eastAsia="Arial" w:hAnsi="Arial"/>
          <w:sz w:val="18"/>
          <w:szCs w:val="18"/>
          <w:color w:val="auto"/>
        </w:rPr>
      </w:pPr>
    </w:p>
    <w:p>
      <w:pPr>
        <w:ind w:firstLine="656"/>
        <w:spacing w:after="0" w:line="259" w:lineRule="auto"/>
        <w:tabs>
          <w:tab w:leader="none" w:pos="82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shall terminate on the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1" w:name="page92"/>
    <w:bookmarkEnd w:id="91"/>
    <w:p>
      <w:pPr>
        <w:ind w:firstLine="1296"/>
        <w:spacing w:after="0" w:line="255" w:lineRule="auto"/>
        <w:rPr>
          <w:sz w:val="20"/>
          <w:szCs w:val="20"/>
          <w:color w:val="auto"/>
        </w:rPr>
      </w:pPr>
      <w:r>
        <w:rPr>
          <w:rFonts w:ascii="Arial" w:cs="Arial" w:eastAsia="Arial" w:hAnsi="Arial"/>
          <w:sz w:val="18"/>
          <w:szCs w:val="18"/>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92"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spacing w:after="0" w:line="192" w:lineRule="exact"/>
        <w:rPr>
          <w:sz w:val="20"/>
          <w:szCs w:val="20"/>
          <w:color w:val="auto"/>
        </w:rPr>
      </w:pPr>
    </w:p>
    <w:p>
      <w:pPr>
        <w:jc w:val="both"/>
        <w:ind w:right="200" w:firstLine="1296"/>
        <w:spacing w:after="0" w:line="263" w:lineRule="auto"/>
        <w:rPr>
          <w:sz w:val="20"/>
          <w:szCs w:val="20"/>
          <w:color w:val="auto"/>
        </w:rPr>
      </w:pPr>
      <w:r>
        <w:rPr>
          <w:rFonts w:ascii="Arial" w:cs="Arial" w:eastAsia="Arial" w:hAnsi="Arial"/>
          <w:sz w:val="18"/>
          <w:szCs w:val="18"/>
          <w:color w:val="auto"/>
        </w:rPr>
        <w:t>Notwithstanding the foregoing, in the event of the Participant’s Disability or death within three months after the Termination Date, the Participant or the Participant’s Survivors may exercise the Option within one year after the Termination Date, but in no event after the Expiration Date as specified in the Stock Option Grant Notice.</w:t>
      </w:r>
    </w:p>
    <w:p>
      <w:pPr>
        <w:spacing w:after="0" w:line="184"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92" w:lineRule="exact"/>
        <w:rPr>
          <w:sz w:val="20"/>
          <w:szCs w:val="20"/>
          <w:color w:val="auto"/>
        </w:rPr>
      </w:pPr>
    </w:p>
    <w:p>
      <w:pPr>
        <w:jc w:val="both"/>
        <w:ind w:right="300" w:firstLine="1296"/>
        <w:spacing w:after="0" w:line="263" w:lineRule="auto"/>
        <w:rPr>
          <w:sz w:val="20"/>
          <w:szCs w:val="20"/>
          <w:color w:val="auto"/>
        </w:rPr>
      </w:pPr>
      <w:r>
        <w:rPr>
          <w:rFonts w:ascii="Arial" w:cs="Arial" w:eastAsia="Arial" w:hAnsi="Arial"/>
          <w:sz w:val="18"/>
          <w:szCs w:val="18"/>
          <w:color w:val="auto"/>
        </w:rPr>
        <w:t>In the event of the Disability of the Participant, as determined in accordance with the Plan, the Option shall be exercisable within one year after the Participant’s termination of service due to Disability or, if earlier, on or prior to the Expiration Date as specified in the Stock Option Grant Notice. In such event, the Option shall be exercisable:</w:t>
      </w:r>
    </w:p>
    <w:p>
      <w:pPr>
        <w:spacing w:after="0" w:line="184" w:lineRule="exact"/>
        <w:rPr>
          <w:sz w:val="20"/>
          <w:szCs w:val="20"/>
          <w:color w:val="auto"/>
        </w:rPr>
      </w:pPr>
    </w:p>
    <w:p>
      <w:pPr>
        <w:ind w:left="1960" w:right="120" w:hanging="656"/>
        <w:spacing w:after="0" w:line="277" w:lineRule="auto"/>
        <w:tabs>
          <w:tab w:leader="none" w:pos="1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the Participant’s termination of service due to Disability; and</w:t>
      </w:r>
    </w:p>
    <w:p>
      <w:pPr>
        <w:spacing w:after="0" w:line="170" w:lineRule="exact"/>
        <w:rPr>
          <w:rFonts w:ascii="Arial" w:cs="Arial" w:eastAsia="Arial" w:hAnsi="Arial"/>
          <w:sz w:val="18"/>
          <w:szCs w:val="18"/>
          <w:color w:val="auto"/>
        </w:rPr>
      </w:pPr>
    </w:p>
    <w:p>
      <w:pPr>
        <w:ind w:left="1960" w:right="20" w:hanging="656"/>
        <w:spacing w:after="0" w:line="279" w:lineRule="auto"/>
        <w:tabs>
          <w:tab w:leader="none" w:pos="19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right="100" w:firstLine="1296"/>
        <w:spacing w:after="0" w:line="263" w:lineRule="auto"/>
        <w:rPr>
          <w:sz w:val="20"/>
          <w:szCs w:val="20"/>
          <w:color w:val="auto"/>
        </w:rPr>
      </w:pPr>
      <w:r>
        <w:rPr>
          <w:rFonts w:ascii="Arial" w:cs="Arial" w:eastAsia="Arial" w:hAnsi="Arial"/>
          <w:sz w:val="18"/>
          <w:szCs w:val="18"/>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Expiration Date as specified in the Stock Option Grant Notice. In such event, the Option shall be exercisable:</w:t>
      </w:r>
    </w:p>
    <w:p>
      <w:pPr>
        <w:spacing w:after="0" w:line="184" w:lineRule="exact"/>
        <w:rPr>
          <w:sz w:val="20"/>
          <w:szCs w:val="20"/>
          <w:color w:val="auto"/>
        </w:rPr>
      </w:pPr>
    </w:p>
    <w:p>
      <w:pPr>
        <w:ind w:left="1960" w:hanging="656"/>
        <w:spacing w:after="0"/>
        <w:tabs>
          <w:tab w:leader="none" w:pos="1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death; and</w:t>
      </w:r>
    </w:p>
    <w:p>
      <w:pPr>
        <w:spacing w:after="0" w:line="225" w:lineRule="exact"/>
        <w:rPr>
          <w:rFonts w:ascii="Arial" w:cs="Arial" w:eastAsia="Arial" w:hAnsi="Arial"/>
          <w:sz w:val="18"/>
          <w:szCs w:val="18"/>
          <w:color w:val="auto"/>
        </w:rPr>
      </w:pPr>
    </w:p>
    <w:p>
      <w:pPr>
        <w:ind w:left="1960" w:right="160" w:hanging="656"/>
        <w:spacing w:after="0" w:line="311" w:lineRule="auto"/>
        <w:tabs>
          <w:tab w:leader="none" w:pos="19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48" w:lineRule="exact"/>
        <w:rPr>
          <w:rFonts w:ascii="Arial" w:cs="Arial" w:eastAsia="Arial" w:hAnsi="Arial"/>
          <w:sz w:val="16"/>
          <w:szCs w:val="16"/>
          <w:color w:val="auto"/>
        </w:rPr>
      </w:pPr>
    </w:p>
    <w:p>
      <w:pPr>
        <w:ind w:firstLine="656"/>
        <w:spacing w:after="0" w:line="270" w:lineRule="auto"/>
        <w:tabs>
          <w:tab w:leader="none" w:pos="82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METHOD OF EXERCISING OPTION.</w:t>
      </w:r>
      <w:r>
        <w:rPr>
          <w:rFonts w:ascii="Arial" w:cs="Arial" w:eastAsia="Arial" w:hAnsi="Arial"/>
          <w:sz w:val="17"/>
          <w:szCs w:val="17"/>
          <w:color w:val="auto"/>
        </w:rPr>
        <w:t xml:space="preserve"> Subject to the terms and conditions of this Agreement, the Option may be exercised by electronic notice to the Company or its designee, in such form as is acceptable to the Company.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10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80" w:lineRule="exact"/>
        <w:rPr>
          <w:rFonts w:ascii="Arial" w:cs="Arial" w:eastAsia="Arial" w:hAnsi="Arial"/>
          <w:sz w:val="17"/>
          <w:szCs w:val="17"/>
          <w:color w:val="auto"/>
        </w:rPr>
      </w:pPr>
    </w:p>
    <w:p>
      <w:pPr>
        <w:ind w:right="400" w:firstLine="656"/>
        <w:spacing w:after="0" w:line="277" w:lineRule="auto"/>
        <w:tabs>
          <w:tab w:leader="none" w:pos="82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Exercise of this Option to the extent above stated may be made in part at any time and from time to time within the above limits, except that no fractional share shall be issued pursuant to this Option.</w:t>
      </w:r>
    </w:p>
    <w:p>
      <w:pPr>
        <w:spacing w:after="0" w:line="170" w:lineRule="exact"/>
        <w:rPr>
          <w:rFonts w:ascii="Arial" w:cs="Arial" w:eastAsia="Arial" w:hAnsi="Arial"/>
          <w:sz w:val="18"/>
          <w:szCs w:val="18"/>
          <w:color w:val="auto"/>
        </w:rPr>
      </w:pPr>
    </w:p>
    <w:p>
      <w:pPr>
        <w:ind w:right="40" w:firstLine="656"/>
        <w:spacing w:after="0" w:line="291" w:lineRule="auto"/>
        <w:tabs>
          <w:tab w:leader="none" w:pos="828"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NON-ASSIGNABILITY</w:t>
      </w:r>
      <w:r>
        <w:rPr>
          <w:rFonts w:ascii="Arial" w:cs="Arial" w:eastAsia="Arial" w:hAnsi="Arial"/>
          <w:sz w:val="16"/>
          <w:szCs w:val="16"/>
          <w:color w:val="auto"/>
        </w:rPr>
        <w:t>. The Option shall not be transferable by the Participant otherwise than by will or by the laws of descent and distribution. If this Option is a Non-Qualified Option then it may also be transferred pursuant to a qualified domestic relations order as defined by the Code or Title I of the Employee Retirement Income Security Act or the rules thereunder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firstLine="656"/>
        <w:spacing w:after="0" w:line="259" w:lineRule="auto"/>
        <w:tabs>
          <w:tab w:leader="none" w:pos="82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86" w:lineRule="exact"/>
        <w:rPr>
          <w:rFonts w:ascii="Arial" w:cs="Arial" w:eastAsia="Arial" w:hAnsi="Arial"/>
          <w:sz w:val="18"/>
          <w:szCs w:val="18"/>
          <w:color w:val="auto"/>
        </w:rPr>
      </w:pPr>
    </w:p>
    <w:p>
      <w:pPr>
        <w:ind w:right="100" w:firstLine="656"/>
        <w:spacing w:after="0" w:line="263" w:lineRule="auto"/>
        <w:tabs>
          <w:tab w:leader="none" w:pos="82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right="40" w:firstLine="656"/>
        <w:spacing w:after="0" w:line="253" w:lineRule="auto"/>
        <w:tabs>
          <w:tab w:leader="none" w:pos="918"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Participant acknowledges and agrees that (i) any income or other taxes due from the Participant with respect to this Option or the Shares issuable pursuant to this Option shall be the Participant’s responsibility; (ii)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(iv)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96"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left="-8" w:firstLine="656"/>
        <w:spacing w:after="0" w:line="259" w:lineRule="auto"/>
        <w:tabs>
          <w:tab w:leader="none" w:pos="90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 Unless the offering and sale of the Shares to be issued upon the particular exercise of the Option shall have been effectively registered under the Securities Act, the Company shall be under no obligation to issue the Shares covered by such exercise unless the Company has determined that such exercise and issuance would be exempt from the registration requirements of the Securities Act and until the following conditions have been fulfilled:</w:t>
      </w:r>
    </w:p>
    <w:p>
      <w:pPr>
        <w:spacing w:after="0" w:line="186" w:lineRule="exact"/>
        <w:rPr>
          <w:rFonts w:ascii="Arial" w:cs="Arial" w:eastAsia="Arial" w:hAnsi="Arial"/>
          <w:sz w:val="18"/>
          <w:szCs w:val="18"/>
          <w:color w:val="auto"/>
        </w:rPr>
      </w:pPr>
    </w:p>
    <w:p>
      <w:pPr>
        <w:ind w:left="-8" w:right="20" w:firstLine="8"/>
        <w:spacing w:after="0" w:line="259" w:lineRule="auto"/>
        <w:tabs>
          <w:tab w:leader="none" w:pos="23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87" w:lineRule="exact"/>
        <w:rPr>
          <w:sz w:val="20"/>
          <w:szCs w:val="20"/>
          <w:color w:val="auto"/>
        </w:rPr>
      </w:pPr>
    </w:p>
    <w:p>
      <w:pPr>
        <w:ind w:left="652"/>
        <w:spacing w:after="0" w:line="279" w:lineRule="auto"/>
        <w:rPr>
          <w:sz w:val="20"/>
          <w:szCs w:val="20"/>
          <w:color w:val="auto"/>
        </w:rPr>
      </w:pPr>
      <w:r>
        <w:rPr>
          <w:rFonts w:ascii="Arial" w:cs="Arial" w:eastAsia="Arial" w:hAnsi="Arial"/>
          <w:sz w:val="17"/>
          <w:szCs w:val="17"/>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71" w:lineRule="exact"/>
        <w:rPr>
          <w:sz w:val="20"/>
          <w:szCs w:val="20"/>
          <w:color w:val="auto"/>
        </w:rPr>
      </w:pPr>
    </w:p>
    <w:p>
      <w:pPr>
        <w:jc w:val="both"/>
        <w:ind w:left="-8" w:right="220" w:firstLine="8"/>
        <w:spacing w:after="0" w:line="259" w:lineRule="auto"/>
        <w:tabs>
          <w:tab w:leader="none" w:pos="2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Company so requires, the Company shall have received an opinion of its counsel that the Shares may be issued upon such particular exercise in compliance with the Securities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87" w:lineRule="exact"/>
        <w:rPr>
          <w:sz w:val="20"/>
          <w:szCs w:val="20"/>
          <w:color w:val="auto"/>
        </w:rPr>
      </w:pPr>
    </w:p>
    <w:p>
      <w:pPr>
        <w:ind w:left="912" w:hanging="264"/>
        <w:spacing w:after="0"/>
        <w:tabs>
          <w:tab w:leader="none" w:pos="912"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40" w:firstLine="8"/>
        <w:spacing w:after="0" w:line="289" w:lineRule="auto"/>
        <w:tabs>
          <w:tab w:leader="none" w:pos="23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FINRA rules or similar rules thereto promulgated by another regulatory authority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66" w:lineRule="exact"/>
        <w:rPr>
          <w:rFonts w:ascii="Arial" w:cs="Arial" w:eastAsia="Arial" w:hAnsi="Arial"/>
          <w:sz w:val="16"/>
          <w:szCs w:val="16"/>
          <w:color w:val="auto"/>
        </w:rPr>
      </w:pPr>
    </w:p>
    <w:p>
      <w:pPr>
        <w:jc w:val="both"/>
        <w:ind w:left="-8" w:right="80" w:firstLine="8"/>
        <w:spacing w:after="0" w:line="279" w:lineRule="auto"/>
        <w:tabs>
          <w:tab w:leader="none" w:pos="24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Participant acknowledges and agrees that neither the Company, its stockholders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95" w:name="page96"/>
    <w:bookmarkEnd w:id="95"/>
    <w:p>
      <w:pPr>
        <w:ind w:right="60" w:firstLine="656"/>
        <w:spacing w:after="0" w:line="270" w:lineRule="auto"/>
        <w:tabs>
          <w:tab w:leader="none" w:pos="918"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 OBLIGATION TO MAINTAIN RELATIONSHIP</w:t>
      </w:r>
      <w:r>
        <w:rPr>
          <w:rFonts w:ascii="Arial" w:cs="Arial" w:eastAsia="Arial" w:hAnsi="Arial"/>
          <w:sz w:val="17"/>
          <w:szCs w:val="17"/>
          <w:color w:val="auto"/>
        </w:rPr>
        <w:t>. 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180" w:lineRule="exact"/>
        <w:rPr>
          <w:rFonts w:ascii="Arial" w:cs="Arial" w:eastAsia="Arial" w:hAnsi="Arial"/>
          <w:sz w:val="17"/>
          <w:szCs w:val="17"/>
          <w:color w:val="auto"/>
        </w:rPr>
      </w:pPr>
    </w:p>
    <w:p>
      <w:pPr>
        <w:ind w:firstLine="656"/>
        <w:spacing w:after="0" w:line="255" w:lineRule="auto"/>
        <w:tabs>
          <w:tab w:leader="none" w:pos="91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IF OPTION IS INTENDED TO BE AN ISO</w:t>
      </w:r>
      <w:r>
        <w:rPr>
          <w:rFonts w:ascii="Arial" w:cs="Arial" w:eastAsia="Arial" w:hAnsi="Arial"/>
          <w:sz w:val="18"/>
          <w:szCs w:val="18"/>
          <w:color w:val="auto"/>
        </w:rPr>
        <w:t>. 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92" w:lineRule="exact"/>
        <w:rPr>
          <w:sz w:val="20"/>
          <w:szCs w:val="20"/>
          <w:color w:val="auto"/>
        </w:rPr>
      </w:pPr>
    </w:p>
    <w:p>
      <w:pPr>
        <w:ind w:right="100" w:firstLine="1296"/>
        <w:spacing w:after="0" w:line="296" w:lineRule="auto"/>
        <w:rPr>
          <w:sz w:val="20"/>
          <w:szCs w:val="20"/>
          <w:color w:val="auto"/>
        </w:rPr>
      </w:pPr>
      <w:r>
        <w:rPr>
          <w:rFonts w:ascii="Arial" w:cs="Arial" w:eastAsia="Arial" w:hAnsi="Arial"/>
          <w:sz w:val="16"/>
          <w:szCs w:val="16"/>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6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184" w:lineRule="exact"/>
        <w:rPr>
          <w:sz w:val="20"/>
          <w:szCs w:val="20"/>
          <w:color w:val="auto"/>
        </w:rPr>
      </w:pPr>
    </w:p>
    <w:p>
      <w:pPr>
        <w:ind w:right="40" w:firstLine="656"/>
        <w:spacing w:after="0" w:line="273" w:lineRule="auto"/>
        <w:tabs>
          <w:tab w:leader="none" w:pos="918"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NOTICE TO COMPANY OF DISQUALIFYING DISPOSITION OF AN ISO</w:t>
      </w:r>
      <w:r>
        <w:rPr>
          <w:rFonts w:ascii="Arial" w:cs="Arial" w:eastAsia="Arial" w:hAnsi="Arial"/>
          <w:sz w:val="17"/>
          <w:szCs w:val="17"/>
          <w:color w:val="auto"/>
        </w:rPr>
        <w:t>. 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6" w:name="page97"/>
    <w:bookmarkEnd w:id="96"/>
    <w:p>
      <w:pPr>
        <w:ind w:right="660" w:firstLine="656"/>
        <w:spacing w:after="0" w:line="277" w:lineRule="auto"/>
        <w:tabs>
          <w:tab w:leader="none" w:pos="918"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to the Participant at the Participant’s most recent address as shown in the employment or stock records of the Company. Any such notice shall be deemed to have been given upon the earlier of receipt, one business day following delivery to a recognized courier service or three business days following mailing by registered or certified mail.</w:t>
      </w:r>
    </w:p>
    <w:p>
      <w:pPr>
        <w:spacing w:after="0" w:line="184" w:lineRule="exact"/>
        <w:rPr>
          <w:sz w:val="20"/>
          <w:szCs w:val="20"/>
          <w:color w:val="auto"/>
        </w:rPr>
      </w:pPr>
    </w:p>
    <w:p>
      <w:pPr>
        <w:ind w:right="260" w:firstLine="656"/>
        <w:spacing w:after="0" w:line="277" w:lineRule="auto"/>
        <w:tabs>
          <w:tab w:leader="none" w:pos="91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Province of British Columbia and the laws of Canada applicable therein.</w:t>
      </w:r>
    </w:p>
    <w:p>
      <w:pPr>
        <w:spacing w:after="0" w:line="170" w:lineRule="exact"/>
        <w:rPr>
          <w:rFonts w:ascii="Arial" w:cs="Arial" w:eastAsia="Arial" w:hAnsi="Arial"/>
          <w:sz w:val="18"/>
          <w:szCs w:val="18"/>
          <w:color w:val="auto"/>
        </w:rPr>
      </w:pPr>
    </w:p>
    <w:p>
      <w:pPr>
        <w:ind w:right="100" w:firstLine="656"/>
        <w:spacing w:after="0" w:line="277" w:lineRule="auto"/>
        <w:tabs>
          <w:tab w:leader="none" w:pos="91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 Subject to the provisions of the Plan and the other provisions hereof, this Agreement shall be for the benefit of and shall be binding upon the heirs, executors, administrators, successors and assigns of the parties hereto.</w:t>
      </w:r>
    </w:p>
    <w:p>
      <w:pPr>
        <w:spacing w:after="0" w:line="170" w:lineRule="exact"/>
        <w:rPr>
          <w:rFonts w:ascii="Arial" w:cs="Arial" w:eastAsia="Arial" w:hAnsi="Arial"/>
          <w:sz w:val="18"/>
          <w:szCs w:val="18"/>
          <w:color w:val="auto"/>
        </w:rPr>
      </w:pPr>
    </w:p>
    <w:p>
      <w:pPr>
        <w:ind w:firstLine="656"/>
        <w:spacing w:after="0" w:line="275" w:lineRule="auto"/>
        <w:tabs>
          <w:tab w:leader="none" w:pos="918"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Plan, embodies the entire agreement and understanding between the parties hereto with respect to the subject matter hereof and supersedes all prior oral or written agreements and understandings relating to the subject matter hereof (with the exception of acceleration of vesting provisions contained in any other agreement with the Company). No statement, representation, warranty, covenant or agreement not expressly set forth in this Agreement shall affect or be used to interpret, change or restrict, the express terms and provisions of this Agreement. Notwithstanding the foregoing in all events, this Agreement shall be subject to and governed by the Plan.</w:t>
      </w:r>
    </w:p>
    <w:p>
      <w:pPr>
        <w:spacing w:after="0" w:line="176" w:lineRule="exact"/>
        <w:rPr>
          <w:rFonts w:ascii="Arial" w:cs="Arial" w:eastAsia="Arial" w:hAnsi="Arial"/>
          <w:sz w:val="17"/>
          <w:szCs w:val="17"/>
          <w:color w:val="auto"/>
        </w:rPr>
      </w:pPr>
    </w:p>
    <w:p>
      <w:pPr>
        <w:ind w:left="920" w:hanging="264"/>
        <w:spacing w:after="0"/>
        <w:tabs>
          <w:tab w:leader="none" w:pos="92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MODIFICATIONS AND AMENDMENTS</w:t>
      </w:r>
      <w:r>
        <w:rPr>
          <w:rFonts w:ascii="Arial" w:cs="Arial" w:eastAsia="Arial" w:hAnsi="Arial"/>
          <w:sz w:val="16"/>
          <w:szCs w:val="16"/>
          <w:color w:val="auto"/>
        </w:rPr>
        <w:t>. The terms and provisions of this Agreement may be modified or amended as provided in the Plan.</w:t>
      </w:r>
    </w:p>
    <w:p>
      <w:pPr>
        <w:spacing w:after="0" w:line="248" w:lineRule="exact"/>
        <w:rPr>
          <w:rFonts w:ascii="Arial" w:cs="Arial" w:eastAsia="Arial" w:hAnsi="Arial"/>
          <w:sz w:val="16"/>
          <w:szCs w:val="16"/>
          <w:color w:val="auto"/>
        </w:rPr>
      </w:pPr>
    </w:p>
    <w:p>
      <w:pPr>
        <w:ind w:firstLine="656"/>
        <w:spacing w:after="0" w:line="257" w:lineRule="auto"/>
        <w:tabs>
          <w:tab w:leader="none" w:pos="91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7" w:lineRule="exact"/>
        <w:rPr>
          <w:rFonts w:ascii="Arial" w:cs="Arial" w:eastAsia="Arial" w:hAnsi="Arial"/>
          <w:sz w:val="18"/>
          <w:szCs w:val="18"/>
          <w:color w:val="auto"/>
        </w:rPr>
      </w:pPr>
    </w:p>
    <w:p>
      <w:pPr>
        <w:ind w:right="140" w:firstLine="656"/>
        <w:spacing w:after="0" w:line="275" w:lineRule="auto"/>
        <w:tabs>
          <w:tab w:leader="none" w:pos="918"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7" w:name="page98"/>
    <w:bookmarkEnd w:id="97"/>
    <w:p>
      <w:pPr>
        <w:ind w:left="10080"/>
        <w:spacing w:after="0"/>
        <w:rPr>
          <w:sz w:val="20"/>
          <w:szCs w:val="20"/>
          <w:color w:val="auto"/>
        </w:rPr>
      </w:pPr>
      <w:r>
        <w:rPr>
          <w:rFonts w:ascii="Arial" w:cs="Arial" w:eastAsia="Arial" w:hAnsi="Arial"/>
          <w:sz w:val="16"/>
          <w:szCs w:val="16"/>
          <w:b w:val="1"/>
          <w:bCs w:val="1"/>
          <w:color w:val="auto"/>
        </w:rPr>
        <w:t>Exhibit 10.23.3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Grant under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2021 Incentive Equity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Shares: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Vesting of Award: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Unit Award shall vest as follows provided the Participant is an Employee, director or Consultant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of an Affiliate on the applicable vesting date:</w:t>
      </w:r>
    </w:p>
    <w:p>
      <w:pPr>
        <w:spacing w:after="0" w:line="200" w:lineRule="exact"/>
        <w:rPr>
          <w:sz w:val="20"/>
          <w:szCs w:val="20"/>
          <w:color w:val="auto"/>
        </w:rPr>
      </w:pPr>
    </w:p>
    <w:p>
      <w:pPr>
        <w:sectPr>
          <w:pgSz w:w="11900" w:h="16838" w:orient="portrait"/>
          <w:cols w:equalWidth="0" w:num="2">
            <w:col w:w="1320" w:space="720"/>
            <w:col w:w="9200"/>
          </w:cols>
          <w:pgMar w:left="320" w:top="12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[Vesting Schedule Description]</w:t>
      </w:r>
    </w:p>
    <w:p>
      <w:pPr>
        <w:sectPr>
          <w:pgSz w:w="11900" w:h="16838" w:orient="portrait"/>
          <w:cols w:equalWidth="0" w:num="1">
            <w:col w:w="11240"/>
          </w:cols>
          <w:pgMar w:left="320" w:top="121" w:right="339" w:bottom="1440" w:gutter="0" w:footer="0" w:header="0"/>
          <w:type w:val="continuous"/>
        </w:sect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and the Participant acknowledge receipt of this Restricted Stock Unit Award Grant Notice and agree to the terms of the Restricted Stock Unit Agreement attached hereto and incorporated by reference herein, the Company’s 2021 Incentive Equity Plan [and the Addendum thereto titled “Terms and Conditions of Options to United States Employees”], and the terms of this Restricted Stock Unit Award as set forth above.</w:t>
      </w:r>
    </w:p>
    <w:p>
      <w:pPr>
        <w:spacing w:after="0" w:line="16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INCORPORATED TERMS AND CONDITIONS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AGREEMENT made as of the date of grant set forth in the Restricted Stock Unit Award Grant Notice between TMC the metals company Inc. (the “Company”), a company existing under the laws of British Columbia, Canada, and the individual whose name appears on the Restricted Stock Unit Award Grant Notice (the “Participant”).</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WHEREAS, the Company has adopted the 2021 Incentive Equity Plan [and the Addendum thereto titled “Terms and Conditions of Options to United States Employees”] (the “Plan”), to promote the interests of the Company by providing an incentive for Employees, directors and Consultants of the Company and its Affiliates;</w:t>
      </w:r>
    </w:p>
    <w:p>
      <w:pPr>
        <w:spacing w:after="0" w:line="18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WHEREAS, pursuant to the provisions of the Plan, the Company desires to grant to the Participant restricted stock units (“RSUs”) related to the Company’s Common Shares (“Shares”), in accordance with the provisions of the Plan, all on the terms and conditions hereinafter set forth; and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right="80" w:firstLine="656"/>
        <w:spacing w:after="0" w:line="311" w:lineRule="auto"/>
        <w:tabs>
          <w:tab w:leader="none" w:pos="828"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an award for the number of RSUs set forth in the Restricted Stock Unit Award Grant Notice (the “Award”). Each RSU represents a contingent entitlement of the Participant to receive one Share, on the terms and conditions and subject to all the limitations set forth herein and in the Plan, which is incorporated herein by reference. The Participant acknowledges receipt of a copy of the Plan.</w:t>
      </w:r>
    </w:p>
    <w:p>
      <w:pPr>
        <w:spacing w:after="0" w:line="148" w:lineRule="exact"/>
        <w:rPr>
          <w:rFonts w:ascii="Arial" w:cs="Arial" w:eastAsia="Arial" w:hAnsi="Arial"/>
          <w:sz w:val="16"/>
          <w:szCs w:val="16"/>
          <w:color w:val="auto"/>
        </w:rPr>
      </w:pPr>
    </w:p>
    <w:p>
      <w:pPr>
        <w:ind w:left="840" w:hanging="184"/>
        <w:spacing w:after="0"/>
        <w:tabs>
          <w:tab w:leader="none" w:pos="8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4"/>
        <w:spacing w:after="0" w:line="255" w:lineRule="auto"/>
        <w:tabs>
          <w:tab w:leader="none" w:pos="154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equivalent to the number of RSUs as set forth in the Restricted Stock Unit Award Grant Notice provided that the Participant is providing service to the Company or an Affiliate on such vesting date. Such Shares shall thereafter be delivered by the Company to the Participant within five business days of the applicable vesting date and in accordance with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20" w:right="140" w:firstLine="1304"/>
        <w:spacing w:after="0" w:line="259" w:lineRule="auto"/>
        <w:tabs>
          <w:tab w:leader="none" w:pos="153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Except as otherwise set forth in this Agreement, if the Participant ceases to be providing services for any reason by the Company or by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186" w:lineRule="exact"/>
        <w:rPr>
          <w:rFonts w:ascii="Arial" w:cs="Arial" w:eastAsia="Arial" w:hAnsi="Arial"/>
          <w:sz w:val="18"/>
          <w:szCs w:val="18"/>
          <w:color w:val="auto"/>
        </w:rPr>
      </w:pPr>
    </w:p>
    <w:p>
      <w:pPr>
        <w:ind w:left="-20" w:firstLine="656"/>
        <w:spacing w:after="0" w:line="270" w:lineRule="auto"/>
        <w:tabs>
          <w:tab w:leader="none" w:pos="808"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Prohibitions on Transfer and Sale</w:t>
      </w:r>
      <w:r>
        <w:rPr>
          <w:rFonts w:ascii="Arial" w:cs="Arial" w:eastAsia="Arial" w:hAnsi="Arial"/>
          <w:sz w:val="17"/>
          <w:szCs w:val="17"/>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80" w:lineRule="exact"/>
        <w:rPr>
          <w:rFonts w:ascii="Arial" w:cs="Arial" w:eastAsia="Arial" w:hAnsi="Arial"/>
          <w:sz w:val="17"/>
          <w:szCs w:val="17"/>
          <w:color w:val="auto"/>
        </w:rPr>
      </w:pPr>
    </w:p>
    <w:p>
      <w:pPr>
        <w:ind w:left="-20" w:right="240" w:firstLine="656"/>
        <w:spacing w:after="0" w:line="263" w:lineRule="auto"/>
        <w:tabs>
          <w:tab w:leader="none" w:pos="80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Plan contains provisions covering the treatment of RSUs and Shares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183" w:lineRule="exact"/>
        <w:rPr>
          <w:rFonts w:ascii="Arial" w:cs="Arial" w:eastAsia="Arial" w:hAnsi="Arial"/>
          <w:sz w:val="18"/>
          <w:szCs w:val="18"/>
          <w:color w:val="auto"/>
        </w:rPr>
      </w:pPr>
    </w:p>
    <w:p>
      <w:pPr>
        <w:ind w:left="-20" w:firstLine="656"/>
        <w:spacing w:after="0" w:line="291" w:lineRule="auto"/>
        <w:tabs>
          <w:tab w:leader="none" w:pos="80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The Participant specifically acknowledges and agrees that any sales of Shares shall be made in accordance with the requirements of the Securities Act of 1933, as amended. The Company does not currently have an effective registration statement on file with the Securities and Exchange Commission with respect to the Shares to be granted hereunder. Without an effective registration statement with respect to the Shares to be granted hereunder, Participant will not be able to transfer or sell any of the Shares issued to the Participant pursuant to this Agreement unless exemptions from registration or filings under applicable securities laws are available. Furthermore, despite registration, applicable securities laws may restrict the ability of the Participant to sell his or her Shares, including due to the Participant’s affiliation with the Company. The Company shall not be obligated to either issue the Shares or permit the resale of any Shares if such issuance or resale would violate any applicable securities law, rule or regulation.</w:t>
      </w:r>
    </w:p>
    <w:p>
      <w:pPr>
        <w:spacing w:after="0" w:line="166" w:lineRule="exact"/>
        <w:rPr>
          <w:rFonts w:ascii="Arial" w:cs="Arial" w:eastAsia="Arial" w:hAnsi="Arial"/>
          <w:sz w:val="16"/>
          <w:szCs w:val="16"/>
          <w:color w:val="auto"/>
        </w:rPr>
      </w:pPr>
    </w:p>
    <w:p>
      <w:pPr>
        <w:ind w:left="-20" w:right="320" w:firstLine="656"/>
        <w:spacing w:after="0" w:line="277" w:lineRule="auto"/>
        <w:tabs>
          <w:tab w:leader="none" w:pos="80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Participant shall have no right as a stockholder, including voting and dividend rights, with respect to the RSUs subject to this Agreement.</w:t>
      </w:r>
    </w:p>
    <w:p>
      <w:pPr>
        <w:spacing w:after="0" w:line="170" w:lineRule="exact"/>
        <w:rPr>
          <w:rFonts w:ascii="Arial" w:cs="Arial" w:eastAsia="Arial" w:hAnsi="Arial"/>
          <w:sz w:val="18"/>
          <w:szCs w:val="18"/>
          <w:color w:val="auto"/>
        </w:rPr>
      </w:pPr>
    </w:p>
    <w:p>
      <w:pPr>
        <w:jc w:val="both"/>
        <w:ind w:left="-20" w:right="100" w:firstLine="656"/>
        <w:spacing w:after="0" w:line="263" w:lineRule="auto"/>
        <w:tabs>
          <w:tab w:leader="none" w:pos="80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w:t>
      </w:r>
      <w:r>
        <w:rPr>
          <w:rFonts w:ascii="Arial" w:cs="Arial" w:eastAsia="Arial" w:hAnsi="Arial"/>
          <w:sz w:val="18"/>
          <w:szCs w:val="18"/>
          <w:color w:val="auto"/>
        </w:rPr>
        <w:t>. The Participant specifically understands and agrees that the RSUs and the Shares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0" w:name="page101"/>
    <w:bookmarkEnd w:id="100"/>
    <w:p>
      <w:pPr>
        <w:ind w:right="220" w:firstLine="656"/>
        <w:spacing w:after="0" w:line="296" w:lineRule="auto"/>
        <w:tabs>
          <w:tab w:leader="none" w:pos="82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Tax Liability of the Participant and Payment of Taxes</w:t>
      </w:r>
      <w:r>
        <w:rPr>
          <w:rFonts w:ascii="Arial" w:cs="Arial" w:eastAsia="Arial" w:hAnsi="Arial"/>
          <w:sz w:val="16"/>
          <w:szCs w:val="16"/>
          <w:color w:val="auto"/>
        </w:rPr>
        <w:t>. The Participant acknowledges and agrees that any income or other taxes due from the Participant with respect to this Award or the Shares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Administrator as follows:</w:t>
      </w:r>
    </w:p>
    <w:p>
      <w:pPr>
        <w:spacing w:after="0" w:line="161" w:lineRule="exact"/>
        <w:rPr>
          <w:rFonts w:ascii="Arial" w:cs="Arial" w:eastAsia="Arial" w:hAnsi="Arial"/>
          <w:sz w:val="16"/>
          <w:szCs w:val="16"/>
          <w:color w:val="auto"/>
        </w:rPr>
      </w:pPr>
    </w:p>
    <w:p>
      <w:pPr>
        <w:ind w:right="80" w:firstLine="1304"/>
        <w:spacing w:after="0" w:line="257" w:lineRule="auto"/>
        <w:tabs>
          <w:tab w:leader="none" w:pos="154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through reducing the number of Shares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w:t>
      </w:r>
    </w:p>
    <w:p>
      <w:pPr>
        <w:spacing w:after="0" w:line="187" w:lineRule="exact"/>
        <w:rPr>
          <w:rFonts w:ascii="Arial" w:cs="Arial" w:eastAsia="Arial" w:hAnsi="Arial"/>
          <w:sz w:val="18"/>
          <w:szCs w:val="18"/>
          <w:color w:val="auto"/>
        </w:rPr>
      </w:pPr>
    </w:p>
    <w:p>
      <w:pPr>
        <w:ind w:right="240" w:firstLine="1304"/>
        <w:spacing w:after="0" w:line="311" w:lineRule="auto"/>
        <w:tabs>
          <w:tab w:leader="none" w:pos="155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148" w:lineRule="exact"/>
        <w:rPr>
          <w:rFonts w:ascii="Arial" w:cs="Arial" w:eastAsia="Arial" w:hAnsi="Arial"/>
          <w:sz w:val="16"/>
          <w:szCs w:val="16"/>
          <w:color w:val="auto"/>
        </w:rPr>
      </w:pPr>
    </w:p>
    <w:p>
      <w:pPr>
        <w:ind w:firstLine="1304"/>
        <w:spacing w:after="0" w:line="287" w:lineRule="auto"/>
        <w:tabs>
          <w:tab w:leader="none" w:pos="154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if the Company believes that the sale of shares can be made in compliance with applicable securities laws, authorizing, at a time when the Participant is not in possession of material nonpublic information, the sale by the Participant on the applicable vesting date of such number of Shares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the Participant shall execute any such documents requested by the broker in order to effectuate the sale of Shares and payment of the withholding obligation to the Company. The Participant acknowledges that this paragraph is intended to comply with Section 10b5-1(c)(1)(i)(B) under the Exchange Act.</w:t>
      </w:r>
    </w:p>
    <w:p>
      <w:pPr>
        <w:spacing w:after="0" w:line="17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It is the Company’s intention that the Participant’s tax obligations under this Section 8 shall be satisfied through the procedure of Subsection (c) above, unless the Company provides notice of an alternate procedure under this Section, in its discretion. The Company shall not deliver any Shares to the Participant until it is satisfied that all required withholdings have been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right"/>
        <w:ind w:left="1300" w:right="6680" w:hanging="644"/>
        <w:spacing w:after="0" w:line="563" w:lineRule="auto"/>
        <w:tabs>
          <w:tab w:leader="none" w:pos="832"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Participant Acknowledgements and Authorizations</w:t>
      </w:r>
      <w:r>
        <w:rPr>
          <w:rFonts w:ascii="Arial" w:cs="Arial" w:eastAsia="Arial" w:hAnsi="Arial"/>
          <w:sz w:val="16"/>
          <w:szCs w:val="16"/>
          <w:color w:val="auto"/>
        </w:rPr>
        <w:t>. The Participant acknowledges the following:</w:t>
      </w:r>
    </w:p>
    <w:p>
      <w:pPr>
        <w:ind w:right="440" w:firstLine="1304"/>
        <w:spacing w:after="0" w:line="277" w:lineRule="auto"/>
        <w:tabs>
          <w:tab w:leader="none" w:pos="153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Company is not by the Plan or this Award obligated to continue the Participant as an employee, director or consultant of the Company or an Affiliate.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225" w:lineRule="exact"/>
        <w:rPr>
          <w:rFonts w:ascii="Arial" w:cs="Arial" w:eastAsia="Arial" w:hAnsi="Arial"/>
          <w:sz w:val="18"/>
          <w:szCs w:val="18"/>
          <w:color w:val="auto"/>
        </w:rPr>
      </w:pPr>
    </w:p>
    <w:p>
      <w:pPr>
        <w:ind w:right="280" w:firstLine="1304"/>
        <w:spacing w:after="0" w:line="277" w:lineRule="auto"/>
        <w:tabs>
          <w:tab w:leader="none" w:pos="153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70" w:lineRule="exact"/>
        <w:rPr>
          <w:rFonts w:ascii="Arial" w:cs="Arial" w:eastAsia="Arial" w:hAnsi="Arial"/>
          <w:sz w:val="18"/>
          <w:szCs w:val="18"/>
          <w:color w:val="auto"/>
        </w:rPr>
      </w:pPr>
    </w:p>
    <w:p>
      <w:pPr>
        <w:ind w:right="180" w:firstLine="1304"/>
        <w:spacing w:after="0" w:line="277" w:lineRule="auto"/>
        <w:tabs>
          <w:tab w:leader="none" w:pos="154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70" w:lineRule="exact"/>
        <w:rPr>
          <w:rFonts w:ascii="Arial" w:cs="Arial" w:eastAsia="Arial" w:hAnsi="Arial"/>
          <w:sz w:val="18"/>
          <w:szCs w:val="18"/>
          <w:color w:val="auto"/>
        </w:rPr>
      </w:pPr>
    </w:p>
    <w:p>
      <w:pPr>
        <w:jc w:val="both"/>
        <w:ind w:right="60" w:firstLine="1304"/>
        <w:spacing w:after="0" w:line="259" w:lineRule="auto"/>
        <w:tabs>
          <w:tab w:leader="none" w:pos="153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is unknown and cannot be predicted with certainty.</w:t>
      </w:r>
    </w:p>
    <w:p>
      <w:pPr>
        <w:spacing w:after="0" w:line="186" w:lineRule="exact"/>
        <w:rPr>
          <w:rFonts w:ascii="Arial" w:cs="Arial" w:eastAsia="Arial" w:hAnsi="Arial"/>
          <w:sz w:val="18"/>
          <w:szCs w:val="18"/>
          <w:color w:val="auto"/>
        </w:rPr>
      </w:pPr>
    </w:p>
    <w:p>
      <w:pPr>
        <w:ind w:firstLine="1304"/>
        <w:spacing w:after="0" w:line="259" w:lineRule="auto"/>
        <w:tabs>
          <w:tab w:leader="none" w:pos="151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86" w:lineRule="exact"/>
        <w:rPr>
          <w:rFonts w:ascii="Arial" w:cs="Arial" w:eastAsia="Arial" w:hAnsi="Arial"/>
          <w:sz w:val="18"/>
          <w:szCs w:val="18"/>
          <w:color w:val="auto"/>
        </w:rPr>
      </w:pPr>
    </w:p>
    <w:p>
      <w:pPr>
        <w:ind w:right="120" w:firstLine="656"/>
        <w:spacing w:after="0" w:line="277" w:lineRule="auto"/>
        <w:tabs>
          <w:tab w:leader="none" w:pos="9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to the Participant at the Participant’s most recent address as shown in the employment or stock records of the Company. Any such notice shall be deemed to have been given on the earliest of receipt, one business day following delivery by the sender to a recognized courier service, or three business days following mailing by registered or certified mail.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2" w:name="page103"/>
    <w:bookmarkEnd w:id="102"/>
    <w:p>
      <w:pPr>
        <w:ind w:left="900" w:hanging="264"/>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60" w:firstLine="1304"/>
        <w:spacing w:after="0" w:line="263" w:lineRule="auto"/>
        <w:tabs>
          <w:tab w:leader="none" w:pos="151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83" w:lineRule="exact"/>
        <w:rPr>
          <w:rFonts w:ascii="Arial" w:cs="Arial" w:eastAsia="Arial" w:hAnsi="Arial"/>
          <w:sz w:val="18"/>
          <w:szCs w:val="18"/>
          <w:color w:val="auto"/>
        </w:rPr>
      </w:pPr>
    </w:p>
    <w:p>
      <w:pPr>
        <w:ind w:left="1540" w:hanging="256"/>
        <w:spacing w:after="0"/>
        <w:tabs>
          <w:tab w:leader="none" w:pos="15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25" w:lineRule="exact"/>
        <w:rPr>
          <w:rFonts w:ascii="Arial" w:cs="Arial" w:eastAsia="Arial" w:hAnsi="Arial"/>
          <w:sz w:val="18"/>
          <w:szCs w:val="18"/>
          <w:color w:val="auto"/>
        </w:rPr>
      </w:pPr>
    </w:p>
    <w:p>
      <w:pPr>
        <w:ind w:left="-20" w:right="340" w:firstLine="656"/>
        <w:spacing w:after="0" w:line="277" w:lineRule="auto"/>
        <w:tabs>
          <w:tab w:leader="none" w:pos="89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the laws of the Province of British Columbia and the laws of Canada applicable therein.</w:t>
      </w:r>
    </w:p>
    <w:p>
      <w:pPr>
        <w:spacing w:after="0" w:line="170" w:lineRule="exact"/>
        <w:rPr>
          <w:rFonts w:ascii="Arial" w:cs="Arial" w:eastAsia="Arial" w:hAnsi="Arial"/>
          <w:sz w:val="18"/>
          <w:szCs w:val="18"/>
          <w:color w:val="auto"/>
        </w:rPr>
      </w:pPr>
    </w:p>
    <w:p>
      <w:pPr>
        <w:ind w:left="-20" w:firstLine="656"/>
        <w:spacing w:after="0" w:line="259" w:lineRule="auto"/>
        <w:tabs>
          <w:tab w:leader="none" w:pos="89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6" w:lineRule="exact"/>
        <w:rPr>
          <w:rFonts w:ascii="Arial" w:cs="Arial" w:eastAsia="Arial" w:hAnsi="Arial"/>
          <w:sz w:val="18"/>
          <w:szCs w:val="18"/>
          <w:color w:val="auto"/>
        </w:rPr>
      </w:pPr>
    </w:p>
    <w:p>
      <w:pPr>
        <w:ind w:left="-20" w:right="60" w:firstLine="656"/>
        <w:spacing w:after="0" w:line="301" w:lineRule="auto"/>
        <w:tabs>
          <w:tab w:leader="none" w:pos="898"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57" w:lineRule="exact"/>
        <w:rPr>
          <w:rFonts w:ascii="Arial" w:cs="Arial" w:eastAsia="Arial" w:hAnsi="Arial"/>
          <w:sz w:val="16"/>
          <w:szCs w:val="16"/>
          <w:color w:val="auto"/>
        </w:rPr>
      </w:pPr>
    </w:p>
    <w:p>
      <w:pPr>
        <w:ind w:left="-20" w:firstLine="656"/>
        <w:spacing w:after="0" w:line="296" w:lineRule="auto"/>
        <w:tabs>
          <w:tab w:leader="none" w:pos="898"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Modifications and Amendments; Waivers and Consents</w:t>
      </w:r>
      <w:r>
        <w:rPr>
          <w:rFonts w:ascii="Arial" w:cs="Arial" w:eastAsia="Arial" w:hAnsi="Arial"/>
          <w:sz w:val="16"/>
          <w:szCs w:val="16"/>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61" w:lineRule="exact"/>
        <w:rPr>
          <w:rFonts w:ascii="Arial" w:cs="Arial" w:eastAsia="Arial" w:hAnsi="Arial"/>
          <w:sz w:val="16"/>
          <w:szCs w:val="16"/>
          <w:color w:val="auto"/>
        </w:rPr>
      </w:pPr>
    </w:p>
    <w:p>
      <w:pPr>
        <w:ind w:left="-20" w:right="120" w:firstLine="656"/>
        <w:spacing w:after="0" w:line="263" w:lineRule="auto"/>
        <w:tabs>
          <w:tab w:leader="none" w:pos="89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183" w:lineRule="exact"/>
        <w:rPr>
          <w:rFonts w:ascii="Arial" w:cs="Arial" w:eastAsia="Arial" w:hAnsi="Arial"/>
          <w:sz w:val="18"/>
          <w:szCs w:val="18"/>
          <w:color w:val="auto"/>
        </w:rPr>
      </w:pPr>
    </w:p>
    <w:p>
      <w:pPr>
        <w:ind w:left="-20" w:right="20" w:firstLine="656"/>
        <w:spacing w:after="0" w:line="275" w:lineRule="auto"/>
        <w:tabs>
          <w:tab w:leader="none" w:pos="898"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have read the statements made by TMC the metals company, Inc. (formerly known as Sustainable Opportunities Acquisition Corp.) under Item 4.01 of its Form 8-K dated September 9, 2021. We agree with the statements concerning our Firm in such Form 8-K; we are not in a position to agree or disagree with other statements of TMC the metals company, Inc. (formerly known as Sustainable Opportunities Acquisition Corp.) contained therein.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unaudited pro forma condensed combined balance sheet of TMC as of June 30, 2021 and the unaudited pro forma condensed combined statement of operations of TMC for the six months ended June 30, 2021 and the year ended December 31, 2020 present the combination of the financial information of SOAC and DeepGreen after giving effect to the Business Combination, PIPE Financing and related adjustments described in the accompanying notes. SOAC and DeepGreen are collectively referred to herein as the “Companies,” and the Companies, subsequent to the Business Combination and the PIPE Financing, are referred to herein as “TMC.”</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2021 and for the year ended December 31, 2020 give pro forma effect to the Business Combination and PIPE Financing as if they had occurred on January 1, 2020. The unaudited pro forma condensed combined balance sheet as of June 30, 2021 gives pro forma effect to the Business Combination and PIPE Financing as if they were completed on June 30,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 the audited historical financial statements of each of SOAC and DeepGreen and the notes thereto, as well as the disclosures contained in the sections titled “SOAC’s Management’s Discussion and Analysis of Financial Condition and Results of Operations” and “DeepGreen’s Management’s Discussion and Analysis of Financial Condition and Results of Operations,” contained elsewhere in this filing.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pro forma condensed combined financial information has been presented for illustrative purposes only and does not necessarily reflect what TMC’s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TMC. The actual financial position and results of operations may differ significantly from the pro forma amounts reflected herein due to a variety of factors. The unaudited pro forma adjustments represent management’s estimates based on information available as of the date of this filing and are subject to change as additional information becomes available and analyses are performed.</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March 4, 2021, SOAC entered into the Business Combination Agreement with DeepGreen. SOAC has changed its jurisdiction of incorporation by deregistering as an exempted company in the Cayman Islands and continuing as a company under the laws of British Columbia, Canada, upon which SOAC has changed its name to “TMC the metal company Inc.” On the Closing Date, promptly following the Continuance, pursuant to the Arrangement,</w:t>
      </w:r>
    </w:p>
    <w:p>
      <w:pPr>
        <w:spacing w:after="0" w:line="2" w:lineRule="exact"/>
        <w:rPr>
          <w:sz w:val="20"/>
          <w:szCs w:val="20"/>
          <w:color w:val="auto"/>
        </w:rPr>
      </w:pPr>
    </w:p>
    <w:p>
      <w:pPr>
        <w:jc w:val="both"/>
        <w:ind w:firstLine="8"/>
        <w:spacing w:after="0" w:line="281" w:lineRule="auto"/>
        <w:tabs>
          <w:tab w:leader="none" w:pos="21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SOAC has acquired all of the issued and outstanding DeepGreen Common Shares, (ii) the shareholders and the optionholders of DeepGreen are entitled to receive, in exchange for their DeepGreen Common Shares or DeepGreen Options, as applicable, an aggregate of (a) 203,874,981 TMC Common Shares,</w:t>
      </w:r>
    </w:p>
    <w:p>
      <w:pPr>
        <w:spacing w:after="0" w:line="1" w:lineRule="exact"/>
        <w:rPr>
          <w:rFonts w:ascii="Arial" w:cs="Arial" w:eastAsia="Arial" w:hAnsi="Arial"/>
          <w:sz w:val="16"/>
          <w:szCs w:val="16"/>
          <w:color w:val="auto"/>
        </w:rPr>
      </w:pPr>
    </w:p>
    <w:p>
      <w:pPr>
        <w:jc w:val="both"/>
        <w:ind w:firstLine="8"/>
        <w:spacing w:after="0" w:line="253" w:lineRule="auto"/>
        <w:tabs>
          <w:tab w:leader="none" w:pos="2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DeepGreen Earnout Shares, or, as applicable, options to purchase such TMC Common Shares and DeepGreen Earnout Shares, (iii) DeepGreen has become a wholly-owned subsidiary of TMC and (iv) DeepGreen and NewCo Sub have amalgamated to continue as one unlimited liability company existing under the laws of British Columbia. In addition, the Allseas Warrant has been assumed by TMC and has become a warrant to purchase TMC Common Shares upon the consummation of the Business Combination,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both"/>
        <w:ind w:firstLine="648"/>
        <w:spacing w:after="0" w:line="286" w:lineRule="auto"/>
        <w:rPr>
          <w:sz w:val="20"/>
          <w:szCs w:val="20"/>
          <w:color w:val="auto"/>
        </w:rPr>
      </w:pPr>
      <w:r>
        <w:rPr>
          <w:rFonts w:ascii="Arial" w:cs="Arial" w:eastAsia="Arial" w:hAnsi="Arial"/>
          <w:sz w:val="17"/>
          <w:szCs w:val="17"/>
          <w:color w:val="auto"/>
        </w:rPr>
        <w:t>The historical financial information of SOAC and DeepGreen has been adjusted in the unaudited pro forma condensed combined financial information to give effect to events that are (1) directly attributable to the Business Combination and the PIPE Financing and (2) factually supportable. The pro forma adjustments are prepared to illustrate the effect of the Business Combination and the PIPE Financing and certain other adjustments.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Business Combination will be accounted for as a reverse recapitalization because DeepGreen has been determined to be the accounting acquirer under Financial Accounting Standards Board’s Accounting Standards Codification Topic 805, Business Combinations (“</w:t>
      </w:r>
      <w:r>
        <w:rPr>
          <w:rFonts w:ascii="Arial" w:cs="Arial" w:eastAsia="Arial" w:hAnsi="Arial"/>
          <w:sz w:val="18"/>
          <w:szCs w:val="18"/>
          <w:u w:val="single" w:color="auto"/>
          <w:color w:val="auto"/>
        </w:rPr>
        <w:t>ASC 805</w:t>
      </w:r>
      <w:r>
        <w:rPr>
          <w:rFonts w:ascii="Arial" w:cs="Arial" w:eastAsia="Arial" w:hAnsi="Arial"/>
          <w:sz w:val="18"/>
          <w:szCs w:val="18"/>
          <w:color w:val="auto"/>
        </w:rPr>
        <w:t>”). The determination is primarily based on the evaluation of the following facts and circumstances:</w:t>
      </w:r>
    </w:p>
    <w:p>
      <w:pPr>
        <w:spacing w:after="0" w:line="184" w:lineRule="exact"/>
        <w:rPr>
          <w:sz w:val="20"/>
          <w:szCs w:val="20"/>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pre-combination equityholders of DeepGreen will hold the majority of voting rights in TMC;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pre-combination equityholders of DeepGreen will have the right to appoint the majority of the directors on the TMC Board;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senior management of DeepGreen will comprise the senior management of TMC;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operations of DeepGreen will comprise the ongoing operations of TMC.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reverse recapitalization model, the Business Combination will be treated as DeepGreen issuing equity for the net assets of SOAC, with no goodwill or intangible assets recorded. Transaction costs that were direct and incremental to the Business Combination will be recorded in equity in the balance sheet to offset against proceeds.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as any change in the deferred tax balance would be offset by an increase in the valuation allowance given that DeepGreen incurred significant losses during the historical periods 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summarizes the pro forma TMC Common Shares outstanding based on actual redemptions of 27.3 million shares for $272.9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SOAC Public Shareholders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2,721,343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37"/>
        </w:trPr>
        <w:tc>
          <w:tcPr>
            <w:tcW w:w="8620" w:type="dxa"/>
            <w:vAlign w:val="bottom"/>
          </w:tcPr>
          <w:p>
            <w:pPr>
              <w:spacing w:after="0"/>
              <w:rPr>
                <w:sz w:val="20"/>
                <w:szCs w:val="20"/>
                <w:color w:val="auto"/>
              </w:rPr>
            </w:pPr>
            <w:r>
              <w:rPr>
                <w:rFonts w:ascii="Arial" w:cs="Arial" w:eastAsia="Arial" w:hAnsi="Arial"/>
                <w:sz w:val="18"/>
                <w:szCs w:val="18"/>
                <w:color w:val="auto"/>
              </w:rPr>
              <w:t>SOAC Initial Shareholders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6,759,000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SOAC</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9,480,343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8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DeepGreen Metals shareholders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203,874,981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r>
      <w:tr>
        <w:trPr>
          <w:trHeight w:val="236"/>
        </w:trPr>
        <w:tc>
          <w:tcPr>
            <w:tcW w:w="8620" w:type="dxa"/>
            <w:vAlign w:val="bottom"/>
          </w:tcPr>
          <w:p>
            <w:pPr>
              <w:spacing w:after="0"/>
              <w:rPr>
                <w:sz w:val="20"/>
                <w:szCs w:val="20"/>
                <w:color w:val="auto"/>
              </w:rPr>
            </w:pPr>
            <w:r>
              <w:rPr>
                <w:rFonts w:ascii="Arial" w:cs="Arial" w:eastAsia="Arial" w:hAnsi="Arial"/>
                <w:sz w:val="18"/>
                <w:szCs w:val="18"/>
                <w:color w:val="auto"/>
              </w:rPr>
              <w:t>PIPE Investor(s)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11,030,000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at Closing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224,385,324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June 30, 2021 and the unaudited pro forma condensed combined statements of operations for the six months ended June 30, 2021 and the year ended December 31, 2020 are based on the historical financial statements of SOAC and DeepGreen.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DeepGreen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3"/>
              </w:rPr>
              <w:t>Pro Forma</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SOAC</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Metals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Transaction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2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9"/>
              </w:rPr>
              <w:t>Adjustments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98"/>
        </w:trPr>
        <w:tc>
          <w:tcPr>
            <w:tcW w:w="53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16,880,031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27,217,744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121,198,478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w w:val="97"/>
              </w:rPr>
              <w:t>110,300,000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2b</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(33,492,620)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00" w:type="dxa"/>
            <w:vAlign w:val="bottom"/>
          </w:tcPr>
          <w:p>
            <w:pPr>
              <w:ind w:left="180"/>
              <w:spacing w:after="0"/>
              <w:rPr>
                <w:sz w:val="20"/>
                <w:szCs w:val="20"/>
                <w:color w:val="auto"/>
              </w:rPr>
            </w:pPr>
            <w:r>
              <w:rPr>
                <w:rFonts w:ascii="Arial" w:cs="Arial" w:eastAsia="Arial" w:hAnsi="Arial"/>
                <w:sz w:val="18"/>
                <w:szCs w:val="18"/>
                <w:color w:val="auto"/>
              </w:rPr>
              <w:t>Receivable and prepayments</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133,778</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188,894</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104,025,124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121,387,372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licenses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43,150,319</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1,515,101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1,515,101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Investments and cash held in Trust Account</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300,078,204</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(300,078,204)</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2a</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non-current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300,078,204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(300,078,204</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300,505,305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61,600,567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(196,053,080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166,052,792</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7,289,022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9,033,765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(6,712,817)</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9,609,970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Allseas milestone payments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9,359,223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2j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9,359,223</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35,755,000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(21,600,000)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2k</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14,155,000</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underwriter compensation</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10,500,000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53,544,022</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9,033,765</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(29,453,594)</w:t>
            </w: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33,124,193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Convertible debentures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26,160,589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(26,160,589)</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2"/>
              </w:rPr>
              <w:t>2i</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10,675,366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10,675,366</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36,835,955</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(26,160,589</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10,675,366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53,544,022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45,869,720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(55,614,183)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A ordinary shares, $0.0001 par value; 30,000,000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2c</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subject to possible redemption at $10.00 per share at June 30, 2021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300,078,204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(300,078,204)</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shares (unlimited shares, no par value – issued: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170,827,222)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188,900,923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(188,900,923)</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w w:val="96"/>
              </w:rPr>
              <w:t>Preferred shares (unlimited share, no par value – issued: 550,000)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(550,000)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to be issued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Reserves - Other</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 - Options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3"/>
              </w:rPr>
              <w:t>Preference shares, $0.0001 par value; 1,000,000 shares authorized;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none issued and 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TMC Common Shares without par value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7"/>
              </w:rPr>
              <w:t>110,300,000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283,732,532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27,217,744</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2a, 2c</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750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(53,117,671)</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(16,279,803)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w w:val="97"/>
              </w:rPr>
              <w:t>189,450,923</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26,160,589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9"/>
              </w:rPr>
              <w:t>Class A ordinary shares, $0.0001 par value; 300,000,000 shares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8"/>
                <w:szCs w:val="18"/>
                <w:color w:val="auto"/>
              </w:rPr>
              <w:t>authorized; -0- shares issued and outstanding (excluding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9"/>
              </w:rPr>
              <w:t>2c</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w w:val="91"/>
              </w:rPr>
              <w:t>30,000,000 shares subject to possible redemption) at June 30, 2021</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ordinary shares, $0.0001 par value; 30,000,000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authorized; 7,500,000 shares issued and outstanding at June 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Class A Special Shares, no par value; 4,448,259 issued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Special Shares, no par value; 8,896,399 issued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Class C Special Shares, no par value; 8,896,399 issued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D Special Shares, no par value; 17,792,922 issued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Class E Special Shares, no par value; 17,792,922 issued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F Special Shares, no par value; 17,792,922 issued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tcPr>
          <w:p>
            <w:pPr>
              <w:ind w:left="180"/>
              <w:spacing w:after="0"/>
              <w:rPr>
                <w:sz w:val="20"/>
                <w:szCs w:val="20"/>
                <w:color w:val="auto"/>
              </w:rPr>
            </w:pPr>
            <w:r>
              <w:rPr>
                <w:rFonts w:ascii="Arial" w:cs="Arial" w:eastAsia="Arial" w:hAnsi="Arial"/>
                <w:sz w:val="18"/>
                <w:szCs w:val="18"/>
                <w:color w:val="auto"/>
              </w:rPr>
              <w:t>Class G Special Shares, no par value; 22,241,179 issued and</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2f</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H Special Shares, no par value; 22,241,179 issued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9"/>
              </w:rPr>
              <w:t>2f</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w w:val="91"/>
              </w:rPr>
              <w:t>Class I Special Shares, no par value; 500,000 issued and outstanding</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9"/>
              </w:rPr>
              <w:t>2e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Class J Special Shares, no par value; 741,000 issued and outstanding</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79"/>
              </w:rPr>
              <w:t>2e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74,068,708</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21,600,000</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2k</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95,668,708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(1,215,685)</w:t>
            </w:r>
          </w:p>
        </w:tc>
        <w:tc>
          <w:tcPr>
            <w:tcW w:w="14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(1,215,685)</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Deficit</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(53,117,671)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(246,573,099)</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53,117,671</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2d</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(255,932,322)</w:t>
            </w:r>
          </w:p>
        </w:tc>
        <w:tc>
          <w:tcPr>
            <w:tcW w:w="0" w:type="dxa"/>
            <w:vAlign w:val="bottom"/>
          </w:tcPr>
          <w:p>
            <w:pPr>
              <w:spacing w:after="0"/>
              <w:rPr>
                <w:sz w:val="1"/>
                <w:szCs w:val="1"/>
                <w:color w:val="auto"/>
              </w:rPr>
            </w:pPr>
          </w:p>
        </w:tc>
      </w:tr>
      <w:tr>
        <w:trPr>
          <w:trHeight w:val="249"/>
        </w:trPr>
        <w:tc>
          <w:tcPr>
            <w:tcW w:w="5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(9,359,223)</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rPr>
              <w:t>2j</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(53,116,921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15,730,847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159,639,307</w:t>
            </w:r>
          </w:p>
        </w:tc>
        <w:tc>
          <w:tcPr>
            <w:tcW w:w="24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122,253,233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3"/>
              </w:rPr>
              <w:t>$  300,505,305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   61,600,567</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(196,053,080</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166,052,792</w:t>
            </w:r>
          </w:p>
        </w:tc>
        <w:tc>
          <w:tcPr>
            <w:tcW w:w="0" w:type="dxa"/>
            <w:vAlign w:val="bottom"/>
          </w:tcPr>
          <w:p>
            <w:pPr>
              <w:spacing w:after="0"/>
              <w:rPr>
                <w:sz w:val="1"/>
                <w:szCs w:val="1"/>
                <w:color w:val="auto"/>
              </w:rPr>
            </w:pPr>
          </w:p>
        </w:tc>
      </w:tr>
      <w:tr>
        <w:trPr>
          <w:trHeight w:val="21"/>
        </w:trPr>
        <w:tc>
          <w:tcPr>
            <w:tcW w:w="5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DeepGreen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SOAC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Metals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Pro Forma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1"/>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Adjustments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6,490,059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6,490,059</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Exploration and evaluation expenditures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54,736,036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54,736,036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Allseas milestone and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2,343,042</w:t>
            </w:r>
          </w:p>
        </w:tc>
        <w:tc>
          <w:tcPr>
            <w:tcW w:w="58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4"/>
              </w:rPr>
              <w:t>3b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2,343,042</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1,039,425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1,039,425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relations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2,582,554</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Office and sundry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209,518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4,695,779</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731,098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731,098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155,034</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Common Share options-based payments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18,684,122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18,684,122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agent and filing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Travel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164,963</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6,490,059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83,001,809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2,343,042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91,834,910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(21,175,000)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12,150,000</w:t>
            </w:r>
          </w:p>
        </w:tc>
        <w:tc>
          <w:tcPr>
            <w:tcW w:w="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3d</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(9,025,000)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(660,589)</w:t>
            </w:r>
          </w:p>
        </w:tc>
        <w:tc>
          <w:tcPr>
            <w:tcW w:w="58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79"/>
              </w:rPr>
              <w:t>3c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rPr>
              <w:t>Gain / Interest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9,125</w:t>
            </w:r>
          </w:p>
        </w:tc>
        <w:tc>
          <w:tcPr>
            <w:tcW w:w="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3a</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loss for the period</w:t>
            </w: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(14,694,066</w:t>
            </w:r>
          </w:p>
        </w:tc>
        <w:tc>
          <w:tcPr>
            <w:tcW w:w="14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83,714,901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13,841,578</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82,862,413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w w:val="90"/>
              </w:rPr>
              <w:t>Other comprehensive income to be reclassified to profit and loss in</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differences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260" w:type="dxa"/>
            <w:vAlign w:val="bottom"/>
          </w:tcPr>
          <w:p>
            <w:pPr>
              <w:spacing w:after="0"/>
              <w:rPr>
                <w:sz w:val="20"/>
                <w:szCs w:val="20"/>
                <w:color w:val="auto"/>
              </w:rPr>
            </w:pPr>
            <w:r>
              <w:rPr>
                <w:rFonts w:ascii="Arial" w:cs="Arial" w:eastAsia="Arial" w:hAnsi="Arial"/>
                <w:sz w:val="18"/>
                <w:szCs w:val="18"/>
                <w:b w:val="1"/>
                <w:bCs w:val="1"/>
                <w:color w:val="auto"/>
              </w:rPr>
              <w:t>Comprehensive (income) loss for the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(14,694,066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83,714,927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13,841,578</w:t>
            </w:r>
          </w:p>
        </w:tc>
        <w:tc>
          <w:tcPr>
            <w:tcW w:w="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82,862,439</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loss per share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Weighted Average Number of Common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10,031,583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167,943,190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224,385,324</w:t>
            </w:r>
          </w:p>
        </w:tc>
        <w:tc>
          <w:tcPr>
            <w:tcW w:w="0" w:type="dxa"/>
            <w:vAlign w:val="bottom"/>
          </w:tcPr>
          <w:p>
            <w:pPr>
              <w:spacing w:after="0"/>
              <w:rPr>
                <w:sz w:val="1"/>
                <w:szCs w:val="1"/>
                <w:color w:val="auto"/>
              </w:rPr>
            </w:pPr>
          </w:p>
        </w:tc>
      </w:tr>
      <w:tr>
        <w:trPr>
          <w:trHeight w:val="682"/>
        </w:trPr>
        <w:tc>
          <w:tcPr>
            <w:tcW w:w="5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DeepGreen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SOAC</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Metals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3"/>
              </w:rPr>
              <w:t>Pro Forma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(Historical)</w:t>
            </w:r>
          </w:p>
        </w:tc>
        <w:tc>
          <w:tcPr>
            <w:tcW w:w="80" w:type="dxa"/>
            <w:vAlign w:val="bottom"/>
          </w:tcPr>
          <w:p>
            <w:pPr>
              <w:spacing w:after="0"/>
              <w:rPr>
                <w:sz w:val="20"/>
                <w:szCs w:val="20"/>
                <w:color w:val="auto"/>
              </w:rPr>
            </w:pPr>
          </w:p>
        </w:tc>
        <w:tc>
          <w:tcPr>
            <w:tcW w:w="140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3"/>
              </w:rPr>
              <w:t>Adjustments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3,003,654</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Exploration and evaluation expenditures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48,881,445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48,881,445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Allseas milestone and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7,016,181</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3b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7,016,181</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1,385,882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1,385,882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relations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857,810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857,810</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Office and sundry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303,006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303,006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663,293</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915,855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915,855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195,101</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Common Share options-based payments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3,263,131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3,263,131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agent and filing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132,821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132,821</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3,003,654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56,604,367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7,016,181</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66,624,202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80,447</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32,730,000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(19,050,000)</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3d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13,680,000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Gain / Interest income</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(69,246)</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(53,435)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69,246</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3a</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(53,435)</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36,542,055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56,631,379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(11,964,573</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81,208,861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w w:val="90"/>
              </w:rPr>
              <w:t>Other comprehensive income to be reclassified to profit and loss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in subsequent periods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differences</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36,542,055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56,631,504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(11,964,573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81,208,986</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Weighted Average Number of Common Shares Outstanding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10,464,651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154,224,664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224,385,324</w:t>
            </w:r>
          </w:p>
        </w:tc>
        <w:tc>
          <w:tcPr>
            <w:tcW w:w="0" w:type="dxa"/>
            <w:vAlign w:val="bottom"/>
          </w:tcPr>
          <w:p>
            <w:pPr>
              <w:spacing w:after="0"/>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historical consolidated financial statements have been adjusted in the unaudited pro forma condensed combined financial statements to give effect to pro forma events that are described elsewhere in this filing and are directly attributable to the Business Combination and factually supportable.</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unaudited pro forma condensed combined financial statements have been prepared for illustrative purposes only and are not necessarily indicative of what the actual results of operations and financial position would have been had the Business Combination and related transactions taken place on the dates indicated, nor do they purport to project the future consolidated results of operations or financial position of the combined company. They should be read in conjunction with the unaudited and audited consolidated financial statements and notes thereto of each of SOAC and DeepGreen as at and for the six months ended June 30, 2021 and the year ended December 31, 2020, respectively, and included elsewhere in this filing.</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significant intercompany balances or transactions between SOAC and DeepGreen as of the date and for the periods of these unaudited pro forma condensed combined financial statements.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TMC is currently negotiating certain employment agreements for the post-closing entity. Based on the preliminary terms, these agreements would result in an increase in compensation cost on a pro forma basis. However, as these employment agreements are preliminary and not yet executed, no pro forma adjustment has been made because such amounts are not known and are deemed not factually supportable at this time.</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ordinary shares outstanding, assuming the Business Combination and related transactions occurred on January 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Unaudited Pro Forma Condensed Combined Balance Sheet Adjustments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 forma adjustments included in the unaudited pro forma condensed combined balance sheet as of June 30, 2021 are as follows:</w:t>
      </w:r>
    </w:p>
    <w:p>
      <w:pPr>
        <w:spacing w:after="0" w:line="237" w:lineRule="exact"/>
        <w:rPr>
          <w:sz w:val="20"/>
          <w:szCs w:val="20"/>
          <w:color w:val="auto"/>
        </w:rPr>
      </w:pPr>
    </w:p>
    <w:p>
      <w:pPr>
        <w:jc w:val="both"/>
        <w:ind w:left="980" w:hanging="324"/>
        <w:spacing w:after="0" w:line="263" w:lineRule="auto"/>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reclassification of $300.1 million of cash and cash equivalents held in SOAC’s trust account offset by actual redemptions of 27.3 million shares for $272.9 million or net reclassification of $27.2 million that becomes available for transaction expenses and operating activities following the Business Combination.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Reflects the gross cash proceeds from the PIPE Financing of 11.0 million TMC Common Shares for $110.3 million from PIPE Investors.</w:t>
      </w:r>
    </w:p>
    <w:p>
      <w:pPr>
        <w:spacing w:after="0" w:line="23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Represents the reclassification of 2.7 million shares ($27.2 million) of $0.0001 par value SOAC ordinary shares to permanent equity which were previously subject to redemption. Of the 30 million shares previously issued with a value of $300.1 million, shareholders redeemed 27.3 million shares for $272.9 million. The reclassified shares are converted to TMC Common Stock with no par.</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elimination of SOAC’s historical deficit.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reclassification of SOAC Class B ordinary shares. 6.8 million Class B ordinary shares will be converted on a one-for-one basis to TMC Common Shares, 0.7 million Class B common shares will be converted to Class J Special Shares and 0.5 million Class I Special Shares, all of which will be issued to the Sponsor group as part of the Business Combination.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Reflects the issuance of 135 million DeepGreen Earnout Shares (Class A through Class H) issued to DeepGreen Shareholders and holders of DeepGreen Options upon the exercise of such DeepGreen Options, as additional consideration for the Business Combination, which will automatically convert in accordance with their terms based on certain TMC Common Share price thresholds.</w:t>
      </w:r>
    </w:p>
    <w:p>
      <w:pPr>
        <w:spacing w:after="0" w:line="165"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Reflects the payment of SOAC and DeepGreen transaction costs of $33.5 million, expected to be incurred related to the closing of the Business Combination. Of that amount, $10.5 million relates to the cash settlement of deferred underwriter compensation incurred as part of SOAC’s IPO to be paid upon the consummation of a Business Combination. The remaining transaction costs of $23.0 million include direct and incremental costs, such as legal, third party advisory, investment banking, other miscellaneous fees and equity financing fees associated with the PIPE Financing described at Note 2(b). Transaction costs previously incurred that are not direct and incremental to the transaction have been included within the historical statement of operations of DeepGreen and SOAC.</w:t>
      </w:r>
    </w:p>
    <w:p>
      <w:pPr>
        <w:spacing w:after="0" w:line="177"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recapitalization of DeepGreen, including the reclassification of historical equity to TMC Common Shares and Additional Paid in Capital.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ind w:left="980" w:hanging="324"/>
        <w:spacing w:after="0" w:line="277" w:lineRule="auto"/>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conversion of DeepGreen’s convertible debentures into DeepGreen Common Shares immediately prior to the Business Combination reflected in equity.</w:t>
      </w:r>
    </w:p>
    <w:p>
      <w:pPr>
        <w:spacing w:after="0" w:line="170" w:lineRule="exact"/>
        <w:rPr>
          <w:rFonts w:ascii="Arial" w:cs="Arial" w:eastAsia="Arial" w:hAnsi="Arial"/>
          <w:sz w:val="18"/>
          <w:szCs w:val="18"/>
          <w:color w:val="auto"/>
        </w:rPr>
      </w:pPr>
    </w:p>
    <w:p>
      <w:pPr>
        <w:jc w:val="both"/>
        <w:ind w:left="980" w:hanging="324"/>
        <w:spacing w:after="0" w:line="288" w:lineRule="auto"/>
        <w:tabs>
          <w:tab w:leader="none" w:pos="9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Reflects the impact of the Third Amendment to the Pilot Mining Test Agreement (“PMTA”) executed on March 4, 2021. This agreement became effective upon the successful completion of the Business Combination and amends previous terms to the Second Amendment to the PMTA. Amount other things, this amendment issues up to 10 million warrants of DeepGreen which will then apply the exchange ratio similar to other DeepGreen Common Shares and allows for three potential milestone payments of $10 million each. The adjustment reflects the accumulated amortization form the beginning of the first amendment as the payments are for R&amp;D related services being evaluated in accordance with ASC 730. The third milestone liability is not determined to be probable at the time of the Business Combination in accordance with ASC 450. The warrants are contingent upon a successful completion of the PMTA as defined therein and will be accounted for under ASC 718 as share based compensation for goods and services with a performance condition. The performance condition is not determined to be probable at the time of the Business Combination and therefore, no adjustment has been reflected related to the warrants. Refer to Note 3(b) for discussion of the impact to the statement of operations associated with this amendment.</w:t>
      </w:r>
    </w:p>
    <w:p>
      <w:pPr>
        <w:spacing w:after="0" w:line="168" w:lineRule="exact"/>
        <w:rPr>
          <w:rFonts w:ascii="Arial" w:cs="Arial" w:eastAsia="Arial" w:hAnsi="Arial"/>
          <w:sz w:val="16"/>
          <w:szCs w:val="16"/>
          <w:color w:val="auto"/>
        </w:rPr>
      </w:pPr>
    </w:p>
    <w:p>
      <w:pPr>
        <w:jc w:val="both"/>
        <w:ind w:left="980" w:hanging="324"/>
        <w:spacing w:after="0" w:line="275" w:lineRule="auto"/>
        <w:tabs>
          <w:tab w:leader="none" w:pos="9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Reflects the reclassification of the public warrants from liability to equity. Upon the closing of the transaction, the public warrants have been determined to meet the indexation criteria and equity classification criteria in accordance with ASC 815-40. The primary change resulting in the reclassification is the change in capital structure whereby a tender offer for the TMC common stock would result in a change in control, primarily resulting from TMC having a single voting class of common stock compared to the two classes of common stock at SOAC. Refer to Note 3(d) for the impact to the statement of operations associated with this reclassification.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Unaudited Pro Forma Condensed Combined Statements of Operations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six months ended June 30, 2021 and the year ended December 31, 2020, are as follows:</w:t>
      </w:r>
    </w:p>
    <w:p>
      <w:pPr>
        <w:spacing w:after="0" w:line="170" w:lineRule="exact"/>
        <w:rPr>
          <w:sz w:val="20"/>
          <w:szCs w:val="20"/>
          <w:color w:val="auto"/>
        </w:rPr>
      </w:pPr>
    </w:p>
    <w:p>
      <w:pPr>
        <w:ind w:left="980" w:hanging="324"/>
        <w:spacing w:after="0" w:line="277"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Represents the elimination of interest income on SOAC’s trust account for the six months ended June 30, 2021 and the year ended December 31, 2020.</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Represents the amortization of the first two milestone payments associated with the third amendment to the PMTA over the effective life of the service period which was determined to start in July 2019 as the effective date of the first contract through September 2023 as the date of expected completion. The expense recognized for the year ended December 31, 2020 includes the expense from July 2019 through December 2020 while the expense included in the six months ended June 30, 2021 represents the amortization of expense for that period. Refer to Note 2(j) for further discussion.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Represents the elimination of the historical interest expense associated with the convertible debentures which converted to DeepGreen common stock immediately prior to the closing of the Business Combination.</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Represents the elimination of $12.2 million of historical fair value gains and $19.1 million of historical fair value losses associated with the public warrants for the six months ended June 30, 2021 and year ended December 31, 2020, respectively. The elimination of these fair value adjustments to the public warrants is a result of the public warrants being classified within equity upon closing of the Business Combination. Refer to Note 2(k)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Weighted Average Shares (Basic and Diluted)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pro forma weighted average shares calculations have been performed for the six months ended June 30, 2021 and for the year ended December 31, 2020. The unaudited condensed combined pro forma loss per share (“LPS”), basic and diluted, are computed by dividing loss by the weighted-average number of shares of common stock outstanding during the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48"/>
        <w:spacing w:after="0" w:line="257" w:lineRule="auto"/>
        <w:rPr>
          <w:sz w:val="20"/>
          <w:szCs w:val="20"/>
          <w:color w:val="auto"/>
        </w:rPr>
      </w:pPr>
      <w:r>
        <w:rPr>
          <w:rFonts w:ascii="Arial" w:cs="Arial" w:eastAsia="Arial" w:hAnsi="Arial"/>
          <w:sz w:val="18"/>
          <w:szCs w:val="18"/>
          <w:color w:val="auto"/>
        </w:rPr>
        <w:t>Prior to the Business Combination, SOAC had two classes of shares: Class A ordinary shares and Class B ordinary shares. The Class B ordinary shares are held by the Sponsor and directors. In connection with the closing of the Business Combination, each currently issued and outstanding SOAC Class B ordinary share not converted into Sponsor Earnout Shares automatically converted on a one-for-one basis, into SOAC Class A ordinary shares. Each currently issued and outstanding SOAC Class A ordinary share has been renamed, and will have the rights and restrictions attached to the, TMC Common Shares.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SOAC has 15 million outstanding public warrants sold during its initial public offering and 9.5 million warrants sold in a private placement, resulting in warrants to purchase an aggregate of 24.5 million Class A ordinary shares following the initial public offering. The warrants are exercisable at $11.50 per share which exceeded the average market price of SOAC’s Class A ordinary shares for the six months ended June 30, 2021 and the year ended December 31, 2020, and were considered anti-dilutive and excluded from the loss per share calculation. These warrants continue through to become warrants of TMC with the same rights.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Business Combination, a total of 136.2 million TMC Special Shares are outstanding (or will be underlying outstanding options) and convertible into TMC Common Shares if the TMC Common Share applicable price threshold is exceeded following the closing of the Business Combination. Because these underlying TMC Common Shares are contingently issuable based upon the price of the TMC Common Shares reaching specified thresholds that are not currently met, these contingent shares have been excluded from basic loss per share. The TMC Special Shares should be considered for diluted loss per share, however, these securities would be anti-dilutive given the historical pro forma net loss and have therefore, been excluded from diluted pro forma loss per share.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the normal course of business, DeepGreen issued warrants to Allseas that shall be assumed by TMC upon consummation of the Business Combination and become exercisable into a variable number of TMC Common Shares, contingent upon the successful completion of the PMTS. The amount of TMC Common Shares to be issued upon exercise of the Allseas Warrant will vary depending on the date of successful completion of the PMTS. The Allseas Warrant has an exercise price of $0.01 per TMC Common Share and is not considered dilutive until the successful completion of the PMTS.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As a result, pro forma diluted LPS is the same as pro forma basic LPS for the periods presented.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 the six</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months 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Pro Forma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shareholders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82,862,413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81,208,861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7"/>
              </w:rPr>
              <w:t>224,385,324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7"/>
              </w:rPr>
              <w:t>224,385,324</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SOAC Public Shareholders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2,721,343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2,721,343</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SOAC Initial Shareholders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6,759,000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SOAC</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9,480,343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9,480,343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DeepGreen Metals shareholders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203,874,981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203,874,981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Pro Forma Weighted Average Shares - basic and diluted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224,385,324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224,385,324</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760" w:type="dxa"/>
            <w:vAlign w:val="bottom"/>
            <w:gridSpan w:val="2"/>
          </w:tcPr>
          <w:p>
            <w:pPr>
              <w:ind w:left="840"/>
              <w:spacing w:after="0"/>
              <w:rPr>
                <w:sz w:val="20"/>
                <w:szCs w:val="20"/>
                <w:color w:val="auto"/>
              </w:rPr>
            </w:pPr>
            <w:r>
              <w:rPr>
                <w:rFonts w:ascii="Arial" w:cs="Arial" w:eastAsia="Arial" w:hAnsi="Arial"/>
                <w:sz w:val="18"/>
                <w:szCs w:val="18"/>
                <w:b w:val="1"/>
                <w:bCs w:val="1"/>
                <w:color w:val="auto"/>
                <w:w w:val="89"/>
              </w:rPr>
              <w:t>Exhibit 99.2</w:t>
            </w:r>
          </w:p>
        </w:tc>
      </w:tr>
      <w:tr>
        <w:trPr>
          <w:trHeight w:val="414"/>
        </w:trPr>
        <w:tc>
          <w:tcPr>
            <w:tcW w:w="9480" w:type="dxa"/>
            <w:vAlign w:val="bottom"/>
          </w:tcPr>
          <w:p>
            <w:pPr>
              <w:ind w:left="4460"/>
              <w:spacing w:after="0"/>
              <w:rPr>
                <w:sz w:val="20"/>
                <w:szCs w:val="20"/>
                <w:color w:val="auto"/>
              </w:rPr>
            </w:pPr>
            <w:r>
              <w:rPr>
                <w:rFonts w:ascii="Arial" w:cs="Arial" w:eastAsia="Arial" w:hAnsi="Arial"/>
                <w:sz w:val="18"/>
                <w:szCs w:val="18"/>
                <w:b w:val="1"/>
                <w:bCs w:val="1"/>
                <w:color w:val="auto"/>
              </w:rPr>
              <w:t>DEEPGREEN METALS INC.</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948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9"/>
        </w:trPr>
        <w:tc>
          <w:tcPr>
            <w:tcW w:w="9480" w:type="dxa"/>
            <w:vAlign w:val="bottom"/>
          </w:tcPr>
          <w:p>
            <w:pPr>
              <w:spacing w:after="0"/>
              <w:rPr>
                <w:sz w:val="20"/>
                <w:szCs w:val="20"/>
                <w:color w:val="auto"/>
              </w:rPr>
            </w:pPr>
            <w:r>
              <w:rPr>
                <w:rFonts w:ascii="Arial" w:cs="Arial" w:eastAsia="Arial" w:hAnsi="Arial"/>
                <w:sz w:val="18"/>
                <w:szCs w:val="18"/>
                <w:b w:val="1"/>
                <w:bCs w:val="1"/>
                <w:color w:val="auto"/>
              </w:rPr>
              <w:t>Condensed Financial Statements (Unaudited)</w:t>
            </w:r>
          </w:p>
        </w:tc>
        <w:tc>
          <w:tcPr>
            <w:tcW w:w="98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Balance Sheets as of June 30, 2021 and December 31, 2020</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2</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w w:val="97"/>
              </w:rPr>
              <w:t>Condensed Consolidated Statements of Loss and Comprehensive Loss for the six months ended June 30, 2021 and 2020</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3</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Statements of Cash Flows for the six months ended June 30, 2021 and 2020</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4</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Statements of Changes in Shareholders’ Equity</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5</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Notes to the Condensed Consolidated Financial Statements</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6</w:t>
            </w:r>
          </w:p>
        </w:tc>
      </w:tr>
      <w:tr>
        <w:trPr>
          <w:trHeight w:val="439"/>
        </w:trPr>
        <w:tc>
          <w:tcPr>
            <w:tcW w:w="9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As at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June 30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16,880,031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10,096,205</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Receivables and prepayments</w:t>
            </w: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55,116</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128,772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16,935,147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10,224,977</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licenses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43,150,319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43,150,319</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Equipment</w:t>
            </w: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1,515,101</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1,309,677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44,665,420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44,459,996</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61,600,567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9,033,765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4,315,477</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acquisition costs</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3,440,000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9,033,765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7,755,477</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debentures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26,160,589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tax liability</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10,675,366</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10,675,366</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45,869,720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18,430,843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8"/>
              </w:rPr>
              <w:t xml:space="preserve">Common shares </w:t>
            </w:r>
            <w:r>
              <w:rPr>
                <w:rFonts w:ascii="Arial" w:cs="Arial" w:eastAsia="Arial" w:hAnsi="Arial"/>
                <w:sz w:val="18"/>
                <w:szCs w:val="18"/>
                <w:b w:val="1"/>
                <w:bCs w:val="1"/>
                <w:i w:val="1"/>
                <w:iCs w:val="1"/>
                <w:color w:val="auto"/>
                <w:w w:val="98"/>
              </w:rPr>
              <w:t>(unlimited shares, no par value – issued: 170,827,222 (December 31, 2020 –</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188,900,923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163,658,134)</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154,431,291</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Preferred shares </w:t>
            </w:r>
            <w:r>
              <w:rPr>
                <w:rFonts w:ascii="Arial" w:cs="Arial" w:eastAsia="Arial" w:hAnsi="Arial"/>
                <w:sz w:val="18"/>
                <w:szCs w:val="18"/>
                <w:b w:val="1"/>
                <w:bCs w:val="1"/>
                <w:i w:val="1"/>
                <w:iCs w:val="1"/>
                <w:color w:val="auto"/>
                <w:w w:val="95"/>
              </w:rPr>
              <w:t>(unlimited share, no par value – issued: 440,000 (December 31, 2020 - 440,000)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Additional Paid in Capital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74,068,708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45,346,696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(1,215,685)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(1,215,659)</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Deficit</w:t>
            </w: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(246,573,099)</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(162,858,198)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15,730,847</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36,254,130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61,600,567</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41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 (except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six months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41"/>
        </w:trPr>
        <w:tc>
          <w:tcPr>
            <w:tcW w:w="754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54,736,036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31,187,993</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1,039,425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350,591</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relations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2,582,554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293,882</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Office and sundry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209,518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149,037</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4,695,779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731,098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467,852</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fees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155,034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111,130</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Common Share options-based payments</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18,684,122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33,760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agent and filing fees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r>
      <w:tr>
        <w:trPr>
          <w:trHeight w:val="236"/>
        </w:trPr>
        <w:tc>
          <w:tcPr>
            <w:tcW w:w="7540" w:type="dxa"/>
            <w:vAlign w:val="bottom"/>
          </w:tcPr>
          <w:p>
            <w:pPr>
              <w:ind w:left="180"/>
              <w:spacing w:after="0"/>
              <w:rPr>
                <w:sz w:val="20"/>
                <w:szCs w:val="20"/>
                <w:color w:val="auto"/>
              </w:rPr>
            </w:pPr>
            <w:r>
              <w:rPr>
                <w:rFonts w:ascii="Arial" w:cs="Arial" w:eastAsia="Arial" w:hAnsi="Arial"/>
                <w:sz w:val="18"/>
                <w:szCs w:val="18"/>
                <w:color w:val="auto"/>
              </w:rPr>
              <w:t>Travel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164,963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99,170</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83,001,809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Foreign exchange loss (gain)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52,503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(3,089)</w:t>
            </w:r>
          </w:p>
        </w:tc>
      </w:tr>
      <w:tr>
        <w:trPr>
          <w:trHeight w:val="237"/>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660,589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(50,918)</w:t>
            </w:r>
          </w:p>
        </w:tc>
      </w:tr>
      <w:tr>
        <w:trPr>
          <w:trHeight w:val="216"/>
        </w:trPr>
        <w:tc>
          <w:tcPr>
            <w:tcW w:w="7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83,714,901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32,760,205</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Other comprehensive income to be reclassified to profit and loss in subsequent periods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Currency translation loss (gain)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b w:val="1"/>
                <w:bCs w:val="1"/>
                <w:color w:val="auto"/>
              </w:rPr>
              <w:t>Comprehensive loss for the period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83,714,927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32,760,449</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r>
      <w:tr>
        <w:trPr>
          <w:trHeight w:val="216"/>
        </w:trPr>
        <w:tc>
          <w:tcPr>
            <w:tcW w:w="7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167,943,190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146,970,289</w:t>
            </w:r>
          </w:p>
        </w:tc>
      </w:tr>
      <w:tr>
        <w:trPr>
          <w:trHeight w:val="419"/>
        </w:trPr>
        <w:tc>
          <w:tcPr>
            <w:tcW w:w="7540" w:type="dxa"/>
            <w:vAlign w:val="bottom"/>
            <w:tcBorders>
              <w:top w:val="single" w:sz="8" w:color="CCEEFF"/>
            </w:tcBorders>
          </w:tcPr>
          <w:p>
            <w:pPr>
              <w:ind w:left="4740"/>
              <w:spacing w:after="0"/>
              <w:rPr>
                <w:sz w:val="20"/>
                <w:szCs w:val="20"/>
                <w:color w:val="auto"/>
              </w:rPr>
            </w:pPr>
            <w:r>
              <w:rPr>
                <w:rFonts w:ascii="Arial" w:cs="Arial" w:eastAsia="Arial" w:hAnsi="Arial"/>
                <w:sz w:val="18"/>
                <w:szCs w:val="18"/>
                <w:color w:val="auto"/>
              </w:rPr>
              <w:t>See accompanying notes</w:t>
            </w: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55"/>
        </w:trPr>
        <w:tc>
          <w:tcPr>
            <w:tcW w:w="75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6"/>
              </w:rPr>
              <w:t>six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9"/>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54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(83,714,901)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(32,760,205)</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Items not affecting cash:</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196,452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280,528</w:t>
            </w: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Expenses settled in share-based payments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60,128,488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13,128,234</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Changes in non-cash working capital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73,656</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(42,279)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4,718,288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1,762,030</w:t>
            </w:r>
          </w:p>
        </w:tc>
        <w:tc>
          <w:tcPr>
            <w:tcW w:w="80" w:type="dxa"/>
            <w:vAlign w:val="bottom"/>
          </w:tcPr>
          <w:p>
            <w:pPr>
              <w:spacing w:after="0"/>
              <w:rPr>
                <w:sz w:val="18"/>
                <w:szCs w:val="18"/>
                <w:color w:val="auto"/>
              </w:rPr>
            </w:pPr>
          </w:p>
        </w:tc>
      </w:tr>
      <w:tr>
        <w:trPr>
          <w:trHeight w:val="24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convertible debentures and investments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660,589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50,918</w:t>
            </w:r>
          </w:p>
        </w:tc>
      </w:tr>
      <w:tr>
        <w:trPr>
          <w:trHeight w:val="210"/>
        </w:trPr>
        <w:tc>
          <w:tcPr>
            <w:tcW w:w="75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(17,945,458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(17,576,957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Acquisition of exploration license</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(3,440,000)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(607,376)</w:t>
            </w: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(401,876)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5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(3,841,876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(607,376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2,563,156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debentures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26,000,000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7540" w:type="dxa"/>
            <w:vAlign w:val="bottom"/>
          </w:tcPr>
          <w:p>
            <w:pPr>
              <w:spacing w:after="0"/>
              <w:rPr>
                <w:sz w:val="20"/>
                <w:szCs w:val="20"/>
                <w:color w:val="auto"/>
              </w:rPr>
            </w:pPr>
            <w:r>
              <w:rPr>
                <w:rFonts w:ascii="Arial" w:cs="Arial" w:eastAsia="Arial" w:hAnsi="Arial"/>
                <w:sz w:val="18"/>
                <w:szCs w:val="18"/>
                <w:color w:val="auto"/>
              </w:rPr>
              <w:t>Proceeds from issuance of common shares (net of fees and other costs)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11,842,521</w:t>
            </w:r>
          </w:p>
        </w:tc>
      </w:tr>
      <w:tr>
        <w:trPr>
          <w:trHeight w:val="223"/>
        </w:trPr>
        <w:tc>
          <w:tcPr>
            <w:tcW w:w="75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28,563,156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11,842,521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6,775,822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(6,341,812)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Impact of exchange rate changes on cash and 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8,004</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(4,060)</w:t>
            </w: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10,096,205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15,950,624</w:t>
            </w:r>
          </w:p>
        </w:tc>
      </w:tr>
      <w:tr>
        <w:trPr>
          <w:trHeight w:val="210"/>
        </w:trPr>
        <w:tc>
          <w:tcPr>
            <w:tcW w:w="7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16,880,031</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9,604,752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(Note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28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Preferred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Paid in</w:t>
            </w:r>
          </w:p>
        </w:tc>
        <w:tc>
          <w:tcPr>
            <w:tcW w:w="128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88"/>
              </w:rPr>
              <w:t>Comprehensive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128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0"/>
              </w:rPr>
              <w:t>Loss</w:t>
            </w:r>
          </w:p>
        </w:tc>
        <w:tc>
          <w:tcPr>
            <w:tcW w:w="12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8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154,431,291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45,346,696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(1,215,659)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(162,858,198)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36,254,130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Exercise of incentive stock options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8,257,763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(5,702,107)</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2,555,656</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shares issued for exploration expenses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25,663,869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(12,879,057)</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12,784,812</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Conversion of debentures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Share options-payments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47,295,676</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47,295,676</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48,000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shares to be issued for options exercise</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(83,714,901)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(83,714,901)</w:t>
            </w:r>
          </w:p>
        </w:tc>
      </w:tr>
      <w:tr>
        <w:trPr>
          <w:trHeight w:val="210"/>
        </w:trPr>
        <w:tc>
          <w:tcPr>
            <w:tcW w:w="3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June 30, 2021</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188,900,923</w:t>
            </w: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550,000</w:t>
            </w: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74,068,708</w:t>
            </w:r>
          </w:p>
        </w:tc>
        <w:tc>
          <w:tcPr>
            <w:tcW w:w="12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(1,215,685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(246,573,099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15,730,847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79,824,445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35,255,520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(1,215,534)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(106,226,819)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8,187,612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Private placement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11,843,215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11,343,215</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Financing cost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(26,260)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shares issued for TOML Acquisition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27,999,997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27,999,997</w:t>
            </w:r>
          </w:p>
        </w:tc>
        <w:tc>
          <w:tcPr>
            <w:tcW w:w="8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to be issued for exploration</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11,727,454</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11,727,454</w:t>
            </w:r>
          </w:p>
        </w:tc>
        <w:tc>
          <w:tcPr>
            <w:tcW w:w="8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 options-payments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(322,150)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556,265</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234,115</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Services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24,745,638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(14,745,638)</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(32,760,205)</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(32,760,205)</w:t>
            </w:r>
          </w:p>
        </w:tc>
      </w:tr>
      <w:tr>
        <w:trPr>
          <w:trHeight w:val="210"/>
        </w:trPr>
        <w:tc>
          <w:tcPr>
            <w:tcW w:w="3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June 30, 2020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144,064,885</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550,000</w:t>
            </w: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32,293,601</w:t>
            </w: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(1,215,778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(138,987,024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36,705,684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340" w:right="20"/>
        <w:spacing w:after="0" w:line="341" w:lineRule="auto"/>
        <w:rPr>
          <w:rFonts w:ascii="Arial" w:cs="Arial" w:eastAsia="Arial" w:hAnsi="Arial"/>
          <w:sz w:val="18"/>
          <w:szCs w:val="18"/>
          <w:b w:val="1"/>
          <w:bCs w:val="1"/>
          <w:color w:val="auto"/>
        </w:rPr>
      </w:pPr>
      <w:r>
        <w:rPr>
          <w:rFonts w:ascii="Arial" w:cs="Arial" w:eastAsia="Arial" w:hAnsi="Arial"/>
          <w:sz w:val="16"/>
          <w:szCs w:val="16"/>
          <w:color w:val="auto"/>
        </w:rPr>
        <w:t>DeepGreen Metals Inc. (“DeepGreen” or the “Company”) is incorporated under the laws of the Province of British Columbia, Canada. The Company’s corporate office, registered address and records office is located at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595 Howe Street, Vancouver, British Columbia, Canada, V6C 2T5.</w:t>
      </w:r>
    </w:p>
    <w:p>
      <w:pPr>
        <w:spacing w:after="0" w:line="2" w:lineRule="exact"/>
        <w:rPr>
          <w:rFonts w:ascii="Arial" w:cs="Arial" w:eastAsia="Arial" w:hAnsi="Arial"/>
          <w:sz w:val="18"/>
          <w:szCs w:val="18"/>
          <w:b w:val="1"/>
          <w:bCs w:val="1"/>
          <w:color w:val="auto"/>
        </w:rPr>
      </w:pPr>
    </w:p>
    <w:p>
      <w:pPr>
        <w:ind w:left="340" w:right="20"/>
        <w:spacing w:after="0" w:line="270" w:lineRule="auto"/>
        <w:rPr>
          <w:rFonts w:ascii="Arial" w:cs="Arial" w:eastAsia="Arial" w:hAnsi="Arial"/>
          <w:sz w:val="18"/>
          <w:szCs w:val="18"/>
          <w:b w:val="1"/>
          <w:bCs w:val="1"/>
          <w:color w:val="auto"/>
        </w:rPr>
      </w:pPr>
      <w:r>
        <w:rPr>
          <w:rFonts w:ascii="Arial" w:cs="Arial" w:eastAsia="Arial" w:hAnsi="Arial"/>
          <w:sz w:val="16"/>
          <w:szCs w:val="16"/>
          <w:color w:val="auto"/>
        </w:rPr>
        <w:t>DeepGreen is a Canadian company engaged in seafloor mineral exploration in the Clarion Clipperton Zone (the “CCZ”), approximately 2,000 km west of Mexico in the East Pacific Ocean, a region that hosts high grade polymetallic nodules containing manganese, nickel, copper and cobalt. DeepGreen is considered to have mining operations and mining properties in accordance with US Securities and Exchange Commission (“SEC”) regulations. The Company is also developing technology for onshore processing of polymetallic nodules as well as working with Allseas Group S.A (“Allseas”) to develop a system to collect, lift and transport nodules to shore. DeepGreen’s wholly-owned subsidiary, Nauru Ocean Resources Inc. (“NORI”), sponsored by the Republic of Nauru, was granted an exploration license by the International Seabed Authority (the “ISA”) in July 2011 granting NORI exclusive rights to explore for polymetallic nodules in a region of the CCZ covering 74,830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allocated to the Republic of Nauru (“NORI Area”). Similarly, through Marawa Research and Exploration Limited (“Marawa”), DeepGreen was equally granted rights by the ISA to polymetallic nodules exploration in an area of 74,990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the CCZ allocated to the Republic of Kiribati. The Company entered into an option agreement with Marawa to purchase such tenements granted to exclusively collect nodules from this area in return for a royalty payable to Marawa. During the year ended December 31, 2020, DeepGreen acquired Tonga Offshore Mining Limited (“TOML”), which was granted an exploration license by the ISA in January 2012 and has exclusive rights to explore for polymetallic nodules covering 74,713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the CCZ under the supervision of the Kingdom of Tonga.</w:t>
      </w:r>
    </w:p>
    <w:p>
      <w:pPr>
        <w:spacing w:after="0" w:line="57" w:lineRule="exact"/>
        <w:rPr>
          <w:rFonts w:ascii="Arial" w:cs="Arial" w:eastAsia="Arial" w:hAnsi="Arial"/>
          <w:sz w:val="18"/>
          <w:szCs w:val="18"/>
          <w:b w:val="1"/>
          <w:bCs w:val="1"/>
          <w:color w:val="auto"/>
        </w:rPr>
      </w:pPr>
    </w:p>
    <w:p>
      <w:pPr>
        <w:jc w:val="both"/>
        <w:ind w:left="340" w:right="4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4, 2021, the Company and Sustainable Opportunities Acquisition Corporation (“SOAC”), a NYSE listed Special Purpose Acquisition Corporation (“SPAC”), entered into a business combination agreement (the “BCA”) in which SOAC would merge with DeepGreen pursuant to a proposed combination and relist on the NASDAQ (the “Business Combination”). The new entity will be renamed TMC the metals company Inc. (“TMC”) in connection with the Business Combination.</w:t>
      </w:r>
    </w:p>
    <w:p>
      <w:pPr>
        <w:spacing w:after="0" w:line="186" w:lineRule="exact"/>
        <w:rPr>
          <w:rFonts w:ascii="Arial" w:cs="Arial" w:eastAsia="Arial" w:hAnsi="Arial"/>
          <w:sz w:val="18"/>
          <w:szCs w:val="18"/>
          <w:b w:val="1"/>
          <w:bCs w:val="1"/>
          <w:color w:val="auto"/>
        </w:rPr>
      </w:pPr>
    </w:p>
    <w:p>
      <w:pPr>
        <w:ind w:left="34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share-based consideration in SOAC, each DeepGreen shareholder would receive special shares (the “DeepGreen Earnout Shares”). These DeepGreen Earnout Shares would vest and be issued to each DeepGreen shareholder when TMC’s share price trades above certain thresholds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Share price ($)</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DeepGreen Earnout Shares (mil)</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w:t>
            </w:r>
          </w:p>
        </w:tc>
      </w:tr>
    </w:tbl>
    <w:p>
      <w:pPr>
        <w:spacing w:after="0" w:line="18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Similarly, in connection with the transaction, the SOAC sponsors will also be entitled to additional 0.5 million special shares when the share price of TMC trades at $50.00.</w:t>
      </w:r>
    </w:p>
    <w:p>
      <w:pPr>
        <w:spacing w:after="0" w:line="170"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The Business Combination closed on September 9, 2021 (refer to note 12 for details). In connection with the Business Combination, SOAC, a Cayman entity, redomiciled to Canada. Accordingly, DeepGreen remains a Canadian entity and became a wholly-owned subsidiary of TMC, which is listed in the United States on the NASDAQ.</w:t>
      </w:r>
    </w:p>
    <w:p>
      <w:pPr>
        <w:spacing w:after="0" w:line="184" w:lineRule="exact"/>
        <w:rPr>
          <w:sz w:val="20"/>
          <w:szCs w:val="20"/>
          <w:color w:val="auto"/>
        </w:rPr>
      </w:pPr>
    </w:p>
    <w:p>
      <w:pPr>
        <w:ind w:left="340" w:right="120"/>
        <w:spacing w:after="0" w:line="296" w:lineRule="auto"/>
        <w:rPr>
          <w:sz w:val="20"/>
          <w:szCs w:val="20"/>
          <w:color w:val="auto"/>
        </w:rPr>
      </w:pPr>
      <w:r>
        <w:rPr>
          <w:rFonts w:ascii="Arial" w:cs="Arial" w:eastAsia="Arial" w:hAnsi="Arial"/>
          <w:sz w:val="16"/>
          <w:szCs w:val="16"/>
          <w:color w:val="auto"/>
        </w:rPr>
        <w:t>The recovery of the Company’s exploration licenses and attainment of profitable operations is dependent upon many factors including, among other things: financing being arranged by the Company to continue operations, explore and develop the ocean floor for the extraction of polymetallic nodules as well as develop processing technology for the treatment of polymetallic nodules, the establishment of a mineable resource, the commercial and technical feasibility of seafloor polymetallic nodule mining and processing, metal prices, and regulatory approval for mining and environmental permitting. The outcome of these matters cannot presently be determined because they are contingent on future events.</w:t>
      </w:r>
    </w:p>
    <w:p>
      <w:pPr>
        <w:spacing w:after="0" w:line="161"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Despite the expected completion of the Business Combination, the Company will require additional funding in the future for administration and to execute its exploration and development plans. While the Company has been successful in obtaining its required funding in the past, there is no assurance that such financing will continue to be available. Factors that could affect the availability of financing include, among other things, progress and exploration results, the state of international debt and equity markets, investor perceptions and expectations, and the global financial and metals markets.</w:t>
      </w:r>
    </w:p>
    <w:p>
      <w:pPr>
        <w:spacing w:after="0" w:line="188" w:lineRule="exact"/>
        <w:rPr>
          <w:sz w:val="20"/>
          <w:szCs w:val="20"/>
          <w:color w:val="auto"/>
        </w:rPr>
      </w:pPr>
    </w:p>
    <w:p>
      <w:pPr>
        <w:ind w:left="340" w:right="200"/>
        <w:spacing w:after="0" w:line="301" w:lineRule="auto"/>
        <w:rPr>
          <w:sz w:val="20"/>
          <w:szCs w:val="20"/>
          <w:color w:val="auto"/>
        </w:rPr>
      </w:pPr>
      <w:r>
        <w:rPr>
          <w:rFonts w:ascii="Arial" w:cs="Arial" w:eastAsia="Arial" w:hAnsi="Arial"/>
          <w:sz w:val="16"/>
          <w:szCs w:val="16"/>
          <w:color w:val="auto"/>
        </w:rPr>
        <w:t>Since March 2020, several measures have been implemented by the governments in Canada, the United States, Australia, and the rest of the world in the form of office closures and limiting the movement of personnel in response to the increased impact from the novel coronavirus (“COVID-19”). While the impact of COVID-19 is expected to be temporary, the current circumstances are dynamic and the impact on our business operations, exploration and development plans, results of operations, financial position, and cash flows cannot be reasonably estimated at this time.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340" w:right="7480" w:hanging="332"/>
        <w:spacing w:after="0" w:line="503" w:lineRule="auto"/>
        <w:tabs>
          <w:tab w:leader="none" w:pos="3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340" w:right="2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These unaudited condensed consolidated financial statements are prepared in accordance with US Generally Accepted Accounting Principles (“US GAAP”) for interim financial statements. Accordingly, certain information and footnote disclosures required by US GAAP have been condensed or omitted in these unaudited consolidated financial statements pursuant to such rules and regulation. In management’s opinion, these unaudited consolidated interim financial statements include all adjustments of a normal recurring nature necessary for the fair presentation of the Company’s statement of financial position, operating results for the periods presented, comprehensive loss, stockholder’s equity and cash flows for the interim periods, but are not necessarily indicative of the results of operations to be expected for the full year ending December 31, 2021 or for any other period. These unaudited condensed consolidated financial statements should be read in conjunction with the audited annual consolidated financial statements for the year ended December 31, 2020. The Company has applied the same accounting policies as in the prior year.</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8"/>
          <w:szCs w:val="18"/>
          <w:b w:val="1"/>
          <w:bCs w:val="1"/>
          <w:color w:val="auto"/>
        </w:rPr>
      </w:pPr>
    </w:p>
    <w:p>
      <w:pPr>
        <w:ind w:left="3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condensed consolidated financial statements have been prepared under the historical cost convention and are presented in United States (“US”) dollars.</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unaudited consolidated financial statements and the notes thereto. Significant estimates and assumptions reflected in these unaudited consolidated financial statements include, but are not limited to, the valuation of common-share based payments, including valuation of the incentive stock options (Note 7) and the common shares issued to Maersk Supply Service A/S (“Maersk”) (Note 4 &amp; 6). Actual results could differ materially from those estimates.</w:t>
      </w:r>
    </w:p>
    <w:p>
      <w:pPr>
        <w:spacing w:after="0" w:line="1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Debt with Conversion and Other Options</w:t>
      </w:r>
    </w:p>
    <w:p>
      <w:pPr>
        <w:spacing w:after="0" w:line="229" w:lineRule="exact"/>
        <w:rPr>
          <w:sz w:val="20"/>
          <w:szCs w:val="20"/>
          <w:color w:val="auto"/>
        </w:rPr>
      </w:pPr>
    </w:p>
    <w:p>
      <w:pPr>
        <w:ind w:left="340" w:right="120"/>
        <w:spacing w:after="0" w:line="288" w:lineRule="auto"/>
        <w:rPr>
          <w:sz w:val="20"/>
          <w:szCs w:val="20"/>
          <w:color w:val="auto"/>
        </w:rPr>
      </w:pPr>
      <w:r>
        <w:rPr>
          <w:rFonts w:ascii="Arial" w:cs="Arial" w:eastAsia="Arial" w:hAnsi="Arial"/>
          <w:sz w:val="16"/>
          <w:szCs w:val="16"/>
          <w:color w:val="auto"/>
        </w:rPr>
        <w:t xml:space="preserve">In August 2020, the Financial Accounting Standards Board (the “FASB”) issued Accounting Standards Update (“ASU” 2020-08, </w:t>
      </w:r>
      <w:r>
        <w:rPr>
          <w:rFonts w:ascii="Arial" w:cs="Arial" w:eastAsia="Arial" w:hAnsi="Arial"/>
          <w:sz w:val="16"/>
          <w:szCs w:val="16"/>
          <w:i w:val="1"/>
          <w:iCs w:val="1"/>
          <w:color w:val="auto"/>
        </w:rPr>
        <w:t>“Debt –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 (Subtopic 470-20) and Derivative and Hedging – Contracts in Entity’s Own Equity (Subtopic 815-40)”</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simplifies the accounting for convertible instruments by reducing the number of accounting models and requiring that a convertible instrument be accounted for as a single liability measured at amortized cost. Further the ASU 2020-08 amends the earnings per share guidance by requiring the diluted earnings per share calculation for convertible instruments to follow the if-converted method, with the use of the treasury stock method no longer permitted. The ASU 2020-08 is effective for fiscal period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5).</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rFonts w:ascii="Arial" w:cs="Arial" w:eastAsia="Arial" w:hAnsi="Arial"/>
          <w:sz w:val="18"/>
          <w:szCs w:val="18"/>
          <w:b w:val="1"/>
          <w:bCs w:val="1"/>
          <w:color w:val="auto"/>
        </w:rPr>
      </w:pPr>
    </w:p>
    <w:p>
      <w:pPr>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March 31, 2020, the Company entered into an acquisition agreement (“TOML Acquisition”) to acquire the nodules business unit of Tonga Offshore Mining Ltd (“TOML”) and other entities in the group (the “TOML Group”), from Deep Sea Mining Finance Ltd. (“Deep Sea Mining”). Total purchase price of the TOML Acquisition, before transaction costs, was $32,000,000. TOML holds an ISA Exploration Contract in the CCZ (“TOML Exploration Contract”). The TOML Acquisition includes the exclusive rights held by TOML to explore for 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a priority right to apply for an exploitation contract to mine polymetallic nodules in the same area, and some exploration related equipment. The TOML group also holds various patents and an application right with respect to a prospecting exploration license in the Republic of Kiribati.</w:t>
      </w:r>
    </w:p>
    <w:p>
      <w:pPr>
        <w:spacing w:after="0" w:line="206" w:lineRule="exact"/>
        <w:rPr>
          <w:rFonts w:ascii="Arial" w:cs="Arial" w:eastAsia="Arial" w:hAnsi="Arial"/>
          <w:sz w:val="18"/>
          <w:szCs w:val="18"/>
          <w:b w:val="1"/>
          <w:bCs w:val="1"/>
          <w:color w:val="auto"/>
        </w:rPr>
      </w:pPr>
    </w:p>
    <w:p>
      <w:pPr>
        <w:ind w:left="34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purchase price of $32,000,000 was settled through initial cash payments of $500,000 in two tranches of $250,000 each (paid on March 31, 2020 and May 31, 2020, respectively), issuance of 7,777,777 common shares of the Company, $60,000 payment to ISA on behalf of Deep Sea Mining and deferred consideration of $3.44 million to be paid on January 31, 2021. As long as the deferred consideration remains outstanding, it is secured by the shares of the TOML Group. The Common Share consideration paid by the Company was valued at $3.60 per share, based on the recent private placements completed by the Company, for a total of $28 million.</w:t>
      </w:r>
    </w:p>
    <w:p>
      <w:pPr>
        <w:spacing w:after="0" w:line="187" w:lineRule="exact"/>
        <w:rPr>
          <w:rFonts w:ascii="Arial" w:cs="Arial" w:eastAsia="Arial" w:hAnsi="Arial"/>
          <w:sz w:val="18"/>
          <w:szCs w:val="18"/>
          <w:b w:val="1"/>
          <w:bCs w:val="1"/>
          <w:color w:val="auto"/>
        </w:rPr>
      </w:pPr>
    </w:p>
    <w:p>
      <w:pPr>
        <w:ind w:left="34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had the option of settling the deferred consideration in either cash or Common Shares of the Company at its sole discretion. During January 2021, the arrangement with Deep Sea Mining was amended to pay the entire deferred consideration with cash in tranches by June 30, 2021.</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incurred legal and regulatory fees to complete the acquisition, totalling $47,375.</w:t>
      </w:r>
    </w:p>
    <w:p>
      <w:pPr>
        <w:spacing w:after="0" w:line="225" w:lineRule="exact"/>
        <w:rPr>
          <w:rFonts w:ascii="Arial" w:cs="Arial" w:eastAsia="Arial" w:hAnsi="Arial"/>
          <w:sz w:val="18"/>
          <w:szCs w:val="18"/>
          <w:b w:val="1"/>
          <w:bCs w:val="1"/>
          <w:color w:val="auto"/>
        </w:rPr>
      </w:pPr>
    </w:p>
    <w:p>
      <w:pPr>
        <w:ind w:left="34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Consequently, the total cost of the transaction was primarily allocated to exploration licenses.</w:t>
      </w:r>
    </w:p>
    <w:p>
      <w:pPr>
        <w:spacing w:after="0" w:line="1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net assets acquired as part of the TOML acquisition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0"/>
        </w:trPr>
        <w:tc>
          <w:tcPr>
            <w:tcW w:w="9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(7,777,777 @ $3.60)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27,999,997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47,375</w:t>
            </w: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3,440,000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32,047,372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Allocated to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Exploration licenses (Note 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42,701,464</w:t>
            </w:r>
          </w:p>
        </w:tc>
      </w:tr>
      <w:tr>
        <w:trPr>
          <w:trHeight w:val="270"/>
        </w:trPr>
        <w:tc>
          <w:tcPr>
            <w:tcW w:w="100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Deferred tax liability</w:t>
            </w:r>
            <w:r>
              <w:rPr>
                <w:rFonts w:ascii="Arial" w:cs="Arial" w:eastAsia="Arial" w:hAnsi="Arial"/>
                <w:sz w:val="29"/>
                <w:szCs w:val="29"/>
                <w:color w:val="auto"/>
                <w:vertAlign w:val="superscript"/>
              </w:rPr>
              <w:t>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(10,675,366)</w:t>
            </w:r>
          </w:p>
        </w:tc>
      </w:tr>
      <w:tr>
        <w:trPr>
          <w:trHeight w:val="27"/>
        </w:trPr>
        <w:tc>
          <w:tcPr>
            <w:tcW w:w="9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right="620" w:hanging="332"/>
        <w:spacing w:after="0" w:line="277" w:lineRule="auto"/>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deferred tax liability of $10,675,366 was recognized by the Company on acquisition during the year ended December 31, 2020 related to the difference between the book value and the tax basis of the TOML exploration license.</w:t>
      </w:r>
    </w:p>
    <w:p>
      <w:pPr>
        <w:spacing w:after="0" w:line="170" w:lineRule="exact"/>
        <w:rPr>
          <w:rFonts w:ascii="Arial" w:cs="Arial" w:eastAsia="Arial" w:hAnsi="Arial"/>
          <w:sz w:val="18"/>
          <w:szCs w:val="18"/>
          <w:color w:val="auto"/>
        </w:rPr>
      </w:pPr>
    </w:p>
    <w:p>
      <w:pPr>
        <w:ind w:left="340" w:right="40"/>
        <w:spacing w:after="0" w:line="263" w:lineRule="auto"/>
        <w:rPr>
          <w:rFonts w:ascii="Arial" w:cs="Arial" w:eastAsia="Arial" w:hAnsi="Arial"/>
          <w:sz w:val="18"/>
          <w:szCs w:val="18"/>
          <w:color w:val="auto"/>
        </w:rPr>
      </w:pPr>
      <w:r>
        <w:rPr>
          <w:rFonts w:ascii="Arial" w:cs="Arial" w:eastAsia="Arial" w:hAnsi="Arial"/>
          <w:sz w:val="18"/>
          <w:szCs w:val="18"/>
          <w:color w:val="auto"/>
        </w:rPr>
        <w:t>The Company made payments to Deep Sea Mining as follow in connection with the deferred consideration: $1,250,000 on January 26, 2021, $440,000 on February 26, 2021, $500,000 on March 31, 2021, $500,000 on April 30, 2021, $500,000 on May 31, 2021, and $250,000 on June 30, 2021. As at June 30, 2021, the Company has no further deferred consideration outstanding for this acquisition.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Licenses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Significant Exploration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ind w:left="340" w:right="60"/>
        <w:spacing w:after="0" w:line="231" w:lineRule="auto"/>
        <w:rPr>
          <w:sz w:val="20"/>
          <w:szCs w:val="20"/>
          <w:color w:val="auto"/>
        </w:rPr>
      </w:pPr>
      <w:r>
        <w:rPr>
          <w:rFonts w:ascii="Arial" w:cs="Arial" w:eastAsia="Arial" w:hAnsi="Arial"/>
          <w:sz w:val="18"/>
          <w:szCs w:val="18"/>
          <w:color w:val="auto"/>
        </w:rPr>
        <w:t>The Company’s wholly-owned subsidiary, NORI, was granted a polymetallic nodule exploration contract in the CCZ by the ISA on July 22, 2011. The contract was acquired for $250,000, and provides NORI with exclusive rights to explore for polymetallic nodules in an area covering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subject to complying with the exploration contract terms (Note 9) and provides NORI with the priority right to apply for an exploitation contract to mine polymetallic nodules in the same area.</w:t>
      </w:r>
    </w:p>
    <w:p>
      <w:pPr>
        <w:spacing w:after="0" w:line="202"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NORI has a right to renounce, without penalty, the whole or part of its rights in the exploration area at any time and therefore doesn’t have a fixed commitment with relation to the NORI License (Note 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On March 17, 2012 the Company’s wholly-owned subsidiary, DeepGreen Engineering Pte. Ltd. (“DGE”), entered into an Option Agreement (the “Marawa Option Agreement”) with Marawa and the Republic of Kiribati (the “State”). This Marawa Option Agreement was amended on October 1, 2013. Under the amended Marawa Option Agreement, for an option fee of $250,000, DGE has the right to purchase tenements, as may be granted to Marawa by the ISA or any other regulatory body, for the greater of $300,000 or the value of any amounts owing to DGE by Marawa. This Marawa Option, can be exercised when a default event, as defined by the amendment agreement, occurs and anytime within 40 years after the date of execution of the Marawa Option agreement.</w:t>
      </w:r>
    </w:p>
    <w:p>
      <w:pPr>
        <w:spacing w:after="0" w:line="192"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As at June 30, 2021, Marawa had no amounts owing to DGE under the Marawa Services Agreement (defined below) and no purchase tenements had been granted to Marawa.</w:t>
      </w:r>
    </w:p>
    <w:p>
      <w:pPr>
        <w:spacing w:after="0" w:line="170" w:lineRule="exact"/>
        <w:rPr>
          <w:sz w:val="20"/>
          <w:szCs w:val="20"/>
          <w:color w:val="auto"/>
        </w:rPr>
      </w:pPr>
    </w:p>
    <w:p>
      <w:pPr>
        <w:ind w:left="340" w:right="20"/>
        <w:spacing w:after="0" w:line="280" w:lineRule="auto"/>
        <w:rPr>
          <w:sz w:val="20"/>
          <w:szCs w:val="20"/>
          <w:color w:val="auto"/>
        </w:rPr>
      </w:pPr>
      <w:r>
        <w:rPr>
          <w:rFonts w:ascii="Arial" w:cs="Arial" w:eastAsia="Arial" w:hAnsi="Arial"/>
          <w:sz w:val="17"/>
          <w:szCs w:val="17"/>
          <w:color w:val="auto"/>
        </w:rPr>
        <w:t>On October 1, 2013, DGE entered into a services agreement (the “Marawa Services Agreement”) with Marawa and the State, which grants the Company the exclusive right to carry out all exploration and mining in the Marawa Area. Under this agreement DGE will pay to the ISA on behalf of Marawa the following dues: $47,000 annual exploration fees, the ISA royalty and taxes and the ISA exploitation application fee of $250,000. Also, DGE will ensure that the activities carried out in the Marawa Area by DGE and any other service contractor complies with the ISA regulations and any other required regulations. The Marawa Area is situated in close proximity to the 74,830 km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NORI Area.</w:t>
      </w:r>
    </w:p>
    <w:p>
      <w:pPr>
        <w:spacing w:after="0" w:line="49"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the Republic of Kiribati a royalty per wet tonne of polymetallic nodules (adjusted for inflation from October 1, 2013 onwards).</w:t>
      </w:r>
    </w:p>
    <w:p>
      <w:pPr>
        <w:spacing w:after="0" w:line="170"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the State,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and the Marawa Services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The Company’s wholly-owned subsidiary, TOML, was granted a polymetallic nodule exploration contract in the six areas of CCZ by the ISA on Jan 11 2012. The TOML Group was acquired by the Company for $32 million from Deep Sea Mining (Note 3). TOML has the exclusive rights to explore for</w:t>
      </w:r>
    </w:p>
    <w:p>
      <w:pPr>
        <w:ind w:left="340" w:right="20"/>
        <w:spacing w:after="0" w:line="209" w:lineRule="auto"/>
        <w:rPr>
          <w:sz w:val="20"/>
          <w:szCs w:val="20"/>
          <w:color w:val="auto"/>
        </w:rPr>
      </w:pPr>
      <w:r>
        <w:rPr>
          <w:rFonts w:ascii="Arial" w:cs="Arial" w:eastAsia="Arial" w:hAnsi="Arial"/>
          <w:sz w:val="18"/>
          <w:szCs w:val="18"/>
          <w:color w:val="auto"/>
        </w:rPr>
        <w:t>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and a priority right to apply for an exploitation contract to mine polymetallic nodules in the TOML area.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Partnerships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225" w:lineRule="exact"/>
        <w:rPr>
          <w:sz w:val="20"/>
          <w:szCs w:val="20"/>
          <w:color w:val="auto"/>
        </w:rPr>
      </w:pPr>
    </w:p>
    <w:p>
      <w:pPr>
        <w:ind w:left="320" w:right="20"/>
        <w:spacing w:after="0" w:line="291" w:lineRule="auto"/>
        <w:rPr>
          <w:sz w:val="20"/>
          <w:szCs w:val="20"/>
          <w:color w:val="auto"/>
        </w:rPr>
      </w:pPr>
      <w:r>
        <w:rPr>
          <w:rFonts w:ascii="Arial" w:cs="Arial" w:eastAsia="Arial" w:hAnsi="Arial"/>
          <w:sz w:val="16"/>
          <w:szCs w:val="16"/>
          <w:color w:val="auto"/>
        </w:rPr>
        <w:t>Effective March 15, 2017, the Company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DeepGreen to undertake the various marine cruises to support required prefeasibility studies. During these marine cruises DeepGreen undertook baseline studies required to complete an Environmental and Social Impact Assessment (“ESIA”), collected nodules for metallurgical test work and collected samples for resource evaluation. Up until February 5, 2021, the costs related to the marine vessel use was settled through DeepGreen Common Shares, the number of which was based on a contractual price of $1.25 per Common Share. Project management services provided by Maersk are paid in cash.</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Shares transactions with Maersk since the inception of the strategic partnership with DeepGreen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Fair value of</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Invoiced</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Cost</w:t>
            </w:r>
          </w:p>
        </w:tc>
      </w:tr>
      <w:tr>
        <w:trPr>
          <w:trHeight w:val="216"/>
        </w:trPr>
        <w:tc>
          <w:tcPr>
            <w:tcW w:w="50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amount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 Price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 of Common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Recognized</w:t>
            </w:r>
          </w:p>
        </w:tc>
      </w:tr>
      <w:tr>
        <w:trPr>
          <w:trHeight w:val="277"/>
        </w:trPr>
        <w:tc>
          <w:tcPr>
            <w:tcW w:w="5080" w:type="dxa"/>
            <w:vAlign w:val="bottom"/>
          </w:tcPr>
          <w:p>
            <w:pPr>
              <w:spacing w:after="0"/>
              <w:rPr>
                <w:sz w:val="20"/>
                <w:szCs w:val="20"/>
                <w:color w:val="auto"/>
              </w:rPr>
            </w:pPr>
            <w:r>
              <w:rPr>
                <w:rFonts w:ascii="Arial" w:cs="Arial" w:eastAsia="Arial" w:hAnsi="Arial"/>
                <w:sz w:val="18"/>
                <w:szCs w:val="18"/>
                <w:b w:val="1"/>
                <w:bCs w:val="1"/>
                <w:color w:val="auto"/>
              </w:rPr>
              <w:t>Year of Service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77"/>
              </w:rPr>
              <w:t xml:space="preserve">$ </w:t>
            </w:r>
            <w:r>
              <w:rPr>
                <w:rFonts w:ascii="Arial" w:cs="Arial" w:eastAsia="Arial" w:hAnsi="Arial"/>
                <w:sz w:val="29"/>
                <w:szCs w:val="29"/>
                <w:b w:val="1"/>
                <w:bCs w:val="1"/>
                <w:color w:val="auto"/>
                <w:w w:val="77"/>
                <w:vertAlign w:val="superscript"/>
              </w:rPr>
              <w:t>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2,052,400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1,539,300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4,593,828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3,675,062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6,431,359</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5,615,480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4,492,384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16,172,582</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2019/2020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5,120,013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4,096,011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14,745,639</w:t>
            </w:r>
          </w:p>
        </w:tc>
        <w:tc>
          <w:tcPr>
            <w:tcW w:w="80" w:type="dxa"/>
            <w:vAlign w:val="bottom"/>
          </w:tcPr>
          <w:p>
            <w:pPr>
              <w:spacing w:after="0"/>
              <w:rPr>
                <w:sz w:val="18"/>
                <w:szCs w:val="18"/>
                <w:color w:val="auto"/>
              </w:rPr>
            </w:pPr>
          </w:p>
        </w:tc>
      </w:tr>
      <w:tr>
        <w:trPr>
          <w:trHeight w:val="290"/>
        </w:trPr>
        <w:tc>
          <w:tcPr>
            <w:tcW w:w="50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2020/2021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4,582,834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3,666,267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25,663,869</w:t>
            </w:r>
          </w:p>
        </w:tc>
        <w:tc>
          <w:tcPr>
            <w:tcW w:w="80" w:type="dxa"/>
            <w:vAlign w:val="bottom"/>
            <w:shd w:val="clear" w:color="auto" w:fill="CCEEFF"/>
          </w:tcPr>
          <w:p>
            <w:pPr>
              <w:spacing w:after="0"/>
              <w:rPr>
                <w:sz w:val="24"/>
                <w:szCs w:val="24"/>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22,477,655</w:t>
            </w: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17,982,124</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64,552,749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right="480" w:hanging="332"/>
        <w:spacing w:after="0" w:line="291" w:lineRule="auto"/>
        <w:tabs>
          <w:tab w:leader="none" w:pos="3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fair value of the Company’s Common Shares was determined based on the private placements completed around the time of Common Share issuances to Maersk, including the application of weighted average probability for the closing of the Business Combination.</w:t>
      </w:r>
    </w:p>
    <w:p>
      <w:pPr>
        <w:ind w:left="340" w:right="260" w:hanging="332"/>
        <w:spacing w:after="0" w:line="255" w:lineRule="auto"/>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During the six months ended June 30, 2021, the Company issued 3,666,267 Common Shares to Maersk of which, 3,577,516 pertained to the marine vessel use during the year ended December 31, 2020. These Common Shares were recognized at their estimated fair value of $7.00 (December 31, 2020 - $3.60 per Common Share).</w:t>
      </w:r>
    </w:p>
    <w:p>
      <w:pPr>
        <w:spacing w:after="0" w:line="189" w:lineRule="exact"/>
        <w:rPr>
          <w:rFonts w:ascii="Arial" w:cs="Arial" w:eastAsia="Arial" w:hAnsi="Arial"/>
          <w:sz w:val="18"/>
          <w:szCs w:val="18"/>
          <w:color w:val="auto"/>
        </w:rPr>
      </w:pPr>
    </w:p>
    <w:p>
      <w:pPr>
        <w:ind w:left="320" w:right="120"/>
        <w:spacing w:after="0" w:line="277" w:lineRule="auto"/>
        <w:rPr>
          <w:rFonts w:ascii="Arial" w:cs="Arial" w:eastAsia="Arial" w:hAnsi="Arial"/>
          <w:sz w:val="18"/>
          <w:szCs w:val="18"/>
          <w:color w:val="auto"/>
        </w:rPr>
      </w:pPr>
      <w:r>
        <w:rPr>
          <w:rFonts w:ascii="Arial" w:cs="Arial" w:eastAsia="Arial" w:hAnsi="Arial"/>
          <w:sz w:val="18"/>
          <w:szCs w:val="18"/>
          <w:color w:val="auto"/>
        </w:rPr>
        <w:t>As at June 30, 2021, Maersk owned 17,982,123 Common Shares of the Company which constituted 10.53% of the total Common Shares outstanding. Maersk is considered a related party to the Company.</w:t>
      </w:r>
    </w:p>
    <w:p>
      <w:pPr>
        <w:spacing w:after="0" w:line="170" w:lineRule="exact"/>
        <w:rPr>
          <w:rFonts w:ascii="Arial" w:cs="Arial" w:eastAsia="Arial" w:hAnsi="Arial"/>
          <w:sz w:val="18"/>
          <w:szCs w:val="18"/>
          <w:color w:val="auto"/>
        </w:rPr>
      </w:pPr>
    </w:p>
    <w:p>
      <w:pPr>
        <w:ind w:left="320" w:right="940"/>
        <w:spacing w:after="0" w:line="277" w:lineRule="auto"/>
        <w:rPr>
          <w:rFonts w:ascii="Arial" w:cs="Arial" w:eastAsia="Arial" w:hAnsi="Arial"/>
          <w:sz w:val="18"/>
          <w:szCs w:val="18"/>
          <w:color w:val="auto"/>
        </w:rPr>
      </w:pPr>
      <w:r>
        <w:rPr>
          <w:rFonts w:ascii="Arial" w:cs="Arial" w:eastAsia="Arial" w:hAnsi="Arial"/>
          <w:sz w:val="18"/>
          <w:szCs w:val="18"/>
          <w:color w:val="auto"/>
        </w:rPr>
        <w:t>Total cost incurred to Maersk for marine campaigns during the six months ended June 30, 2021 amounted to $22,056,802 (June 30, 2020 - $15,547,941).</w:t>
      </w:r>
    </w:p>
    <w:p>
      <w:pPr>
        <w:spacing w:after="0" w:line="170" w:lineRule="exact"/>
        <w:rPr>
          <w:rFonts w:ascii="Arial" w:cs="Arial" w:eastAsia="Arial" w:hAnsi="Arial"/>
          <w:sz w:val="18"/>
          <w:szCs w:val="18"/>
          <w:color w:val="auto"/>
        </w:rPr>
      </w:pPr>
    </w:p>
    <w:p>
      <w:pPr>
        <w:ind w:left="320" w:right="20"/>
        <w:spacing w:after="0" w:line="263" w:lineRule="auto"/>
        <w:rPr>
          <w:rFonts w:ascii="Arial" w:cs="Arial" w:eastAsia="Arial" w:hAnsi="Arial"/>
          <w:sz w:val="18"/>
          <w:szCs w:val="18"/>
          <w:color w:val="auto"/>
        </w:rPr>
      </w:pPr>
      <w:r>
        <w:rPr>
          <w:rFonts w:ascii="Arial" w:cs="Arial" w:eastAsia="Arial" w:hAnsi="Arial"/>
          <w:sz w:val="18"/>
          <w:szCs w:val="18"/>
          <w:color w:val="auto"/>
        </w:rPr>
        <w:t>On March 4, 2021, the agreement with Maersk was amended whereby all costs incurred from February 5, 2021 pertaining to the use of the marine vessel would be paid in cash rather than through issuance of the Common Shares of the Company. The amended agreement is in place until early 2022, at which point the parties will finalize the potential offshore engagement beyond 2022.</w:t>
      </w:r>
    </w:p>
    <w:p>
      <w:pPr>
        <w:spacing w:after="0" w:line="18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As at June 30, 2021, amount payable to Maersk was $5,904,606 (December 31, 2020 - $1,829,268).</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Pilot Mining Test Project</w:t>
      </w:r>
    </w:p>
    <w:p>
      <w:pPr>
        <w:spacing w:after="0" w:line="225"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On March 29, 2019, DeepGreen and Allseas entered into a strategic alliance to conduct a Pilot Mining Test System (“PMTS”), the successful completion of which would aid DeepGreen’s application for an exploitation contract with the ISA. Under the terms of this strategic alliance, Allseas subscribed for 6,666,668 Common Shares of DeepGreen for a total of $20,000,000 in cash (received during the year ended December 31, 2019) and in consideration for a successful PMTS, DeepGreen committed to paying Allseas $30,000,000 in cash and further issuing 10,000,000 Common Shares (with a contractual price of $3.00 per share) for an additional anticipated cost of $30,000,000 to Allseas. This additional payment is contingent upon successful delivery of the PMTS. Allseas will cover all the development cost of the project and will own all intellectual property used and generated in the development of the PMTS.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Upon successful completion of the PMTS, DeepGreen and Allseas have also agreed to enter into a nodule collection and shipping agreement whereby Allseas will provide production services for the production of the first 200 million metric tonnes of polymetallic nodules on a cost plus 50% profit basis.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DeepGreen and Allseas can terminate the strategic alliance without cause at any time subject to the following:</w:t>
      </w:r>
    </w:p>
    <w:p>
      <w:pPr>
        <w:spacing w:after="0" w:line="225"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DeepGreen will have a call option to buy Allseas’ Common Shares in DeepGreen at the original contractual price.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Allseas will have the right to collect 100 million metric tonnes (wet) of manganese nodule resources held by the Company by paying DeepGreen a royalty equivalent to 50% of the royalty charged by the ISA on the nodules collected.</w:t>
      </w:r>
    </w:p>
    <w:p>
      <w:pPr>
        <w:spacing w:after="0" w:line="197" w:lineRule="exact"/>
        <w:rPr>
          <w:rFonts w:ascii="Arial" w:cs="Arial" w:eastAsia="Arial" w:hAnsi="Arial"/>
          <w:sz w:val="18"/>
          <w:szCs w:val="18"/>
          <w:color w:val="auto"/>
        </w:rPr>
      </w:pPr>
    </w:p>
    <w:p>
      <w:pPr>
        <w:ind w:left="340" w:right="220" w:hanging="8"/>
        <w:spacing w:after="0" w:line="530" w:lineRule="auto"/>
        <w:tabs>
          <w:tab w:leader="none" w:pos="66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DeepGreen will have the right of first refusal to acquire and process all nodules collected using Allseas nodule collection and shipping systems. Upon termination without successful commissioning of the PMTS, Allseas will be compelled to either (at Allseas’ sole election):</w:t>
      </w: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Acquire an additional 10,000,000 Common Shares in DeepGreen for a consideration of $30,000,000;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Sell at least 6,666,667 Common Shares held in DeepGreen to the Company for total consideration of $1.</w:t>
      </w:r>
    </w:p>
    <w:p>
      <w:pPr>
        <w:spacing w:after="0" w:line="225"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The fair value of the Company’s Common Shares at the time of the initial subscription of $20,000,000 by Allseas was determined to be $1.75 per Common Share, based on the recent private placements completed by the Company at the time. As a result, the difference between the fair value and the total proceeds of $8,333,335 (i.e. $1.25 per Common Share) was considered to be an additional initial contribution by Allseas during the year ended December 31, 2019.</w:t>
      </w:r>
    </w:p>
    <w:p>
      <w:pPr>
        <w:spacing w:after="0" w:line="187"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During 2020, the PMTS agreement was amended and DeepGreen paid an additional $10,000,000 in cash and issued 2,777,778 common shares valued at $3.60 per share for an additional $10,000,000 to allow for higher costs that had been incurred by Allseas. The expense related to the payment and issuance of shares was offset by the additional initial contribution by Allseas received in 2019.</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year ended December 31, 2020, Allseas subscribed for an additional 2,777,778 Common Shares for cash proceeds of $10 million.</w:t>
      </w:r>
    </w:p>
    <w:p>
      <w:pPr>
        <w:spacing w:after="0" w:line="237" w:lineRule="exact"/>
        <w:rPr>
          <w:sz w:val="20"/>
          <w:szCs w:val="20"/>
          <w:color w:val="auto"/>
        </w:rPr>
      </w:pPr>
    </w:p>
    <w:p>
      <w:pPr>
        <w:ind w:left="320" w:right="40"/>
        <w:spacing w:after="0" w:line="254" w:lineRule="auto"/>
        <w:rPr>
          <w:sz w:val="20"/>
          <w:szCs w:val="20"/>
          <w:color w:val="auto"/>
        </w:rPr>
      </w:pPr>
      <w:r>
        <w:rPr>
          <w:rFonts w:ascii="Arial" w:cs="Arial" w:eastAsia="Arial" w:hAnsi="Arial"/>
          <w:sz w:val="18"/>
          <w:szCs w:val="18"/>
          <w:color w:val="auto"/>
        </w:rPr>
        <w:t>On March 4, 2021 and June 30, 2021, DeepGreen entered into an amended agreement with Allseas (the “Amendment #3 and “Amendment #4”, respectively”) whereby, upon successful completion of the Business Combination (Note 1), instead of issuing 10 million Common Shares to Allseas in connection with the PMTS, DeepGreen issued to Allseas, on March 4, 2021, a warrant to acquire 10 million DeepGreen Common Shares at a nominal value (the “Allseas Warrant”).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195" w:lineRule="exact"/>
        <w:rPr>
          <w:sz w:val="20"/>
          <w:szCs w:val="20"/>
          <w:color w:val="auto"/>
        </w:rPr>
      </w:pPr>
    </w:p>
    <w:p>
      <w:pPr>
        <w:ind w:left="320" w:right="20"/>
        <w:spacing w:after="0" w:line="293" w:lineRule="auto"/>
        <w:rPr>
          <w:sz w:val="20"/>
          <w:szCs w:val="20"/>
          <w:color w:val="auto"/>
        </w:rPr>
      </w:pPr>
      <w:r>
        <w:rPr>
          <w:rFonts w:ascii="Arial" w:cs="Arial" w:eastAsia="Arial" w:hAnsi="Arial"/>
          <w:sz w:val="16"/>
          <w:szCs w:val="16"/>
          <w:color w:val="auto"/>
        </w:rPr>
        <w:t>The Allseas Warrant was assumed by SOAC at the closing of the Business Combination (Note 1) to become a warrant to purchase TMC common shares, adjusted for the exchange ratio for the transaction. If the market price of the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20" w:right="580"/>
        <w:spacing w:after="0" w:line="277" w:lineRule="auto"/>
        <w:rPr>
          <w:sz w:val="20"/>
          <w:szCs w:val="20"/>
          <w:color w:val="auto"/>
        </w:rPr>
      </w:pPr>
      <w:r>
        <w:rPr>
          <w:rFonts w:ascii="Arial" w:cs="Arial" w:eastAsia="Arial" w:hAnsi="Arial"/>
          <w:sz w:val="18"/>
          <w:szCs w:val="18"/>
          <w:color w:val="auto"/>
        </w:rPr>
        <w:t>The cash payment of $30 million in the original agreements was also amended to be paid as follows, provided that the Business Combination is completed:</w:t>
      </w:r>
    </w:p>
    <w:p>
      <w:pPr>
        <w:spacing w:after="0" w:line="170" w:lineRule="exact"/>
        <w:rPr>
          <w:sz w:val="20"/>
          <w:szCs w:val="20"/>
          <w:color w:val="auto"/>
        </w:rPr>
      </w:pPr>
    </w:p>
    <w:p>
      <w:pPr>
        <w:ind w:left="960" w:right="220" w:hanging="318"/>
        <w:spacing w:after="0" w:line="27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97" w:lineRule="exact"/>
        <w:rPr>
          <w:rFonts w:ascii="Arial" w:cs="Arial" w:eastAsia="Arial" w:hAnsi="Arial"/>
          <w:sz w:val="18"/>
          <w:szCs w:val="18"/>
          <w:color w:val="auto"/>
        </w:rPr>
      </w:pPr>
    </w:p>
    <w:p>
      <w:pPr>
        <w:ind w:left="960" w:hanging="318"/>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252" w:lineRule="exact"/>
        <w:rPr>
          <w:rFonts w:ascii="Arial" w:cs="Arial" w:eastAsia="Arial" w:hAnsi="Arial"/>
          <w:sz w:val="18"/>
          <w:szCs w:val="18"/>
          <w:color w:val="auto"/>
        </w:rPr>
      </w:pPr>
    </w:p>
    <w:p>
      <w:pPr>
        <w:ind w:left="960" w:hanging="318"/>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225" w:lineRule="exact"/>
        <w:rPr>
          <w:sz w:val="20"/>
          <w:szCs w:val="20"/>
          <w:color w:val="auto"/>
        </w:rPr>
      </w:pPr>
    </w:p>
    <w:p>
      <w:pPr>
        <w:ind w:left="320" w:right="260"/>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170" w:lineRule="exact"/>
        <w:rPr>
          <w:sz w:val="20"/>
          <w:szCs w:val="20"/>
          <w:color w:val="auto"/>
        </w:rPr>
      </w:pPr>
    </w:p>
    <w:p>
      <w:pPr>
        <w:ind w:left="320" w:right="80"/>
        <w:spacing w:after="0" w:line="277" w:lineRule="auto"/>
        <w:rPr>
          <w:sz w:val="20"/>
          <w:szCs w:val="20"/>
          <w:color w:val="auto"/>
        </w:rPr>
      </w:pPr>
      <w:r>
        <w:rPr>
          <w:rFonts w:ascii="Arial" w:cs="Arial" w:eastAsia="Arial" w:hAnsi="Arial"/>
          <w:sz w:val="18"/>
          <w:szCs w:val="18"/>
          <w:color w:val="auto"/>
        </w:rPr>
        <w:t>The Amendment #3 and Amendment #4 became effective upon the completion of the Business Combination and will be payable within 10 days of the closing of the Business Combination (Note 12).</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at June 30, 2021, Allseas owned 12,222,224 Common Shares of the Company which constituted 7.15% of total Common Shares outstanding.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Exploration Expenses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20" w:type="dxa"/>
            <w:vAlign w:val="bottom"/>
            <w:gridSpan w:val="2"/>
          </w:tcPr>
          <w:p>
            <w:pPr>
              <w:ind w:left="340"/>
              <w:spacing w:after="0"/>
              <w:rPr>
                <w:sz w:val="20"/>
                <w:szCs w:val="20"/>
                <w:color w:val="auto"/>
              </w:rPr>
            </w:pPr>
            <w:r>
              <w:rPr>
                <w:rFonts w:ascii="Arial" w:cs="Arial" w:eastAsia="Arial" w:hAnsi="Arial"/>
                <w:sz w:val="18"/>
                <w:szCs w:val="18"/>
                <w:color w:val="auto"/>
                <w:w w:val="95"/>
              </w:rPr>
              <w:t>The breakdown of exploration expenses was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NORI</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Marawa</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General</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License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TOML</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For the six months period ended June 30, 2021</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Exploration expenses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labour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846,167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353,119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338,382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1,537,668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Marine cruise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16,883,359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2,053,866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2,053,866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20,991,091</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15,824,192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6,455,350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6,332,012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28,611,554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193,846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196,080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External consulting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2,084,525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2,951,367</w:t>
            </w:r>
          </w:p>
        </w:tc>
      </w:tr>
      <w:tr>
        <w:trPr>
          <w:trHeight w:val="23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Travel, workshop and other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249,790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92,837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105,649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448,276</w:t>
            </w:r>
          </w:p>
        </w:tc>
      </w:tr>
      <w:tr>
        <w:trPr>
          <w:trHeight w:val="216"/>
        </w:trPr>
        <w:tc>
          <w:tcPr>
            <w:tcW w:w="4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36,081,879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9,375,113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9,278,533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54,736,036</w:t>
            </w: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NORI</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Marawa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General</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License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TOML</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For the six months period ended June 30, 2020</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Exploration expenses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labour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748,548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1,276,153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Marine cruise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11,785,427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2,524,460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510,121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14,820,008</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Pilot Mining Test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9,333,333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1,166,667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1,166,666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11,666,666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116,533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83,822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200,355</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277,870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279,997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External consulting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20,550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1,537,775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337,650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236,455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2,132,430</w:t>
            </w:r>
          </w:p>
        </w:tc>
      </w:tr>
      <w:tr>
        <w:trPr>
          <w:trHeight w:val="23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Travel, workshop and other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572,424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812,384</w:t>
            </w:r>
          </w:p>
        </w:tc>
      </w:tr>
      <w:tr>
        <w:trPr>
          <w:trHeight w:val="216"/>
        </w:trPr>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4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24,371,910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4,670,200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2,125,333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31,187,993</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29" w:lineRule="exact"/>
        <w:rPr>
          <w:rFonts w:ascii="Arial" w:cs="Arial" w:eastAsia="Arial" w:hAnsi="Arial"/>
          <w:sz w:val="18"/>
          <w:szCs w:val="18"/>
          <w:b w:val="1"/>
          <w:bCs w:val="1"/>
          <w:color w:val="auto"/>
        </w:rPr>
      </w:pPr>
    </w:p>
    <w:p>
      <w:pPr>
        <w:ind w:left="340"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During February 2021, the Company raised a total of $26 million through a convertible debentures financing. The convertible debentures bear interest at the rate of 7.0% per annum, compounded annually, with a maturity date that is 24 months from the date of the financing. The debentures can be converted into shares of the Company at anytime at the conversion price of $10 per share. Unless any interest is converted prior to the maturity date, all accrued and unpaid interest shall be payable at the maturity date in DeepGreen Common Shares at a conversion price of $10 per share.</w:t>
      </w:r>
    </w:p>
    <w:p>
      <w:pPr>
        <w:spacing w:after="0" w:line="157" w:lineRule="exact"/>
        <w:rPr>
          <w:rFonts w:ascii="Arial" w:cs="Arial" w:eastAsia="Arial" w:hAnsi="Arial"/>
          <w:sz w:val="18"/>
          <w:szCs w:val="18"/>
          <w:b w:val="1"/>
          <w:bCs w:val="1"/>
          <w:color w:val="auto"/>
        </w:rPr>
      </w:pPr>
    </w:p>
    <w:p>
      <w:pPr>
        <w:ind w:left="340" w:right="1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the event that the Company completes the Business Combination (Note 1) or another change of control transaction at any time prior to the maturity date, the debenture value will be automatically converted into the common shares at the conversion price immediately prior to the Business Combination or the change of control transaction. If the debentures, or any portion thereof, are not converted by the holder upon the earlier of the maturity date or the completion of the Business Combination or the change of control transaction, the outstanding debenture value will automatically convert into the common shares of the Company at the conversion price of $10 per share.</w:t>
      </w:r>
    </w:p>
    <w:p>
      <w:pPr>
        <w:spacing w:after="0" w:line="176" w:lineRule="exact"/>
        <w:rPr>
          <w:rFonts w:ascii="Arial" w:cs="Arial" w:eastAsia="Arial" w:hAnsi="Arial"/>
          <w:sz w:val="18"/>
          <w:szCs w:val="18"/>
          <w:b w:val="1"/>
          <w:bCs w:val="1"/>
          <w:color w:val="auto"/>
        </w:rPr>
      </w:pPr>
    </w:p>
    <w:p>
      <w:pPr>
        <w:ind w:left="340" w:right="44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On February 18, 2021, convertible debentures with a principal amount of $500,000 were converted into 50,000 Common Shares of the Company. During the six months ended June 30, 2021, the Company accrued $660,589 as interest on convertible debentures.</w:t>
      </w:r>
    </w:p>
    <w:p>
      <w:pPr>
        <w:spacing w:after="0" w:line="1"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June 30, 2021, the Company has reserved 2,594,014 Common Shares to be issued upon conversion of the outstanding debentures, consisting of $25,500,000 and $440,137 of principal and accrued interest, respectively.</w:t>
      </w:r>
    </w:p>
    <w:p>
      <w:pPr>
        <w:spacing w:after="0" w:line="166" w:lineRule="exact"/>
        <w:rPr>
          <w:rFonts w:ascii="Arial" w:cs="Arial" w:eastAsia="Arial" w:hAnsi="Arial"/>
          <w:sz w:val="18"/>
          <w:szCs w:val="18"/>
          <w:b w:val="1"/>
          <w:bCs w:val="1"/>
          <w:color w:val="auto"/>
        </w:rPr>
      </w:pPr>
    </w:p>
    <w:p>
      <w:pPr>
        <w:ind w:left="340" w:right="9160" w:hanging="332"/>
        <w:spacing w:after="0" w:line="566" w:lineRule="auto"/>
        <w:tabs>
          <w:tab w:leader="none" w:pos="340"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 Authorized and Issued</w:t>
      </w:r>
    </w:p>
    <w:p>
      <w:pPr>
        <w:ind w:left="340" w:right="5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has two classes of shares, being its Common Shares and Class B Preferred Shares. The authorized and issued share capital of the Company is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Issued and</w:t>
            </w:r>
          </w:p>
        </w:tc>
      </w:tr>
      <w:tr>
        <w:trPr>
          <w:trHeight w:val="241"/>
        </w:trPr>
        <w:tc>
          <w:tcPr>
            <w:tcW w:w="86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Authorized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198"/>
        </w:trPr>
        <w:tc>
          <w:tcPr>
            <w:tcW w:w="8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ind w:left="10"/>
              <w:spacing w:after="0" w:line="198" w:lineRule="exact"/>
              <w:rPr>
                <w:sz w:val="20"/>
                <w:szCs w:val="20"/>
                <w:color w:val="auto"/>
              </w:rPr>
            </w:pPr>
            <w:r>
              <w:rPr>
                <w:rFonts w:ascii="Arial" w:cs="Arial" w:eastAsia="Arial" w:hAnsi="Arial"/>
                <w:sz w:val="18"/>
                <w:szCs w:val="18"/>
                <w:b w:val="1"/>
                <w:bCs w:val="1"/>
                <w:color w:val="auto"/>
                <w:w w:val="94"/>
              </w:rPr>
              <w:t>Unlimited,</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1"/>
              </w:rPr>
              <w:t>with no par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86"/>
              </w:rPr>
              <w:t>value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170,827,222</w:t>
            </w:r>
          </w:p>
        </w:tc>
        <w:tc>
          <w:tcPr>
            <w:tcW w:w="10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3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4"/>
              </w:rPr>
              <w:t>Unlimited,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with no par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8680" w:type="dxa"/>
            <w:vAlign w:val="bottom"/>
          </w:tcPr>
          <w:p>
            <w:pPr>
              <w:spacing w:after="0"/>
              <w:rPr>
                <w:sz w:val="20"/>
                <w:szCs w:val="20"/>
                <w:color w:val="auto"/>
              </w:rPr>
            </w:pPr>
            <w:r>
              <w:rPr>
                <w:rFonts w:ascii="Arial" w:cs="Arial" w:eastAsia="Arial" w:hAnsi="Arial"/>
                <w:sz w:val="18"/>
                <w:szCs w:val="18"/>
                <w:color w:val="auto"/>
              </w:rPr>
              <w:t>Class B Preferred Shares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440,000</w:t>
            </w:r>
          </w:p>
        </w:tc>
        <w:tc>
          <w:tcPr>
            <w:tcW w:w="100" w:type="dxa"/>
            <w:vAlign w:val="bottom"/>
          </w:tcPr>
          <w:p>
            <w:pPr>
              <w:spacing w:after="0"/>
              <w:rPr>
                <w:sz w:val="23"/>
                <w:szCs w:val="23"/>
                <w:color w:val="auto"/>
              </w:rPr>
            </w:pPr>
          </w:p>
        </w:tc>
      </w:tr>
    </w:tbl>
    <w:p>
      <w:pPr>
        <w:spacing w:after="0" w:line="202" w:lineRule="exact"/>
        <w:rPr>
          <w:sz w:val="20"/>
          <w:szCs w:val="20"/>
          <w:color w:val="auto"/>
        </w:rPr>
      </w:pPr>
    </w:p>
    <w:p>
      <w:pPr>
        <w:ind w:left="340" w:right="180"/>
        <w:spacing w:after="0" w:line="275" w:lineRule="auto"/>
        <w:rPr>
          <w:sz w:val="20"/>
          <w:szCs w:val="20"/>
          <w:color w:val="auto"/>
        </w:rPr>
      </w:pPr>
      <w:r>
        <w:rPr>
          <w:rFonts w:ascii="Arial" w:cs="Arial" w:eastAsia="Arial" w:hAnsi="Arial"/>
          <w:sz w:val="17"/>
          <w:szCs w:val="17"/>
          <w:color w:val="auto"/>
        </w:rPr>
        <w:t>Class B Preferred Shares are non-dividend earning and include voting rights similar to Common Shares. However, if any dividend is declared on Common Shares, the Company is required to concurrently declare and pay dividend on Class B Preferred Shares in the amount per share equal to the dividend per share paid on the Common shares. These Class B Preferred Shares rank ahead of Common Shares in the event of liquidation and are subject to automatic conversion to Common Shares on the basis of 1 Class B Preferred Share to 1 Common Share upon completion of the Business Combination (Note 1) or any other change in control transaction.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Continuity of Share Capital</w:t>
            </w:r>
          </w:p>
        </w:tc>
        <w:tc>
          <w:tcPr>
            <w:tcW w:w="3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8"/>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Common Shares</w:t>
            </w:r>
          </w:p>
        </w:tc>
        <w:tc>
          <w:tcPr>
            <w:tcW w:w="3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3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141,063,316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79,824,445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Private placement</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5,659,920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20,375,712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Financing cost incurred - Stock options-based payments</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(396,568)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7,777,777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Issued for services</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6,907,121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24,865,637</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1,790,157</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 December 31, 2020</w:t>
            </w:r>
          </w:p>
        </w:tc>
        <w:tc>
          <w:tcPr>
            <w:tcW w:w="39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163,658,134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154,431,291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4)</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3,672,267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25,711,869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3,446,821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8,257,763</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debentures</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June 30, 2021</w:t>
            </w:r>
          </w:p>
        </w:tc>
        <w:tc>
          <w:tcPr>
            <w:tcW w:w="39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170,827,222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188,900,923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Class B Preferred Shares</w:t>
            </w:r>
          </w:p>
        </w:tc>
        <w:tc>
          <w:tcPr>
            <w:tcW w:w="3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 and June 30, 2021</w:t>
            </w:r>
          </w:p>
        </w:tc>
        <w:tc>
          <w:tcPr>
            <w:tcW w:w="39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2021 Activity</w:t>
      </w:r>
    </w:p>
    <w:p>
      <w:pPr>
        <w:spacing w:after="0" w:line="225" w:lineRule="exact"/>
        <w:rPr>
          <w:sz w:val="20"/>
          <w:szCs w:val="20"/>
          <w:color w:val="auto"/>
        </w:rPr>
      </w:pPr>
    </w:p>
    <w:p>
      <w:pPr>
        <w:ind w:left="340" w:right="120"/>
        <w:spacing w:after="0" w:line="296" w:lineRule="auto"/>
        <w:rPr>
          <w:sz w:val="20"/>
          <w:szCs w:val="20"/>
          <w:color w:val="auto"/>
        </w:rPr>
      </w:pPr>
      <w:r>
        <w:rPr>
          <w:rFonts w:ascii="Arial" w:cs="Arial" w:eastAsia="Arial" w:hAnsi="Arial"/>
          <w:sz w:val="16"/>
          <w:szCs w:val="16"/>
          <w:color w:val="auto"/>
        </w:rPr>
        <w:t>The Company issued 3,666,267 Common Shares to Maersk for services valued at $7.00 per share (Note 4).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161"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During the period ended June 30, 2021, option holders exercised 3,446,821 stock options for total proceeds of $2,563,156 at a weighted average exercise price of $0.74 per share.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18, 2021, convertible debentures with a principal amount of $500,000 were converted into 50,000 common shares of the Company.</w:t>
      </w:r>
    </w:p>
    <w:p>
      <w:pPr>
        <w:spacing w:after="0" w:line="233"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rFonts w:ascii="Arial" w:cs="Arial" w:eastAsia="Arial" w:hAnsi="Arial"/>
          <w:sz w:val="18"/>
          <w:szCs w:val="18"/>
          <w:b w:val="1"/>
          <w:bCs w:val="1"/>
          <w:color w:val="auto"/>
        </w:rPr>
      </w:pPr>
    </w:p>
    <w:p>
      <w:pPr>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 The Company’s stock option plan provides that the aggregate number of Common Shares reserved for issuance under the plan shall not exceed 20% of the total number of issued and outstanding Common Shares of the Company on a non-diluted basis. As at June 30, 2021, there were 15,395,394 stock options outstanding under the Company’s Short-Term Incentive Plan (“STIP”) and 8,450,000 stock options outstanding under the Company’s Long-term Incentive Plan (“LTIP”), leaving 10,320,051 stock options that are reserved for further issuance.</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Continuity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continuity schedule of the Company’s stock options in the Company’s STIP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value of stock</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life (years)</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13,429,912</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36,126,463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gridSpan w:val="3"/>
          </w:tcPr>
          <w:p>
            <w:pPr>
              <w:jc w:val="right"/>
              <w:ind w:right="260"/>
              <w:spacing w:after="0"/>
              <w:rPr>
                <w:sz w:val="20"/>
                <w:szCs w:val="20"/>
                <w:color w:val="auto"/>
              </w:rPr>
            </w:pPr>
            <w:r>
              <w:rPr>
                <w:rFonts w:ascii="Arial" w:cs="Arial" w:eastAsia="Arial" w:hAnsi="Arial"/>
                <w:sz w:val="18"/>
                <w:szCs w:val="18"/>
                <w:color w:val="auto"/>
              </w:rPr>
              <w:t>5,506,303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Cancelled/Forfeited</w:t>
            </w:r>
          </w:p>
        </w:tc>
        <w:tc>
          <w:tcPr>
            <w:tcW w:w="2920" w:type="dxa"/>
            <w:vAlign w:val="bottom"/>
            <w:gridSpan w:val="3"/>
          </w:tcPr>
          <w:p>
            <w:pPr>
              <w:jc w:val="right"/>
              <w:ind w:right="20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(3,446,821)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Outstanding – June 30, 2021</w:t>
            </w:r>
          </w:p>
        </w:tc>
        <w:tc>
          <w:tcPr>
            <w:tcW w:w="15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15,395,394</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101,561,190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6.85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 June 30, 2021</w:t>
            </w:r>
          </w:p>
        </w:tc>
        <w:tc>
          <w:tcPr>
            <w:tcW w:w="1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15,395,394</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101,561,190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4440" w:type="dxa"/>
            <w:vAlign w:val="bottom"/>
          </w:tcPr>
          <w:p>
            <w:pPr>
              <w:spacing w:after="0" w:line="203" w:lineRule="exact"/>
              <w:rPr>
                <w:sz w:val="20"/>
                <w:szCs w:val="20"/>
                <w:color w:val="auto"/>
              </w:rPr>
            </w:pPr>
            <w:r>
              <w:rPr>
                <w:rFonts w:ascii="Arial" w:cs="Arial" w:eastAsia="Arial" w:hAnsi="Arial"/>
                <w:sz w:val="18"/>
                <w:szCs w:val="18"/>
                <w:b w:val="1"/>
                <w:bCs w:val="1"/>
                <w:color w:val="auto"/>
              </w:rPr>
              <w:t>Vested and exercisable – June 30, 2021</w:t>
            </w:r>
          </w:p>
        </w:tc>
        <w:tc>
          <w:tcPr>
            <w:tcW w:w="154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13,495,394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0.93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95,473,684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18"/>
                <w:szCs w:val="18"/>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options outstanding, granted under DeepGreen’s STIP as at June 30,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average life to</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Options</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Expiry Date</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Exercise price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expiry (years)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Outstanding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Exercisable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2024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0.75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December 31, 2025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0.75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2026</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February 17, 2026</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0.60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0.25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June 1, 2028</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Various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13,783,980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12,383,980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2028</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June 30, 2028</w:t>
            </w:r>
          </w:p>
        </w:tc>
        <w:tc>
          <w:tcPr>
            <w:tcW w:w="3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15,395,394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13,495,394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right="160"/>
        <w:spacing w:after="0" w:line="257" w:lineRule="auto"/>
        <w:rPr>
          <w:sz w:val="20"/>
          <w:szCs w:val="20"/>
          <w:color w:val="auto"/>
        </w:rPr>
      </w:pPr>
      <w:r>
        <w:rPr>
          <w:rFonts w:ascii="Arial" w:cs="Arial" w:eastAsia="Arial" w:hAnsi="Arial"/>
          <w:sz w:val="18"/>
          <w:szCs w:val="18"/>
          <w:color w:val="auto"/>
        </w:rPr>
        <w:t>During the six months ended June 30, 2021, the Company also granted 8,450,000 under its LTIP. Such stock options have an exercise price of $0.75 per Common Share and expire on June 1, 2028. The aggregate intrinsic value of such LTIP stock options as at June 30, 2021, was $61,262,500. None of the LTIP stock options were exercisable on June 30, 2021. The Company expects such options to vest as and when the market and performance milestones described below are achieved. As at June 30, 2021, total unrecognized stock-based compensation expense for the LTIP stock options was $36,566,016.</w:t>
      </w:r>
    </w:p>
    <w:p>
      <w:pPr>
        <w:spacing w:after="0" w:line="188" w:lineRule="exact"/>
        <w:rPr>
          <w:sz w:val="20"/>
          <w:szCs w:val="20"/>
          <w:color w:val="auto"/>
        </w:rPr>
      </w:pPr>
    </w:p>
    <w:p>
      <w:pPr>
        <w:ind w:left="340" w:right="260"/>
        <w:spacing w:after="0" w:line="296" w:lineRule="auto"/>
        <w:rPr>
          <w:sz w:val="20"/>
          <w:szCs w:val="20"/>
          <w:color w:val="auto"/>
        </w:rPr>
      </w:pPr>
      <w:r>
        <w:rPr>
          <w:rFonts w:ascii="Arial" w:cs="Arial" w:eastAsia="Arial" w:hAnsi="Arial"/>
          <w:sz w:val="16"/>
          <w:szCs w:val="16"/>
          <w:color w:val="auto"/>
        </w:rPr>
        <w:t>As at June 30, 2021, the fair value of the Company’s Common Shares was $8.00 per share.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stock options exercised during the period ended June 30, 2021, was $25,011,412.</w:t>
      </w:r>
    </w:p>
    <w:p>
      <w:pPr>
        <w:spacing w:after="0" w:line="225"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color w:val="auto"/>
        </w:rPr>
        <w:t>The total grant date fair value of STIP stock options that vested during the period ended June 30, 2021, was $25,916,669. As of June 30, 2021, total unrecognized stock-based compensation expense of $3,749,621 is expected to be recognized over a weighted-average recognition period of approximately 1.97 years.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Activity and Valuation</w:t>
      </w:r>
    </w:p>
    <w:p>
      <w:pPr>
        <w:spacing w:after="0" w:line="229"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On February 17, 2021, the Company granted a total of 490,666 incentive stock options to certain directors and non-employees. These options have an exercise price of between $0.25 per share and $0.75 per share, vested immediately upon grant, and expire between February 17, 2026 and February 26, 2026.</w:t>
      </w:r>
    </w:p>
    <w:p>
      <w:pPr>
        <w:spacing w:after="0" w:line="184"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On February 26, 2021, the Company granted a total of 40,400 incentive stock options to a consultant. These options have an exercise price between $0.25 per share, vested immediately upon grant, and expire on February 26, 2026.</w:t>
      </w:r>
    </w:p>
    <w:p>
      <w:pPr>
        <w:spacing w:after="0" w:line="170"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On March 4, 2021, the Company granted 4,973,237 incentive stock options to certain employees, directors and consultants under the Company’s STIP, as well as 8,450,000 incentive stock options to the same individuals under its LTIP.</w:t>
      </w:r>
    </w:p>
    <w:p>
      <w:pPr>
        <w:spacing w:after="0" w:line="17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stock options granted under the STIP expire on June 1, 2028, have and exercise prices ranging between $0.75 per share and $10 per share, and have vesting periods to a maximum of three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 options granted under the LTIP have an exercise price of $0.75 per share and expire on June 1, 2028. The LTIP awards vest as follows:</w:t>
      </w:r>
    </w:p>
    <w:p>
      <w:pPr>
        <w:spacing w:after="0" w:line="248" w:lineRule="exact"/>
        <w:rPr>
          <w:sz w:val="20"/>
          <w:szCs w:val="20"/>
          <w:color w:val="auto"/>
        </w:rPr>
      </w:pPr>
    </w:p>
    <w:p>
      <w:pPr>
        <w:ind w:left="980" w:hanging="324"/>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25% when the Company’s market capitalization equals $3 billion (“Tranche 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35% when the Company’s market capitalization equals $6 billion (“Tranche 2”);</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20% upon the date that the ISA grants an exploitation contract to the Company (“Tranche 3”);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20% upon the commencement of the first commercial production following the grant of the exploitation contract (“Tranche 4”).</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As the vesting of Tranche 1 and Tranche 2 is based on the Company’s market capitalization of $3 billion and $6 billion, respectively, these options are determined to be market-based awards (“Market Based Awards”) for which the Company has calculated fair value and derived a service period through which to expense the related fair value. The options included in Tranche 1 and Tranche 2 had a day one fair value of $6.47 per share and $6.28 per share and derived service periods of 0.33 years and 1.41 years, respectively. The Company will expense these awards rateably over the remaining service period.</w:t>
      </w:r>
    </w:p>
    <w:p>
      <w:pPr>
        <w:spacing w:after="0" w:line="188"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Tranche 3 and Tranche 4 of the LTIP stock options vest based on the ISA contract and the commencement of commercial production. These options are determined to be performance-based awards (“Performance Based Awards”). The Company will recognize compensation costs for the Performance Based Awards if and when the Company concludes that it is probable that the performance conditions will be achieved. As of June 30, 2021, no compensation expense related to the Performance Based Awards was recorded as the awarding of an ISA contract is outside the control of the Company. The Company will reassess the probability of the vesting of the Performance Based Awards at each reporting period and adjust the compensation cost when determined to be probable.</w:t>
      </w:r>
    </w:p>
    <w:p>
      <w:pPr>
        <w:spacing w:after="0" w:line="19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fair value of the options granted under the Company’s STIP was estimated on the date of grant using the Black-Scholes option pricing model, with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89.44%</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r>
      <w:tr>
        <w:trPr>
          <w:trHeight w:val="236"/>
        </w:trPr>
        <w:tc>
          <w:tcPr>
            <w:tcW w:w="9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color w:val="auto"/>
        </w:rPr>
        <w:t>The fair value of the Market Based Awards granted under the LTIP was estimated on the date of grant using a Monte Carlo model to simulate a distribution of future stock prices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Tranche 1</w:t>
            </w:r>
          </w:p>
        </w:tc>
      </w:tr>
      <w:tr>
        <w:trPr>
          <w:trHeight w:val="216"/>
        </w:trPr>
        <w:tc>
          <w:tcPr>
            <w:tcW w:w="5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and</w:t>
            </w:r>
          </w:p>
        </w:tc>
      </w:tr>
      <w:tr>
        <w:trPr>
          <w:trHeight w:val="241"/>
        </w:trPr>
        <w:tc>
          <w:tcPr>
            <w:tcW w:w="5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Tranche 2</w:t>
            </w:r>
          </w:p>
        </w:tc>
      </w:tr>
      <w:tr>
        <w:trPr>
          <w:trHeight w:val="216"/>
        </w:trPr>
        <w:tc>
          <w:tcPr>
            <w:tcW w:w="5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90.98%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6120" w:type="dxa"/>
            <w:vAlign w:val="bottom"/>
            <w:gridSpan w:val="3"/>
          </w:tcPr>
          <w:p>
            <w:pPr>
              <w:jc w:val="right"/>
              <w:ind w:right="160"/>
              <w:spacing w:after="0"/>
              <w:rPr>
                <w:sz w:val="20"/>
                <w:szCs w:val="20"/>
                <w:color w:val="auto"/>
              </w:rPr>
            </w:pPr>
            <w:r>
              <w:rPr>
                <w:rFonts w:ascii="Arial" w:cs="Arial" w:eastAsia="Arial" w:hAnsi="Arial"/>
                <w:sz w:val="18"/>
                <w:szCs w:val="18"/>
                <w:color w:val="auto"/>
              </w:rPr>
              <w:t>7.25</w:t>
            </w:r>
          </w:p>
        </w:tc>
      </w:tr>
      <w:tr>
        <w:trPr>
          <w:trHeight w:val="25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per share fair value of the Company’s Common Shares</w:t>
            </w:r>
          </w:p>
        </w:tc>
        <w:tc>
          <w:tcPr>
            <w:tcW w:w="6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r>
      <w:tr>
        <w:trPr>
          <w:trHeight w:val="642"/>
        </w:trPr>
        <w:tc>
          <w:tcPr>
            <w:tcW w:w="512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tcPr>
          <w:p>
            <w:pPr>
              <w:jc w:val="right"/>
              <w:ind w:right="4170"/>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60" w:right="300"/>
        <w:spacing w:after="0" w:line="277" w:lineRule="auto"/>
        <w:rPr>
          <w:sz w:val="20"/>
          <w:szCs w:val="20"/>
          <w:color w:val="auto"/>
        </w:rPr>
      </w:pPr>
      <w:r>
        <w:rPr>
          <w:rFonts w:ascii="Arial" w:cs="Arial" w:eastAsia="Arial" w:hAnsi="Arial"/>
          <w:sz w:val="18"/>
          <w:szCs w:val="18"/>
          <w:color w:val="auto"/>
        </w:rPr>
        <w:t>The fair value of the Performance Based Awards granted under the LTIP was estimated on the date of grant using the Black-Scholes option pricing model with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Tranche 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Tranche 4</w:t>
            </w:r>
          </w:p>
        </w:tc>
      </w:tr>
      <w:tr>
        <w:trPr>
          <w:trHeight w:val="216"/>
        </w:trPr>
        <w:tc>
          <w:tcPr>
            <w:tcW w:w="86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91.23%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91.23%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term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225" w:lineRule="exact"/>
        <w:rPr>
          <w:sz w:val="20"/>
          <w:szCs w:val="20"/>
          <w:color w:val="auto"/>
        </w:rPr>
      </w:pPr>
    </w:p>
    <w:p>
      <w:pPr>
        <w:ind w:left="360" w:right="580"/>
        <w:spacing w:after="0" w:line="277" w:lineRule="auto"/>
        <w:rPr>
          <w:sz w:val="20"/>
          <w:szCs w:val="20"/>
          <w:color w:val="auto"/>
        </w:rPr>
      </w:pPr>
      <w:r>
        <w:rPr>
          <w:rFonts w:ascii="Arial" w:cs="Arial" w:eastAsia="Arial" w:hAnsi="Arial"/>
          <w:sz w:val="18"/>
          <w:szCs w:val="18"/>
          <w:color w:val="auto"/>
        </w:rPr>
        <w:t>During the six months ended June 30, 2021, a total of 3,446,821 stock options were exercised for total proceeds of $2,563,156 with a weighted average exercise price of $0.74 per stock option.</w:t>
      </w:r>
    </w:p>
    <w:p>
      <w:pPr>
        <w:spacing w:after="0" w:line="170" w:lineRule="exact"/>
        <w:rPr>
          <w:sz w:val="20"/>
          <w:szCs w:val="20"/>
          <w:color w:val="auto"/>
        </w:rPr>
      </w:pPr>
    </w:p>
    <w:p>
      <w:pPr>
        <w:ind w:left="360" w:right="100"/>
        <w:spacing w:after="0" w:line="257" w:lineRule="auto"/>
        <w:rPr>
          <w:sz w:val="20"/>
          <w:szCs w:val="20"/>
          <w:color w:val="auto"/>
        </w:rPr>
      </w:pPr>
      <w:r>
        <w:rPr>
          <w:rFonts w:ascii="Arial" w:cs="Arial" w:eastAsia="Arial" w:hAnsi="Arial"/>
          <w:sz w:val="18"/>
          <w:szCs w:val="18"/>
          <w:color w:val="auto"/>
        </w:rPr>
        <w:t>During the six months ended June 30, 2021, the Company recognized $47,295,676 as common share option-based payments expense in the statement of loss and comprehensive loss (June 30, 2020 - $234,115). A total of $18,684,122 related to corporate matters and was charged to the statement of loss and comprehensive loss as common share options-based payments ($33,760 for the six months ended June 30, 2020). $28,611,554 represents the allocation of Company’s common share options-based payments to exploration activities, included within exploration expenses for the six months ended June 30, 2020 (June 30, 2020 - $200,355).</w:t>
      </w:r>
    </w:p>
    <w:p>
      <w:pPr>
        <w:spacing w:after="0" w:line="184" w:lineRule="exact"/>
        <w:rPr>
          <w:sz w:val="20"/>
          <w:szCs w:val="20"/>
          <w:color w:val="auto"/>
        </w:rPr>
      </w:pPr>
    </w:p>
    <w:p>
      <w:pPr>
        <w:ind w:left="340" w:hanging="332"/>
        <w:spacing w:after="0"/>
        <w:tabs>
          <w:tab w:leader="none" w:pos="3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subsidiary, DGE, is party to a consulting agreement with SSCS Pte. Ltd. (“SSCS”) to manage offshore engineering studies. A director of DGE is employed through SSCS Pte. Ltd. Consulting services during the six months period ended June 30, 2021, amounted to $137,500 (June 30, 2020 - $161,820) and are disclosed as external consulting and Exploration labour within exploration expenses (Note 4). As at June 30, 2021, the amount payable to SSCS amounted to $22,917 (December 31, 2020 - $22,917).</w:t>
      </w:r>
    </w:p>
    <w:p>
      <w:pPr>
        <w:spacing w:after="0" w:line="186" w:lineRule="exact"/>
        <w:rPr>
          <w:rFonts w:ascii="Arial" w:cs="Arial" w:eastAsia="Arial" w:hAnsi="Arial"/>
          <w:sz w:val="18"/>
          <w:szCs w:val="18"/>
          <w:b w:val="1"/>
          <w:bCs w:val="1"/>
          <w:color w:val="auto"/>
        </w:rPr>
      </w:pPr>
    </w:p>
    <w:p>
      <w:pPr>
        <w:ind w:left="3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six months ended June 30, 2021 amounted to $187,529 (June 30, 2020 - $186,264) and are disclosed as exploration labour within exploration expenses (Note 4). As at June 30, 2021, the amount payable to Ocean Renaissance amounted to $489 (December 31, 2020 - $175).</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NORI Exploration Contract</w:t>
      </w:r>
    </w:p>
    <w:p>
      <w:pPr>
        <w:spacing w:after="0" w:line="225" w:lineRule="exact"/>
        <w:rPr>
          <w:rFonts w:ascii="Arial" w:cs="Arial" w:eastAsia="Arial" w:hAnsi="Arial"/>
          <w:sz w:val="18"/>
          <w:szCs w:val="18"/>
          <w:b w:val="1"/>
          <w:bCs w:val="1"/>
          <w:color w:val="auto"/>
        </w:rPr>
      </w:pPr>
    </w:p>
    <w:p>
      <w:pPr>
        <w:ind w:left="34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part of NORI’s exploration contract with the ISA with respect to the NORI Area (Note 4), NORI committed to expending $5 million over the five-year period from 2017 to 2021. Such commitment has already been met. Such commitment is negotiated with the ISA and has flexibility where the amount can be reduced.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Marawa Exploration Contract</w:t>
      </w:r>
    </w:p>
    <w:p>
      <w:pPr>
        <w:spacing w:after="0" w:line="225"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As part of Marawa’s exploration contract with the ISA with respect to the Marawa Area (Note 4), Marawa commits to expending funds on exploration activities on an annual basis. The Commitment for fiscal 2021 is Australian dollar $2 million. Such commitment is negotiated with the ISA on an annual basis.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part of TOML’s exploration contract with the ISA with respect to the TOML Area (Note 4), TOML has committed to expending $30 million for a period from 2016 to 2021 in the first five-year review finalized in 2016. Such commitment has flexibility where the amount can be reduced by the ISA and such reduction would be dependent upon various factors including the success of the exploration programs and the availability of funding. As at June 30, 2021, the Company expended approximately $14.1 million. DeepGreen is expecting to discuss the progress since the acquisition of the TOML Group with the ISA later during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225" w:lineRule="exact"/>
        <w:rPr>
          <w:sz w:val="20"/>
          <w:szCs w:val="20"/>
          <w:color w:val="auto"/>
        </w:rPr>
      </w:pPr>
    </w:p>
    <w:p>
      <w:pPr>
        <w:ind w:left="340" w:right="40"/>
        <w:spacing w:after="0" w:line="296" w:lineRule="auto"/>
        <w:rPr>
          <w:sz w:val="20"/>
          <w:szCs w:val="20"/>
          <w:color w:val="auto"/>
        </w:rPr>
      </w:pPr>
      <w:r>
        <w:rPr>
          <w:rFonts w:ascii="Arial" w:cs="Arial" w:eastAsia="Arial" w:hAnsi="Arial"/>
          <w:sz w:val="16"/>
          <w:szCs w:val="16"/>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 nodules derived from the NORI Area at LME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ind w:left="340" w:right="80"/>
        <w:spacing w:after="0" w:line="296" w:lineRule="auto"/>
        <w:rPr>
          <w:sz w:val="20"/>
          <w:szCs w:val="20"/>
          <w:color w:val="auto"/>
        </w:rPr>
      </w:pPr>
      <w:r>
        <w:rPr>
          <w:rFonts w:ascii="Arial" w:cs="Arial" w:eastAsia="Arial" w:hAnsi="Arial"/>
          <w:sz w:val="16"/>
          <w:szCs w:val="16"/>
          <w:color w:val="auto"/>
        </w:rPr>
        <w:t>On July 5, 2017, the Republic of Nauru (“Nauru”), the Nauru Seabed Minerals Authority and NORI entered into a sponsorship agreement (the “NORI Sponsorship Agreement”) formalising certain obligations of the parties in relation to NORI’s exploration and potential exploitation of the NORI Area. Upon reaching a minimum level of nodule production from the tenement area, NORI will pay Nauru a seabed mineral recovery payment based on the wet tonnes of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61"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On March 8, 2008, the Kingdom of Tonga (“Tonga”) and TOML entered into a sponsorship agreement (the “TOML Sponsorship Agreement”) formalising certain obligations of the parties in relation to TOML’s exploration and potential exploitation of the TOML Area. Upon reaching a minimum recovery level of nodule production from the tenement area, TOML has agreed to pay Tonga a seabed mineral recovery payment based on the wet tonnes of polymetallic nodules recovered from the tenement area. In addition, TOML has agreed to pay the reasonable direct costs incurred by Tonga to administer the ISA obligations of Tonga to the ISA.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10. Supplemental Cash Flow Information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six months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issued to settle accounts payable and accrued liabilities. (Note 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12,879,057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color w:val="auto"/>
              </w:rPr>
              <w:t>Common Shares issued for exploration license acquisition (Note 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27,999,997</w:t>
            </w:r>
          </w:p>
        </w:tc>
      </w:tr>
    </w:tbl>
    <w:p>
      <w:pPr>
        <w:spacing w:after="0" w:line="179"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ind w:left="34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 Details on a geographical basis of the Company’s long-lived assets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Equipment</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1,500,338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Tonga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14,892</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1,515,101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1,309,677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34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preparing the consolidated financial statements for the period ended June 30, 2021, the Company has evaluated subsequent events for recognition and disclosure through September 9, 2021, the date that these unaudited consolidated financial statements and accompanying notes were available for issuance.</w:t>
      </w:r>
    </w:p>
    <w:p>
      <w:pPr>
        <w:spacing w:after="0" w:line="183" w:lineRule="exact"/>
        <w:rPr>
          <w:rFonts w:ascii="Arial" w:cs="Arial" w:eastAsia="Arial" w:hAnsi="Arial"/>
          <w:sz w:val="18"/>
          <w:szCs w:val="18"/>
          <w:b w:val="1"/>
          <w:bCs w:val="1"/>
          <w:color w:val="auto"/>
        </w:rPr>
      </w:pPr>
    </w:p>
    <w:p>
      <w:pPr>
        <w:ind w:left="3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9, 2021, the Company completed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on September 10, 2021 under the symbols “TMC” and “TMCWW,” respectively. As a result of the Business Combination, the Company received gross proceeds of approximately $137.5 million. Additional discussion about the Business Combination is provided in Item 2.01 of this Current Report on Form 8-K.</w:t>
      </w:r>
    </w:p>
    <w:p>
      <w:pPr>
        <w:spacing w:after="0" w:line="192" w:lineRule="exact"/>
        <w:rPr>
          <w:rFonts w:ascii="Arial" w:cs="Arial" w:eastAsia="Arial" w:hAnsi="Arial"/>
          <w:sz w:val="18"/>
          <w:szCs w:val="18"/>
          <w:b w:val="1"/>
          <w:bCs w:val="1"/>
          <w:color w:val="auto"/>
        </w:rPr>
      </w:pPr>
    </w:p>
    <w:p>
      <w:pPr>
        <w:ind w:left="34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Business Combination will be accounted for as a reverse recapitalization. The Company will be deemed the accounting predecessor and the combined entity will be the successor SEC registrant. As such, the Company’s financial statements for previous periods will be disclosed in the registrant’s future periodic reports filed with the SEC. Under this method of accounting, SOAC will be treated as the acquired company for financial statement reporting purposes.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DEEPGREEN’S 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operations of DeepGreen Metals Inc. (for purposes of this section, “DeepGreen,” “we,” “us” and “our”) should be read together with DeepGreen’s audited financial statements as of and for the years ended December 31, 2020 and 2019 included in the proxy statement/prospectus of TMC the metals company Inc. (formerly Sustainable Opportunities Acquisition Corp. (“</w:t>
      </w:r>
      <w:r>
        <w:rPr>
          <w:rFonts w:ascii="Arial" w:cs="Arial" w:eastAsia="Arial" w:hAnsi="Arial"/>
          <w:sz w:val="17"/>
          <w:szCs w:val="17"/>
          <w:i w:val="1"/>
          <w:iCs w:val="1"/>
          <w:u w:val="single" w:color="auto"/>
          <w:color w:val="auto"/>
        </w:rPr>
        <w:t>SOAC</w:t>
      </w:r>
      <w:r>
        <w:rPr>
          <w:rFonts w:ascii="Arial" w:cs="Arial" w:eastAsia="Arial" w:hAnsi="Arial"/>
          <w:sz w:val="17"/>
          <w:szCs w:val="17"/>
          <w:i w:val="1"/>
          <w:iCs w:val="1"/>
          <w:color w:val="auto"/>
        </w:rPr>
        <w:t>”)) filed with the Securities and Exchange Commission (the “</w:t>
      </w:r>
      <w:r>
        <w:rPr>
          <w:rFonts w:ascii="Arial" w:cs="Arial" w:eastAsia="Arial" w:hAnsi="Arial"/>
          <w:sz w:val="17"/>
          <w:szCs w:val="17"/>
          <w:i w:val="1"/>
          <w:iCs w:val="1"/>
          <w:u w:val="single" w:color="auto"/>
          <w:color w:val="auto"/>
        </w:rPr>
        <w:t>SEC</w:t>
      </w:r>
      <w:r>
        <w:rPr>
          <w:rFonts w:ascii="Arial" w:cs="Arial" w:eastAsia="Arial" w:hAnsi="Arial"/>
          <w:sz w:val="17"/>
          <w:szCs w:val="17"/>
          <w:i w:val="1"/>
          <w:iCs w:val="1"/>
          <w:color w:val="auto"/>
        </w:rPr>
        <w:t>”) on August 13, 2021 (the “</w:t>
      </w:r>
      <w:r>
        <w:rPr>
          <w:rFonts w:ascii="Arial" w:cs="Arial" w:eastAsia="Arial" w:hAnsi="Arial"/>
          <w:sz w:val="17"/>
          <w:szCs w:val="17"/>
          <w:i w:val="1"/>
          <w:iCs w:val="1"/>
          <w:u w:val="single" w:color="auto"/>
          <w:color w:val="auto"/>
        </w:rPr>
        <w:t>proxy statement/prospectus</w:t>
      </w:r>
      <w:r>
        <w:rPr>
          <w:rFonts w:ascii="Arial" w:cs="Arial" w:eastAsia="Arial" w:hAnsi="Arial"/>
          <w:sz w:val="17"/>
          <w:szCs w:val="17"/>
          <w:i w:val="1"/>
          <w:iCs w:val="1"/>
          <w:color w:val="auto"/>
        </w:rPr>
        <w:t>”) and DeepGreen’s unaudited interim financial statements as of June 30, 2021 and for the six months ended June 30, 2021 and 2020, together with the related notes thereto, contained in Exhibit 99.</w:t>
      </w:r>
      <w:r>
        <w:rPr>
          <w:rFonts w:ascii="Arial" w:cs="Arial" w:eastAsia="Arial" w:hAnsi="Arial"/>
          <w:sz w:val="17"/>
          <w:szCs w:val="17"/>
          <w:color w:val="auto"/>
        </w:rPr>
        <w:t>2</w:t>
      </w:r>
      <w:r>
        <w:rPr>
          <w:rFonts w:ascii="Arial" w:cs="Arial" w:eastAsia="Arial" w:hAnsi="Arial"/>
          <w:sz w:val="17"/>
          <w:szCs w:val="17"/>
          <w:i w:val="1"/>
          <w:iCs w:val="1"/>
          <w:color w:val="auto"/>
        </w:rPr>
        <w:t xml:space="preserve"> to this Current Report on Form 8-K. This discussion contains forward-looking statements and involves numerous risks and uncertainties, including, but not limited to, those described under the heading “Risk Factors” section of this Current Report on Form 8-K. Actual results may differ materially from those contained in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of the Clarion Clipperton Zone (“</w:t>
      </w:r>
      <w:r>
        <w:rPr>
          <w:rFonts w:ascii="Arial" w:cs="Arial" w:eastAsia="Arial" w:hAnsi="Arial"/>
          <w:sz w:val="17"/>
          <w:szCs w:val="17"/>
          <w:u w:val="single" w:color="auto"/>
          <w:color w:val="auto"/>
        </w:rPr>
        <w:t>CCZ</w:t>
      </w:r>
      <w:r>
        <w:rPr>
          <w:rFonts w:ascii="Arial" w:cs="Arial" w:eastAsia="Arial" w:hAnsi="Arial"/>
          <w:sz w:val="17"/>
          <w:szCs w:val="17"/>
          <w:color w:val="auto"/>
        </w:rPr>
        <w:t>”). We are also developing technology for onshore processing of polymetallic nodules and are working with Allseas Group S.A. (“</w:t>
      </w:r>
      <w:r>
        <w:rPr>
          <w:rFonts w:ascii="Arial" w:cs="Arial" w:eastAsia="Arial" w:hAnsi="Arial"/>
          <w:sz w:val="17"/>
          <w:szCs w:val="17"/>
          <w:u w:val="single" w:color="auto"/>
          <w:color w:val="auto"/>
        </w:rPr>
        <w:t>Allseas</w:t>
      </w:r>
      <w:r>
        <w:rPr>
          <w:rFonts w:ascii="Arial" w:cs="Arial" w:eastAsia="Arial" w:hAnsi="Arial"/>
          <w:sz w:val="17"/>
          <w:szCs w:val="17"/>
          <w:color w:val="auto"/>
        </w:rPr>
        <w:t>”) to develop a system to collect, lift and transport nodules from the seafloor to shore. The plan for the collection of polymetallic nodules includes offshore collection systems, which are comprised of collector vehicles on the seafloor, a riser and lift system, and a production support vessel to collect the polymetallic nodules. The nodules would be expected to be collected from the seafloor by self-propelled, tracked collector vehicles. No rock cutting, digging, drill-and-blast or other breakage are expected to be required at the point of collection. The collectors would be remotely controlled and supplied with electric power via umbilical cables from the production support vessel. In order to test the collection system, a contract has been entered into with Allseas to undertake a pre-production collector test.</w:t>
      </w:r>
    </w:p>
    <w:p>
      <w:pPr>
        <w:spacing w:after="0" w:line="17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6"/>
          <w:szCs w:val="16"/>
          <w:color w:val="auto"/>
        </w:rPr>
        <w:t>Our wholly-owned subsidiary, Nauru Ocean Resources Inc. (“</w:t>
      </w:r>
      <w:r>
        <w:rPr>
          <w:rFonts w:ascii="Arial" w:cs="Arial" w:eastAsia="Arial" w:hAnsi="Arial"/>
          <w:sz w:val="16"/>
          <w:szCs w:val="16"/>
          <w:u w:val="single" w:color="auto"/>
          <w:color w:val="auto"/>
        </w:rPr>
        <w:t>NORI</w:t>
      </w:r>
      <w:r>
        <w:rPr>
          <w:rFonts w:ascii="Arial" w:cs="Arial" w:eastAsia="Arial" w:hAnsi="Arial"/>
          <w:sz w:val="16"/>
          <w:szCs w:val="16"/>
          <w:color w:val="auto"/>
        </w:rPr>
        <w:t>”), sponsored by the Republic of Nauru, was granted an exploration license by the International Seabed Authority (the “</w:t>
      </w:r>
      <w:r>
        <w:rPr>
          <w:rFonts w:ascii="Arial" w:cs="Arial" w:eastAsia="Arial" w:hAnsi="Arial"/>
          <w:sz w:val="16"/>
          <w:szCs w:val="16"/>
          <w:u w:val="single" w:color="auto"/>
          <w:color w:val="auto"/>
        </w:rPr>
        <w:t>ISA</w:t>
      </w:r>
      <w:r>
        <w:rPr>
          <w:rFonts w:ascii="Arial" w:cs="Arial" w:eastAsia="Arial" w:hAnsi="Arial"/>
          <w:sz w:val="16"/>
          <w:szCs w:val="16"/>
          <w:color w:val="auto"/>
        </w:rPr>
        <w:t>”) in July 2011 granting NORI exclusive rights to explore for polymetallic nodules in a region of the CCZ covering 74,830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allocated to the Republic of Nauru (“</w:t>
      </w:r>
      <w:r>
        <w:rPr>
          <w:rFonts w:ascii="Arial" w:cs="Arial" w:eastAsia="Arial" w:hAnsi="Arial"/>
          <w:sz w:val="16"/>
          <w:szCs w:val="16"/>
          <w:u w:val="single" w:color="auto"/>
          <w:color w:val="auto"/>
        </w:rPr>
        <w:t>NORI Area</w:t>
      </w:r>
      <w:r>
        <w:rPr>
          <w:rFonts w:ascii="Arial" w:cs="Arial" w:eastAsia="Arial" w:hAnsi="Arial"/>
          <w:sz w:val="16"/>
          <w:szCs w:val="16"/>
          <w:color w:val="auto"/>
        </w:rPr>
        <w:t>”). Similarly, through Marawa Research and Exploration Limited (“</w:t>
      </w:r>
      <w:r>
        <w:rPr>
          <w:rFonts w:ascii="Arial" w:cs="Arial" w:eastAsia="Arial" w:hAnsi="Arial"/>
          <w:sz w:val="16"/>
          <w:szCs w:val="16"/>
          <w:u w:val="single" w:color="auto"/>
          <w:color w:val="auto"/>
        </w:rPr>
        <w:t>Marawa</w:t>
      </w:r>
      <w:r>
        <w:rPr>
          <w:rFonts w:ascii="Arial" w:cs="Arial" w:eastAsia="Arial" w:hAnsi="Arial"/>
          <w:sz w:val="16"/>
          <w:szCs w:val="16"/>
          <w:color w:val="auto"/>
        </w:rPr>
        <w:t>”), we</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were granted rights by the ISA to polymetallic nodules exploration in an area of 74,990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the CCZ allocated to the Republic of Kiribati. We entered into an option agreement with Marawa to purchase such tenements granted to exclusively collect nodules from this area in return for a royalty payable to Marawa. During the year ended December 31, 2020, we acquired Tonga Offshore Mining Limited (“</w:t>
      </w:r>
      <w:r>
        <w:rPr>
          <w:rFonts w:ascii="Arial" w:cs="Arial" w:eastAsia="Arial" w:hAnsi="Arial"/>
          <w:sz w:val="16"/>
          <w:szCs w:val="16"/>
          <w:u w:val="single" w:color="auto"/>
          <w:color w:val="auto"/>
        </w:rPr>
        <w:t>TOML</w:t>
      </w:r>
      <w:r>
        <w:rPr>
          <w:rFonts w:ascii="Arial" w:cs="Arial" w:eastAsia="Arial" w:hAnsi="Arial"/>
          <w:sz w:val="16"/>
          <w:szCs w:val="16"/>
          <w:color w:val="auto"/>
        </w:rPr>
        <w:t>”), which was granted an exploration license by</w:t>
      </w:r>
    </w:p>
    <w:p>
      <w:pPr>
        <w:spacing w:after="0" w:line="1"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the ISA in January 2012 and has exclusive rights to explore for polymetallic nodules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the CCZ under the supervision of the Kingdom of Tonga.</w:t>
      </w:r>
    </w:p>
    <w:p>
      <w:pPr>
        <w:spacing w:after="0" w:line="20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are an exploration stage company with no revenue to date that has incurred a net loss of $83.7 million for the six months ended June 30, 2021, compared to $32.8 million in the prior year period. We incurred a net loss of $56.6 million for the year ended December 31, 2020 and had an accumulated deficit of approximately $246.6 million from inception through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September 9, 2021, we completed our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Global Select Market (“</w:t>
      </w:r>
      <w:r>
        <w:rPr>
          <w:rFonts w:ascii="Arial" w:cs="Arial" w:eastAsia="Arial" w:hAnsi="Arial"/>
          <w:sz w:val="18"/>
          <w:szCs w:val="18"/>
          <w:u w:val="single" w:color="auto"/>
          <w:color w:val="auto"/>
        </w:rPr>
        <w:t>Nasdaq</w:t>
      </w:r>
      <w:r>
        <w:rPr>
          <w:rFonts w:ascii="Arial" w:cs="Arial" w:eastAsia="Arial" w:hAnsi="Arial"/>
          <w:sz w:val="18"/>
          <w:szCs w:val="18"/>
          <w:color w:val="auto"/>
        </w:rPr>
        <w:t>”) on September 10, 2021 under the symbols “TMC” and “TMCWW,” respectively. As a result of the Business Combination, we received gross proceeds of approximately $137.5 million. Additional discussion about the Business Combination is provided in Item 2.01 of this Current Report on Form 8-K.</w:t>
      </w:r>
    </w:p>
    <w:p>
      <w:pPr>
        <w:spacing w:after="0" w:line="19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DeepGreen will be deemed the accounting predecessor and the combined entity will be the successor SEC registrant. As such, DeepGreen’s financial statements for previous periods will be disclosed in the registrant’s future periodic reports filed with the SEC. Under this method of accounting, SOAC will be treated as the acquired company for financial statement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ind w:right="140" w:firstLine="324"/>
        <w:spacing w:after="0" w:line="275" w:lineRule="auto"/>
        <w:rPr>
          <w:sz w:val="20"/>
          <w:szCs w:val="20"/>
          <w:color w:val="auto"/>
        </w:rPr>
      </w:pPr>
      <w:r>
        <w:rPr>
          <w:rFonts w:ascii="Arial" w:cs="Arial" w:eastAsia="Arial" w:hAnsi="Arial"/>
          <w:sz w:val="17"/>
          <w:szCs w:val="17"/>
          <w:color w:val="auto"/>
        </w:rPr>
        <w:t>Following the Business Combination, we have become the successor to an SEC-registered company and a Nasdaq listed company, which will require us to hire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ind w:right="220" w:firstLine="324"/>
        <w:spacing w:after="0" w:line="225" w:lineRule="auto"/>
        <w:rPr>
          <w:sz w:val="20"/>
          <w:szCs w:val="20"/>
          <w:color w:val="auto"/>
        </w:rPr>
      </w:pPr>
      <w:r>
        <w:rPr>
          <w:rFonts w:ascii="Arial" w:cs="Arial" w:eastAsia="Arial" w:hAnsi="Arial"/>
          <w:sz w:val="18"/>
          <w:szCs w:val="18"/>
          <w:color w:val="auto"/>
        </w:rPr>
        <w:t>NORI was granted the NORI Exploration Contract on July 22, 2011. The contract was acquired for $0.25 million and provides NORI with exclusive rights to explore for polymetallic nodules in an area covering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subject to complying with the exploration contract terms and the priority right to apply for an exploitation contract to collect polymetallic nodules in the same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TOML was granted the TOML Exploration Contract on January 11, 2012. The contract was acquired by us during the year ended December 31, 2020 in connection with its acquisition of TOML for $32 million from Deep Sea Mining Finance Ltd. (“</w:t>
      </w:r>
      <w:r>
        <w:rPr>
          <w:rFonts w:ascii="Arial" w:cs="Arial" w:eastAsia="Arial" w:hAnsi="Arial"/>
          <w:sz w:val="16"/>
          <w:szCs w:val="16"/>
          <w:u w:val="single" w:color="auto"/>
          <w:color w:val="auto"/>
        </w:rPr>
        <w:t>Deep Sea Mining</w:t>
      </w:r>
      <w:r>
        <w:rPr>
          <w:rFonts w:ascii="Arial" w:cs="Arial" w:eastAsia="Arial" w:hAnsi="Arial"/>
          <w:sz w:val="16"/>
          <w:szCs w:val="16"/>
          <w:color w:val="auto"/>
        </w:rPr>
        <w:t>”). TOML has exclusive rights to</w:t>
      </w:r>
    </w:p>
    <w:p>
      <w:pPr>
        <w:ind w:right="940"/>
        <w:spacing w:after="0" w:line="209" w:lineRule="auto"/>
        <w:rPr>
          <w:sz w:val="20"/>
          <w:szCs w:val="20"/>
          <w:color w:val="auto"/>
        </w:rPr>
      </w:pPr>
      <w:r>
        <w:rPr>
          <w:rFonts w:ascii="Arial" w:cs="Arial" w:eastAsia="Arial" w:hAnsi="Arial"/>
          <w:sz w:val="18"/>
          <w:szCs w:val="18"/>
          <w:color w:val="auto"/>
        </w:rPr>
        <w:t>explore for 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and a priority right to apply for an exploitation contract to collect polymetallic nodules in the TOML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On March 17, 2012, our subsidiary DeepGreen Engineering Pte Ltd. (“</w:t>
      </w:r>
      <w:r>
        <w:rPr>
          <w:rFonts w:ascii="Arial" w:cs="Arial" w:eastAsia="Arial" w:hAnsi="Arial"/>
          <w:sz w:val="17"/>
          <w:szCs w:val="17"/>
          <w:u w:val="single" w:color="auto"/>
          <w:color w:val="auto"/>
        </w:rPr>
        <w:t>DGE</w:t>
      </w:r>
      <w:r>
        <w:rPr>
          <w:rFonts w:ascii="Arial" w:cs="Arial" w:eastAsia="Arial" w:hAnsi="Arial"/>
          <w:sz w:val="17"/>
          <w:szCs w:val="17"/>
          <w:color w:val="auto"/>
        </w:rPr>
        <w:t>”) entered into an Option Agreement with Marawa and the Republic of Kiribati (the “</w:t>
      </w:r>
      <w:r>
        <w:rPr>
          <w:rFonts w:ascii="Arial" w:cs="Arial" w:eastAsia="Arial" w:hAnsi="Arial"/>
          <w:sz w:val="17"/>
          <w:szCs w:val="17"/>
          <w:u w:val="single" w:color="auto"/>
          <w:color w:val="auto"/>
        </w:rPr>
        <w:t>Option Agreement</w:t>
      </w:r>
      <w:r>
        <w:rPr>
          <w:rFonts w:ascii="Arial" w:cs="Arial" w:eastAsia="Arial" w:hAnsi="Arial"/>
          <w:sz w:val="17"/>
          <w:szCs w:val="17"/>
          <w:color w:val="auto"/>
        </w:rPr>
        <w:t>”). The Option Agreement was amended on October 1, 2013. Under the amended Option Agreement, for an option fee of $0.3 million, DGE has the right to purchase tenements, as may be granted to Marawa by the ISA or any other regulatory body, for the greater of $0.3 million or the value of any amounts owing to DGE by Marawa. This option, can be exercised when a default event, as defined in the foregoing agreement, occurs at any time within 40 years after the date of execution of the Option agreement.</w:t>
      </w:r>
    </w:p>
    <w:p>
      <w:pPr>
        <w:spacing w:after="0" w:line="17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October 1, 2013, DGE also entered into the Services Agreement with Marawa and Kiribati, which grants DGE the exclusive right to carry out all exploration and collection in the Marawa Area. Under this agreement, DGE will pay to the ISA on behalf of Marawa, ISA royalty and taxes as well as the ISA exploitation application fee of $0.3 million and annual administrative costs. In addition, DGE will ensure that the activities carried out in the Marawa Area by DGE and any other service contractor complies with the ISA and any other required regulations. The Marawa Area is situated in close proximity to the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NORI Area.</w:t>
      </w:r>
    </w:p>
    <w:p>
      <w:pPr>
        <w:spacing w:after="0" w:line="5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Services Agreement grants DGE the right to recover any and all polymetallic nodules from the Marawa Area by paying the Republic of Kiribati a royalty per wet tonne of polymetallic nodules (adjusted for inflation from October 1, 2013 onwards).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DGE has the right to terminate the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and the Services Agreement.</w:t>
      </w:r>
    </w:p>
    <w:p>
      <w:pPr>
        <w:spacing w:after="0" w:line="18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 xml:space="preserve">For more information about each of the NORI Exploration Contract, the TOML Exploration Contract and the Marawa Option Agreement and Services Agreement, please see the section entitled </w:t>
      </w:r>
      <w:r>
        <w:rPr>
          <w:rFonts w:ascii="Arial" w:cs="Arial" w:eastAsia="Arial" w:hAnsi="Arial"/>
          <w:sz w:val="16"/>
          <w:szCs w:val="16"/>
          <w:i w:val="1"/>
          <w:iCs w:val="1"/>
          <w:color w:val="auto"/>
        </w:rPr>
        <w:t>“Information About DeepGreen — Government Regulation</w:t>
      </w:r>
      <w:r>
        <w:rPr>
          <w:rFonts w:ascii="Arial" w:cs="Arial" w:eastAsia="Arial" w:hAnsi="Arial"/>
          <w:sz w:val="16"/>
          <w:szCs w:val="16"/>
          <w:color w:val="auto"/>
        </w:rPr>
        <w:t>” included in the proxy statement/prospectus.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ind w:right="220" w:firstLine="324"/>
        <w:spacing w:after="0" w:line="287" w:lineRule="auto"/>
        <w:rPr>
          <w:sz w:val="20"/>
          <w:szCs w:val="20"/>
          <w:color w:val="auto"/>
        </w:rPr>
      </w:pPr>
      <w:r>
        <w:rPr>
          <w:rFonts w:ascii="Arial" w:cs="Arial" w:eastAsia="Arial" w:hAnsi="Arial"/>
          <w:sz w:val="16"/>
          <w:szCs w:val="16"/>
          <w:color w:val="auto"/>
        </w:rPr>
        <w:t>On March 31, 2020, we entered into an acquisition agreement to acquire the polymetallic nodules business unit from Deep Sea Mining (the “</w:t>
      </w:r>
      <w:r>
        <w:rPr>
          <w:rFonts w:ascii="Arial" w:cs="Arial" w:eastAsia="Arial" w:hAnsi="Arial"/>
          <w:sz w:val="16"/>
          <w:szCs w:val="16"/>
          <w:u w:val="single" w:color="auto"/>
          <w:color w:val="auto"/>
        </w:rPr>
        <w:t>TOML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w:t>
      </w:r>
      <w:r>
        <w:rPr>
          <w:rFonts w:ascii="Arial" w:cs="Arial" w:eastAsia="Arial" w:hAnsi="Arial"/>
          <w:sz w:val="16"/>
          <w:szCs w:val="16"/>
          <w:color w:val="auto"/>
        </w:rPr>
        <w:t>”). As part of the TOML Acquisition, we acquired various subsidiaries in the TOML group for a total purchase price of $32 million. TOML holds the TOML Exploration Contract with the ISA. The TOML Acquisition includes the exclusive rights held by TOML to explore for polymetallic</w:t>
      </w:r>
    </w:p>
    <w:p>
      <w:pPr>
        <w:spacing w:after="0" w:line="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a priority right to apply for an exploitation contract to collect polymetallic nodules in the same area, and some exploration related equipment. The TOML group also holds various patents and an application right with respect to a prospecting exploration license in the Republic of Kiribati.</w:t>
      </w:r>
    </w:p>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purchase price of $32 million was settled through initial cash payments of $0.5 million in two tranches, the issuance of 7.8 million DeepGreen Common Shares at the mutually agreed price of $3.60 per share between both parties for a total amount of $28 million, $0.06 million payment to ISA on behalf of Deep Sea Mining and deferred consideration of $3.44 million, which was to be paid in tranches. The deferred consideration has been fully paid as at June 30, 2021.</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determined that the value of TOML acquisition was substantially concentrated in the TOML Exploration Contract and therefore considered this to be an acquisition of a group of connected assets rather than an acquisition of a business. As a consequence, the total cost of the transaction was primarily allocated to exploration licenses.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are a pre-revenue company. We believe that our performance and future success depends on several factors that present significant opportunities but also poses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the proxy statement/prospectus.</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recovery of polymetallic nodules from our exploration licenses and attainment of revenue and profitable operations is dependent upon many factors including, among other things: financing being arranged by us to continue operations, exploration and delineation of the resources on the ocean floor; development of collection technology and systems for the extraction of polymetallic nodules as well as development of processing technology for the treatment of polymetallic nodules to produce saleable products, the establishment of a mineable resource, demonstration of the commercial and technical feasibility of seafloor polymetallic nodule collection considering processing, metal prices, and regulatory approval for nodule collection and environmental permitting. The outcome of these matters cannot presently be determined because they are contingent on future events.</w:t>
      </w:r>
    </w:p>
    <w:p>
      <w:pPr>
        <w:spacing w:after="0" w:line="16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To date, no exploitation has occurred under the ISA’s regulatory regime. Moreover, despite the release by the ISA of the Draft Regulations on Exploitation of Mineral Resources, finalization of such regulations remains subject to the decision of the members of the ISA. Although the ISA declared a target of July 2020 to have the regulations approved, the July session was deferred as a result of the COVID-19 pandemic. Although we expect that the new regulations will be approved within the next two years, there can be no assurance that such regulations will be approved then, or at all, which would have a material adverse effect on our ability to conduct our business as currently contemplated.</w:t>
      </w:r>
    </w:p>
    <w:p>
      <w:pPr>
        <w:spacing w:after="0" w:line="17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June 25, 2021, the Republic of Nauru submitted its notice to the ISA requesting that it completes,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United Nations Convention on the Law of the Sea (“</w:t>
      </w:r>
      <w:r>
        <w:rPr>
          <w:rFonts w:ascii="Arial" w:cs="Arial" w:eastAsia="Arial" w:hAnsi="Arial"/>
          <w:sz w:val="17"/>
          <w:szCs w:val="17"/>
          <w:u w:val="single" w:color="auto"/>
          <w:color w:val="auto"/>
        </w:rPr>
        <w:t>UNCLOS</w:t>
      </w:r>
      <w:r>
        <w:rPr>
          <w:rFonts w:ascii="Arial" w:cs="Arial" w:eastAsia="Arial" w:hAnsi="Arial"/>
          <w:sz w:val="17"/>
          <w:szCs w:val="17"/>
          <w:color w:val="auto"/>
        </w:rPr>
        <w:t>”); (ii) any rules, regulations and procedures that the ISA may have adopted provisionally at the time, (iii) on the basis of the norms contained in the UNCLOS, and (iv) the principle of non-discrimination among contractors.</w:t>
      </w:r>
    </w:p>
    <w:p>
      <w:pPr>
        <w:spacing w:after="0" w:line="1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exploitation and development of polymetallic nodules within the International Seabed Area will require approval of an exploitation contract (which will authorize nodule collection activities), along with approvals including with respect to a required Environmental and Social Impact Assessment (“</w:t>
      </w:r>
      <w:r>
        <w:rPr>
          <w:rFonts w:ascii="Arial" w:cs="Arial" w:eastAsia="Arial" w:hAnsi="Arial"/>
          <w:sz w:val="18"/>
          <w:szCs w:val="18"/>
          <w:u w:val="single" w:color="auto"/>
          <w:color w:val="auto"/>
        </w:rPr>
        <w:t>ESIA</w:t>
      </w:r>
      <w:r>
        <w:rPr>
          <w:rFonts w:ascii="Arial" w:cs="Arial" w:eastAsia="Arial" w:hAnsi="Arial"/>
          <w:sz w:val="18"/>
          <w:szCs w:val="18"/>
          <w:color w:val="auto"/>
        </w:rPr>
        <w:t>”). In order to collect the mineral resources and commercialize our projects, NORI and TOML will each need to obtain an exploitation contract, in addition to related permits that may be required by our partners to conduct operations including with respect to onshore processing and international maritime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6" w:name="page137"/>
    <w:bookmarkEnd w:id="136"/>
    <w:p>
      <w:pPr>
        <w:ind w:firstLine="324"/>
        <w:spacing w:after="0" w:line="290" w:lineRule="auto"/>
        <w:rPr>
          <w:sz w:val="20"/>
          <w:szCs w:val="20"/>
          <w:color w:val="auto"/>
        </w:rPr>
      </w:pPr>
      <w:r>
        <w:rPr>
          <w:rFonts w:ascii="Arial" w:cs="Arial" w:eastAsia="Arial" w:hAnsi="Arial"/>
          <w:sz w:val="16"/>
          <w:szCs w:val="16"/>
          <w:color w:val="auto"/>
        </w:rPr>
        <w:t>The ISA is currently working on the development of a legal framework to regulate the exploitation of polymetallic nodules in the International Seabed Area. Royalties, taxes, and fees payable on any future production from our contract areas will be stipulated in the ISA’s exploitation regulations. While the rates of payments are yet to be set by the ISA, the 1994 Implementation Agreement prescribes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exploitation of polymetallic nodules in the International Seabed Area and forecasts developed by us have been informed by these discussions. There can be no assurance that the ISA will put in place exploitation regulations in a timely manner or at all. Such exploitation regulations may also impose burdensome obligations or restrictions on us, and/or may contain terms that do not enable us to develop our projects.</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collected on a commercial scale, and it is not clear what environmental parameters may need to be measured to satisfy regulatory authorities that an exploitation contract should be granted. A full ESIA for deep-sea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an exploitation contract application. Environmental legislation is evolving in a manner which is likely to require stricter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impracticable restoration or rehabilitation obligations on our collecting process. Any such obligations, to the extent they are overly burdensome, could result in material changes to our business as currently contemplated.</w:t>
      </w:r>
    </w:p>
    <w:p>
      <w:pPr>
        <w:spacing w:after="0" w:line="1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Although the environmental impact review process has not yet been finalized, all contractors have been made aware of the requirement to complete baseline studies and an ESIA, culminating in an Environmental Impact Statement (“</w:t>
      </w:r>
      <w:r>
        <w:rPr>
          <w:rFonts w:ascii="Arial" w:cs="Arial" w:eastAsia="Arial" w:hAnsi="Arial"/>
          <w:sz w:val="16"/>
          <w:szCs w:val="16"/>
          <w:u w:val="single" w:color="auto"/>
          <w:color w:val="auto"/>
        </w:rPr>
        <w:t>EIS</w:t>
      </w:r>
      <w:r>
        <w:rPr>
          <w:rFonts w:ascii="Arial" w:cs="Arial" w:eastAsia="Arial" w:hAnsi="Arial"/>
          <w:sz w:val="16"/>
          <w:szCs w:val="16"/>
          <w:color w:val="auto"/>
        </w:rPr>
        <w:t>”) prior to collecting. There are no guarantees that the ISA will evaluate any exploration contract application by our subsidiaries in a timely manner, and even if the ISA does timely evaluate such applications(s), such subsidiary may be required to submit a supplementary EIS before being approved. This may result in delays that could impact our projected timeframe for collection and production. Furthermore, in the event that the ISA timely evaluates and approves an application, any aspect of such application and approval theoretically could be subject to legal challenges which could result in further delays that could detrimentally impact our business.</w:t>
      </w:r>
    </w:p>
    <w:p>
      <w:pPr>
        <w:spacing w:after="0" w:line="16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environmental permitting process is expected to involve a series of checks and balances with reviews being conducted by the ISA. There are no assurances that the work our subsidiaries have done to date or that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the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w:t>
      </w:r>
    </w:p>
    <w:p>
      <w:pPr>
        <w:spacing w:after="0" w:line="16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Seafloor polymetallic nodules have never been mined on a commercial scale, and there is a risk that our collection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our business, results of operations and financial condition. We have partnered with Allseas, a leading global offshore contractor, to undertake a pre-production pilot collector test in which a collector vehicle, a riser and lift system and other systems will be tested. Although we expect the pilot collector test to be successful, there can be no assurance that it will be, or that their technology will eventually be adequate to collect polymetallic nodules on a commercial scale.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right="240" w:firstLine="324"/>
        <w:spacing w:after="0" w:line="286" w:lineRule="auto"/>
        <w:rPr>
          <w:sz w:val="20"/>
          <w:szCs w:val="20"/>
          <w:color w:val="auto"/>
        </w:rPr>
      </w:pPr>
      <w:r>
        <w:rPr>
          <w:rFonts w:ascii="Arial" w:cs="Arial" w:eastAsia="Arial" w:hAnsi="Arial"/>
          <w:sz w:val="17"/>
          <w:szCs w:val="17"/>
          <w:color w:val="auto"/>
        </w:rPr>
        <w:t>If NORI and TOML are each able to obtain an exploitation contract after the ISA finalizes the exploitation regulations, in addition to any related permits that may be required, and the Allseas pilot collector test is successful and we are able to collect, transport and process polymetallic nodules on a commercial scale and sell metals from such operations, we expect to be able to generate revenue beginning in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March 2020, the World Health Organization declared the global outbreak of COVID-19 to be a pandemic. We continue to closely monitor the recent developments surrounding the continued spread and potential resurgence of COVID-19. The COVID-19 pandemic may have an adverse impact on our operations, particularly as a result of preventive and precautionary measures that our company, other businesses, and governments are taking. Refer to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the proxy statement/prospectus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in costs going forward. We will continue to monitor the performance of our business and reassess the impacts of COVID-19.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We are an exploration-stage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and/or TOML receive an exploitation contract from the ISA and we are able to successfully collect polymetallic nodules and process the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expense all costs relating to exploration for and development of mineral resources. Such exploration and development costs include, but are not limited to, ISA contract management, geological, geochemical and geophysical studies, environmental baseline studies and process development. The acquisition cost of mineral contracts would be charged to operations on a unit-of-production method based on proven and probable reserves should commercial production commence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Selling, general and administrative, or SG&amp;A, expenses consist primarily of compensation for employees, consultants and directors, including stock-based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Stock-based compensation cost from the issuance of stock options is measured at the grant date based on the fair value of the award and is recognized over the related service period. Stock-based compensation costs are charged to exploration expenses and general and administrative expense depending on the function fulfilled by the option holder. In instances stock options are issued for financing related services, the costs are included within equity as part of the financing costs. We recognize forfeiture of any awards as they occur.</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expect SG&amp;A expenses to continue to increase in absolute dollars as we expand our infrastructure to commence production and due to additional legal, accounting, insurance and other expenses associated with being a public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Interest income consists primarily of interest income earned on our cash and cash equivalents. We expect interest income to increase considerably into the future given the increase of cash on our balance sheet as a result of the Business Combination.</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Interest expense results from our financing transactions, specifically the convertible debentures issued in February 2021, which accrue interest at 7% per annum.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also to the settlement of costs incurred in foreign currencies, depending on either the strengthening or weakening of the US dollar.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color w:val="auto"/>
              </w:rPr>
              <w:t>Comparison of the Six Months Ended June 30, 2021 and 2020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40" w:type="dxa"/>
            <w:vAlign w:val="bottom"/>
          </w:tcPr>
          <w:p>
            <w:pPr>
              <w:spacing w:after="0"/>
              <w:rPr>
                <w:sz w:val="24"/>
                <w:szCs w:val="24"/>
                <w:color w:val="auto"/>
              </w:rPr>
            </w:pPr>
          </w:p>
        </w:tc>
        <w:tc>
          <w:tcPr>
            <w:tcW w:w="26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6"/>
              </w:rPr>
              <w:t>Six Months Ended June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0"/>
              </w:rPr>
              <w:t>(dollar amounts in thousands)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SG&amp;A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28,265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26,639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32,760</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50,955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Exploration expenses increased by approximately $23.5 million, or 76%, to $54.7 million during the six months ended June 30, 2021, compared to $31.2 million during the six months ended June 30, 2020. This increase was primarily due to the recognition of $28.6 million (compared to $0.2 million during the same period in 2020) of stock-based compensation from the issuance of stock options granted to personnel during the six months ended June 30, 2021. The stock-based compensation cost for the stock options granted to individuals involved in the exploration activities is included within exploration expenses for the periods. In addition, the cost of marine cruises that we undertook during the six months ended June 30, 2021 was $21.0 million (compared to $14.8 million during the same period in 2020). We have a strategic partnership with Maersk, as described below, pursuant to which we settled the costs for marine vessel services provided by Maersk through the issuance of DeepGreen Common Shares. Such DeepGreen Common Shares were recognized at their fair value and the changes in such fair value had a significant impact on its exploration expenditures. During March 2021, we revised our arrangement with Maersk, which now requires settlement of marine vessel services in cash instead of DeepGreen Common Shares and going forward, such costs are expected to reflect the cost of the marine cruises undertaken with no additional impact on the cost resulting from the change in the fair value of DeepGreen Common Shares. This overall increase in cost was offset by $11.7 million of cost recognized related to the amendment to our agreement with Allseas (as further described below), whereby we paid an additional $10 million and issued 2.8 million DeepGreen Common Shares to Allseas during the six months ended June 30, 2020. We expect exploration expenses to increase during the remainder of 2021 due to an increase in planned exploration campaigns to undertake environmental baseline surveys to support the ESIA and permitting requirements as well as milestones being reached for the pilot collector test program with Allseas. Processing expenditure is also expected to increase with completion of pyrometallurgical and hydrometallurgical pilot testing.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SG&amp;A expenses increased $26.6 million, or 1,638%, to $28.3 million during the six months ended June 30, 2021, compared to $1.6 million during the six months ended June 30, 2020. The increase in SG&amp;A expenses were a result of the stock-based compensation recognized of $18.7 million and costs incurred in connection with the Business Combination. Total additional professional fees incurred during the six months ended June 30, 2021 amounted to $4.7 million. Our activities overall also increased and we incurred additional consulting fees of $1.0 million and marketing costs of $2.3 million, respectively. We expect SG&amp;A expenses to increase significantly during 2021 due to additional professional fees (including legal, audit and tax fees) and other costs of becoming and being a public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During the six months ended June 30, 2021, we recognized interest expense of $0.7 million as a result of the issuance of 7% convertible debentures of $26 million during February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date, our primary sources of capital have been private placements of DeepGreen Common Shares and DeepGreen Preferred Shares and a recent issuance of convertible debentures completed in February 2021, which were automatically converted into DeepGreen Common Shares immediately prior to the completion of the Business Combination. As of June 30, 2021, we had cash and cash equivalents of $16.9 million and an accumulated deficit of $246.6 million. In addition, on September 9, 2021, we completed the Business Combination with SOAC, and as a result we received gross proceeds of approximately $137.5 million.</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As of the date of this Current Report on Form 8-K, we have yet to generate any revenue from our business operations. We are an exploration stage company and the recovery of our investment in mineral exploration contracts and attainment of profitable operations is dependent upon many factors including, among other things, exploring and developing the ocean floor for the collection of polymetallic nodules as well as the development of our processing technology for the treatment of such nodules, the establishment of mineable reserves, the demonstration of commercial and technical feasibility of seafloor polymetallic nodule collection and processing, metal prices, and regulatory approval for exploitation and environmental permitting. While we have obtained financing in the past, there is no assurance that such financing will continue to be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Financings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During the year ended December 31, 2019, we issued 10.1 million DeepGreen Common Shares in private placements for total proceeds of $26.2 million. Of this amount, $20 million was received from Allseas in connection with our strategic alliance with Allseas.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further issued 8.2 million DeepGreen Common Shares for marine vessel services pursuant to an agreement with Maersk to settle Maersk’s invoiced cost of $10.2 million at an agreed upon contract price of $1.25 per share. Such shares were recognized in our accounting records at $3.60 per share based on the pricing of the other private placements. Additional 0.5 million of DeepGreen Common Shares were issued upon exercise of incentive stock options at a price of $0.70 per share for total proceeds of $0.35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Financings</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During the year ended December 31, 2020, we issued 5.7 million DeepGreen Common Shares in private placements for total proceeds of $20.4 million. Inclusive in this was a subscription from Allseas for 2.8 million DeepGreen Common Shares for total proceeds of $10 million.</w:t>
      </w:r>
    </w:p>
    <w:p>
      <w:pPr>
        <w:spacing w:after="0" w:line="146"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further issued 2.8 million DeepGreen Common Shares for services to Allseas at a price of $3.60 per share for total value of $10.1 million and 4.1 million DeepGreen Common Shares for marine vessel services to Maersk to settle invoiced cost of $5.1 million at an agreed upon contract price of $1.25 per share. Such shares issued to Maersk were recognized for accounting purposes at $3.60 per share.</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year ended December 31, 2020, option holders exercised 2.3 million stock options for total proceeds of $0.9 million at an average exercise price of $0.41 per share.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Fiscal 2021 Financings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six months ended June 30, 2021, we issued 3.7 million DeepGreen Common Shares to Maersk for marine vessel services. Such Common Shares were valued at $7.00 per DeepGreen Common Share. Certain holders of stock options exercised their rights in exchange for 3.4 million DeepGreen Common Shares. The weighted average exercise price of these stock options was $0.74 per DeepGreen Common Share resulting in total proceeds of $2.6 million.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$10.00 per share.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18, 2021, debentures totaling $0.5 million were converted into 50,000 DeepGreen Common Shares.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following the closing of the Business Combination will be sufficient to meet our working capital and capital expenditure requirements to at least third quarter 2023. With these funds, we expect to be able to complete pilot nodule collection trials in 2022, complete our environmental impact studies by 2023, and lodge our application to move from exploration phase to exploitation phase in the third quarter of 2023. We may, however, need additional cash resources due to changed business conditions or other developments, including, but not limited to, deferral of approvals, capital cost escalation, currently unrecognized technical and development challenges or change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the six months ended June 30, 2021 and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2021 was $17.9 million, attributable to a net loss of $83.7 million and a net change in net operating assets and liabilities of $4.8 million and non-cash adjustments of $61.0 million. Non-cash adjustments primarily consisted of $12.8 million for the value of shares issued to Maersk and $47.3 million of share-based payments related to the value of the incentive stock options recognized during the six months ended June 30, 2021. The change in our net operating assets and liabilities was primarily due to a $4.7 million increase in accounts payable and accrued liabilities due to the timing of payments.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right="40" w:firstLine="324"/>
        <w:spacing w:after="0" w:line="296" w:lineRule="auto"/>
        <w:rPr>
          <w:sz w:val="20"/>
          <w:szCs w:val="20"/>
          <w:color w:val="auto"/>
        </w:rPr>
      </w:pPr>
      <w:r>
        <w:rPr>
          <w:rFonts w:ascii="Arial" w:cs="Arial" w:eastAsia="Arial" w:hAnsi="Arial"/>
          <w:sz w:val="16"/>
          <w:szCs w:val="16"/>
          <w:color w:val="auto"/>
        </w:rPr>
        <w:t>Net cash used in operating activities for the six months ended June 30, 2020 was $17.6 million, attributable to a net loss of $32.8 million and a net change in net operating assets and liabilities of $1.8 million and non-cash adjustments of $13.4 million. Non-cash adjustments primarily consisted of $12.9 million for the value of shares issued to Allseas and Maersk as described above, $0.2 million of share-based payments related to the value of the incentive stock options recognized during the six months ended June 30, 2020, and $0.3 million for amortization of equipment. The change in our net operating assets and liabilities was primarily due to a $1.8 million increase in accounts payable and accrued liabilities due to the timing of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2021 was $3.8 million and related to the payments made to Deep Sea Mining for the deferred consideration that became due during the period. As at June 30, 2021 there was no amount outstanding for the deferred consideration pertaining to TOML Acquisition. We also spent $0.4 million for purchase of equipment.</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2020 was $0.6 million and related to the initial payments made to Deep Sea Mining in connection with the TOML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was $28.6 million related to proceeds of $26 million from the issuance of convertible debentures and $2.6 million from the exercise of incentive stock options.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provided by financing activities for the six months ended June 30, 2020 was $11.8 million related to proceeds from private placements.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part of the NORI Exploration Contract with the ISA with respect to the NORI Area, NORI committed to expending $5 million over the five-year period from 2017 to 2021. Such commitment has already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part of DGE’s Option Agreement and Services Agreement with Marawa with respect to the Marawa Area, Marawa commits to expending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TOML Exploration Contract with the ISA with respect to the TOML Area, TOML has committed to expending $30 million for a five-year period from 2016 to 2021 in the first-year review finalized in 2016. Such commitment has flexibility where the amount can be reduced by the ISA and such reduction would be dependent upon various factors including the success of the exploration programs and the availability of funding. As at June 30, 2021, we had expended approximately $14.1 million in connection with the TOML Exploration Contract. We are expecting to discuss the progress since the acquisition of the TOML Group with the ISA later during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Each of TOML and NORI require sponsorship from their respective host sponsoring nations, the Kingdom of Tonga and the Republic of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host nation that is a member of the ISA. Failure to obtain such new sponsorship would have a material impact on the operations of such subsidiary and us.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March 29, 2019, we entered into a strategic alliance with Allseas to develop and deploy a Pilot Mining Test System (“</w:t>
      </w:r>
      <w:r>
        <w:rPr>
          <w:rFonts w:ascii="Arial" w:cs="Arial" w:eastAsia="Arial" w:hAnsi="Arial"/>
          <w:sz w:val="17"/>
          <w:szCs w:val="17"/>
          <w:u w:val="single" w:color="auto"/>
          <w:color w:val="auto"/>
        </w:rPr>
        <w:t>PMTS</w:t>
      </w:r>
      <w:r>
        <w:rPr>
          <w:rFonts w:ascii="Arial" w:cs="Arial" w:eastAsia="Arial" w:hAnsi="Arial"/>
          <w:sz w:val="17"/>
          <w:szCs w:val="17"/>
          <w:color w:val="auto"/>
        </w:rPr>
        <w:t>”), successful completion of which would aid our application for an exploitation contract with ISA. Allseas agreed to cover all the development cost of the project and in consideration for a successful PMTS, we had committed to expending $30 million in cash and further issuing 10 million DeepGreen Common Shares (at a contractual price of $3.00 per share at time of the agreement) for a total value of $60 million to Allseas.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During 2020, the PMTS agreement was amended and we paid $10 million in cash and issued 2.8 million DeepGreen Common Shares valued at $3.60 per share for an additional $10 million to allow for higher cost that had been incurred by Allseas and to facilitate the acquisition of the Hidden Gem vessel by Allseas, which has strategic importance to us, by providing a platform to develop a smaller-scale, lower-capital early production system. As at December 31, 2020, our original commitment of $30 million in cash and 10 million DeepGreen Common Shares still remained to be completed as such obligation is dependent upon successful completion by Allseas of the collector test.</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March 4, 2021 and June 30, 2021, we entered into amended agreements with Allseas (the “</w:t>
      </w:r>
      <w:r>
        <w:rPr>
          <w:rFonts w:ascii="Arial" w:cs="Arial" w:eastAsia="Arial" w:hAnsi="Arial"/>
          <w:sz w:val="16"/>
          <w:szCs w:val="16"/>
          <w:u w:val="single" w:color="auto"/>
          <w:color w:val="auto"/>
        </w:rPr>
        <w:t>Amendment #3</w:t>
      </w:r>
      <w:r>
        <w:rPr>
          <w:rFonts w:ascii="Arial" w:cs="Arial" w:eastAsia="Arial" w:hAnsi="Arial"/>
          <w:sz w:val="16"/>
          <w:szCs w:val="16"/>
          <w:color w:val="auto"/>
        </w:rPr>
        <w:t>” and “</w:t>
      </w:r>
      <w:r>
        <w:rPr>
          <w:rFonts w:ascii="Arial" w:cs="Arial" w:eastAsia="Arial" w:hAnsi="Arial"/>
          <w:sz w:val="16"/>
          <w:szCs w:val="16"/>
          <w:u w:val="single" w:color="auto"/>
          <w:color w:val="auto"/>
        </w:rPr>
        <w:t>Amendment #4</w:t>
      </w:r>
      <w:r>
        <w:rPr>
          <w:rFonts w:ascii="Arial" w:cs="Arial" w:eastAsia="Arial" w:hAnsi="Arial"/>
          <w:sz w:val="16"/>
          <w:szCs w:val="16"/>
          <w:color w:val="auto"/>
        </w:rPr>
        <w:t>”, respectively) whereby, upon successful completion of the Business Combination, instead of issuing 10 million Common Shares to Allseas in connection with the PMTS, we issued to Allseas a warrant to acquire 10 million DeepGreen Common Shares at a nominal value (the “</w:t>
      </w:r>
      <w:r>
        <w:rPr>
          <w:rFonts w:ascii="Arial" w:cs="Arial" w:eastAsia="Arial" w:hAnsi="Arial"/>
          <w:sz w:val="16"/>
          <w:szCs w:val="16"/>
          <w:u w:val="single" w:color="auto"/>
          <w:color w:val="auto"/>
        </w:rPr>
        <w:t>Allseas Warrant</w:t>
      </w:r>
      <w:r>
        <w:rPr>
          <w:rFonts w:ascii="Arial" w:cs="Arial" w:eastAsia="Arial" w:hAnsi="Arial"/>
          <w:sz w:val="16"/>
          <w:szCs w:val="16"/>
          <w:color w:val="auto"/>
        </w:rPr>
        <w: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16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Allseas Warrant was assumed by SOAC at the closing of the Business Combination and became a warrant to purchase TMC Common Shares, adjusted for the exchange ratio for the transaction. If the market price of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we will be able to exchange this excess value for any future goods and services from Allseas under the nodule collection and shipping contract for one year after commercial production.</w:t>
      </w:r>
    </w:p>
    <w:p>
      <w:pPr>
        <w:spacing w:after="0" w:line="17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cash payment of $30 million in the original agreement was also amended to be paid as follows provided that the Business Combination is completed:</w:t>
      </w:r>
    </w:p>
    <w:p>
      <w:pPr>
        <w:spacing w:after="0" w:line="170" w:lineRule="exact"/>
        <w:rPr>
          <w:sz w:val="20"/>
          <w:szCs w:val="20"/>
          <w:color w:val="auto"/>
        </w:rPr>
      </w:pPr>
    </w:p>
    <w:p>
      <w:pPr>
        <w:ind w:left="660" w:right="40" w:hanging="328"/>
        <w:spacing w:after="0" w:line="277"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Amendment #3 and Amendment #4 became effective upon the completion of the Business Combination and will be payable within 10 days of the closing of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Effective March 15, 2017, we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us to undertake the various marine cruises to support required prefeasibility studies. During these marine cruises, we undertook baseline studies required to complete an ESIA, collected nodules for metallurgical test work and collected samples for resource evaluation. The invoiced cost related to the marine vessel was settled through DeepGreen Common Shares at an agreed upon price of $1.25 per DeepGreen Common Share. Services provided by Maersk for managing these marine cruises are paid in cash.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right="40" w:firstLine="324"/>
        <w:spacing w:after="0" w:line="263" w:lineRule="auto"/>
        <w:rPr>
          <w:sz w:val="20"/>
          <w:szCs w:val="20"/>
          <w:color w:val="auto"/>
        </w:rPr>
      </w:pPr>
      <w:r>
        <w:rPr>
          <w:rFonts w:ascii="Arial" w:cs="Arial" w:eastAsia="Arial" w:hAnsi="Arial"/>
          <w:sz w:val="18"/>
          <w:szCs w:val="18"/>
          <w:color w:val="auto"/>
        </w:rPr>
        <w:t>On March 4, 2021, the agreement with Maersk was amended whereby all future costs pertaining to the use of the marine vessels would be paid in cash rather than through issuance of DeepGreen Common Shares. The amended agreement is in place until early 2022, at which point the parties will negotiate any potential future offshore engagements.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May 25, 2012, DGE and Glencore entered into a copper offtake agreement and a nickel offtake agreement. DGE has agreed to deliver to Glencore 50% of the annual quantity of copper and nickel produced by a DGE owned facility from nodules derived from the NORI Area at LME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w:t>
      </w:r>
      <w:r>
        <w:rPr>
          <w:rFonts w:ascii="Arial" w:cs="Arial" w:eastAsia="Arial" w:hAnsi="Arial"/>
          <w:sz w:val="18"/>
          <w:szCs w:val="18"/>
          <w:u w:val="single" w:color="auto"/>
          <w:color w:val="auto"/>
        </w:rPr>
        <w:t>t</w:t>
      </w:r>
      <w:r>
        <w:rPr>
          <w:rFonts w:ascii="Arial" w:cs="Arial" w:eastAsia="Arial" w:hAnsi="Arial"/>
          <w:sz w:val="18"/>
          <w:szCs w:val="18"/>
          <w:color w:val="auto"/>
        </w:rPr>
        <w:t xml:space="preserve"> formalizing certain obligations of the parties in relation to NORI’s exploration and potential exploitation of the NORI Area.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March 8, 2008, Tonga and TOML entered into the TOML Sponsorship Agreement formalizing certain obligations of the parties in relation to TOML’s exploration and potential exploitation of the TOML Area.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 party to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6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the proxy statement/prospectus. We have the critical accounting policies and estimates which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Acquisition</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March 31, 2020, we completed the TOML Acquisition and applied guidance from ASC 805 to understand the accounting treatment regarding this acquisition and make necessary judgements.</w:t>
      </w:r>
    </w:p>
    <w:p>
      <w:pPr>
        <w:spacing w:after="0" w:line="170"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4" w:name="page145"/>
    <w:bookmarkEnd w:id="144"/>
    <w:p>
      <w:pPr>
        <w:ind w:right="380" w:firstLine="324"/>
        <w:spacing w:after="0" w:line="263" w:lineRule="auto"/>
        <w:rPr>
          <w:sz w:val="20"/>
          <w:szCs w:val="20"/>
          <w:color w:val="auto"/>
        </w:rPr>
      </w:pPr>
      <w:r>
        <w:rPr>
          <w:rFonts w:ascii="Arial" w:cs="Arial" w:eastAsia="Arial" w:hAnsi="Arial"/>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We determined that the value of TOML Acquisition was substantially concentrated in the TOML Exploration Contract.</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licenses.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of Common Share-Based Payments</w:t>
      </w:r>
    </w:p>
    <w:p>
      <w:pPr>
        <w:spacing w:after="0" w:line="225"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24" w:lineRule="exact"/>
        <w:rPr>
          <w:sz w:val="20"/>
          <w:szCs w:val="20"/>
          <w:color w:val="auto"/>
        </w:rPr>
      </w:pPr>
    </w:p>
    <w:p>
      <w:pPr>
        <w:ind w:left="660" w:right="440" w:hanging="328"/>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Expected Term — We used the term of the award when calculating the expected term due to insufficient historical exercise data.</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Expected Volatility — As our Common Shares were not actively traded, the volatility is based on a benchmark of comparable companies within the mining industry.</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Expected Dividend Yield — The dividend rate used is zero as we have never paid any cash dividends on our Common Shares and do not anticipate doing so in the foreseeable future.</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7"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See Note 2 to the consolidated financial statements included in the proxy statement/prospectus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June 30, 2021.</w:t>
      </w:r>
    </w:p>
    <w:p>
      <w:pPr>
        <w:spacing w:after="0" w:line="18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course of preparing the financial statements that were included in the proxy statement/prospectus, we identified a material weakness in our internal control over financial reporting as of December 31, 2020, which related to a deficiency in the design and operation of the financial statement close and reporting controls, including maintaining sufficient written policies and procedures and the need to use appropriate technical expertise when accounting for complex or non-routine transactions. Our management has concluded that this material weaknesses was due to the fact that, prior to the Business Combination, we were a private company with limited resources. We recently appointed a chief financial officer and a chief accounting officer, have hired and are currently recruiting additional finance personnel and have engaged reputable independent accounting groups to undertake a review and gap analysis of current systems and processes in order to develop a remediation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7"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1)"/>
      <w:numFmt w:val="lowerLetter"/>
      <w:start w:val="4"/>
    </w:lvl>
  </w:abstractNum>
  <w:abstractNum w:abstractNumId="2">
    <w:nsid w:val="1D545C4D"/>
    <w:multiLevelType w:val="hybridMultilevel"/>
    <w:lvl w:ilvl="0">
      <w:lvlJc w:val="left"/>
      <w:lvlText w:val="(%1)"/>
      <w:numFmt w:val="lowerRoman"/>
      <w:start w:val="1"/>
    </w:lvl>
  </w:abstractNum>
  <w:abstractNum w:abstractNumId="3">
    <w:nsid w:val="59ADEA3D"/>
    <w:multiLevelType w:val="hybridMultilevel"/>
    <w:lvl w:ilvl="0">
      <w:lvlJc w:val="left"/>
      <w:lvlText w:val="(%1)"/>
      <w:numFmt w:val="lowerRoman"/>
      <w:start w:val="10"/>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
      <w:numFmt w:val="bullet"/>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1)"/>
      <w:numFmt w:val="decimal"/>
      <w:start w:val="2"/>
    </w:lvl>
  </w:abstractNum>
  <w:abstractNum w:abstractNumId="9">
    <w:nsid w:val="1CA0C5FA"/>
    <w:multiLevelType w:val="hybridMultilevel"/>
    <w:lvl w:ilvl="0">
      <w:lvlJc w:val="left"/>
      <w:lvlText w:val="(%1)"/>
      <w:numFmt w:val="lowerLetter"/>
      <w:start w:val="1"/>
    </w:lvl>
  </w:abstractNum>
  <w:abstractNum w:abstractNumId="10">
    <w:nsid w:val="53584BCB"/>
    <w:multiLevelType w:val="hybridMultilevel"/>
    <w:lvl w:ilvl="0">
      <w:lvlJc w:val="left"/>
      <w:lvlText w:val="+"/>
      <w:numFmt w:val="bullet"/>
      <w:start w:val="1"/>
    </w:lvl>
    <w:lvl w:ilvl="1">
      <w:lvlJc w:val="left"/>
      <w:lvlText w:val="%2"/>
      <w:numFmt w:val="decimal"/>
      <w:start w:val="104"/>
    </w:lvl>
  </w:abstractNum>
  <w:abstractNum w:abstractNumId="11">
    <w:nsid w:val="415E286C"/>
    <w:multiLevelType w:val="hybridMultilevel"/>
    <w:lvl w:ilvl="0">
      <w:lvlJc w:val="left"/>
      <w:lvlText w:val="†"/>
      <w:numFmt w:val="bullet"/>
      <w:start w:val="1"/>
    </w:lvl>
  </w:abstractNum>
  <w:abstractNum w:abstractNumId="12">
    <w:nsid w:val="7C58FD05"/>
    <w:multiLevelType w:val="hybridMultilevel"/>
    <w:lvl w:ilvl="0">
      <w:lvlJc w:val="left"/>
      <w:lvlText w:val="††"/>
      <w:numFmt w:val="bullet"/>
      <w:start w:val="1"/>
    </w:lvl>
  </w:abstractNum>
  <w:abstractNum w:abstractNumId="13">
    <w:nsid w:val="23D86AAC"/>
    <w:multiLevelType w:val="hybridMultilevel"/>
    <w:lvl w:ilvl="0">
      <w:lvlJc w:val="left"/>
      <w:lvlText w:val="(%1)"/>
      <w:numFmt w:val="lowerLetter"/>
      <w:start w:val="1"/>
    </w:lvl>
  </w:abstractNum>
  <w:abstractNum w:abstractNumId="14">
    <w:nsid w:val="45E6D486"/>
    <w:multiLevelType w:val="hybridMultilevel"/>
    <w:lvl w:ilvl="0">
      <w:lvlJc w:val="left"/>
      <w:lvlText w:val="(%1)"/>
      <w:numFmt w:val="lowerLetter"/>
      <w:start w:val="1"/>
    </w:lvl>
  </w:abstractNum>
  <w:abstractNum w:abstractNumId="15">
    <w:nsid w:val="5C10FE21"/>
    <w:multiLevelType w:val="hybridMultilevel"/>
    <w:lvl w:ilvl="0">
      <w:lvlJc w:val="left"/>
      <w:lvlText w:val="(%1)"/>
      <w:numFmt w:val="lowerLetter"/>
      <w:start w:val="1"/>
    </w:lvl>
  </w:abstractNum>
  <w:abstractNum w:abstractNumId="16">
    <w:nsid w:val="E7FFA2B"/>
    <w:multiLevelType w:val="hybridMultilevel"/>
    <w:lvl w:ilvl="0">
      <w:lvlJc w:val="left"/>
      <w:lvlText w:val="(%1)"/>
      <w:numFmt w:val="lowerLetter"/>
      <w:start w:val="1"/>
    </w:lvl>
    <w:lvl w:ilvl="1">
      <w:lvlJc w:val="left"/>
      <w:lvlText w:val="(%2)"/>
      <w:numFmt w:val="lowerRoman"/>
      <w:start w:val="1"/>
    </w:lvl>
  </w:abstractNum>
  <w:abstractNum w:abstractNumId="17">
    <w:nsid w:val="3C5991AA"/>
    <w:multiLevelType w:val="hybridMultilevel"/>
    <w:lvl w:ilvl="0">
      <w:lvlJc w:val="left"/>
      <w:lvlText w:val="(%1)"/>
      <w:numFmt w:val="lowerLetter"/>
      <w:start w:val="1"/>
    </w:lvl>
  </w:abstractNum>
  <w:abstractNum w:abstractNumId="18">
    <w:nsid w:val="4BD8591A"/>
    <w:multiLevelType w:val="hybridMultilevel"/>
    <w:lvl w:ilvl="0">
      <w:lvlJc w:val="left"/>
      <w:lvlText w:val="(%1)"/>
      <w:numFmt w:val="lowerLetter"/>
      <w:start w:val="1"/>
    </w:lvl>
  </w:abstractNum>
  <w:abstractNum w:abstractNumId="19">
    <w:nsid w:val="78DF6A55"/>
    <w:multiLevelType w:val="hybridMultilevel"/>
    <w:lvl w:ilvl="0">
      <w:lvlJc w:val="left"/>
      <w:lvlText w:val="(%1)"/>
      <w:numFmt w:val="lowerLetter"/>
      <w:start w:val="1"/>
    </w:lvl>
  </w:abstractNum>
  <w:abstractNum w:abstractNumId="20">
    <w:nsid w:val="39B7AAA2"/>
    <w:multiLevelType w:val="hybridMultilevel"/>
    <w:lvl w:ilvl="0">
      <w:lvlJc w:val="left"/>
      <w:lvlText w:val="(%1)"/>
      <w:numFmt w:val="lowerLetter"/>
      <w:start w:val="1"/>
    </w:lvl>
  </w:abstractNum>
  <w:abstractNum w:abstractNumId="21">
    <w:nsid w:val="2B0D8DBE"/>
    <w:multiLevelType w:val="hybridMultilevel"/>
    <w:lvl w:ilvl="0">
      <w:lvlJc w:val="left"/>
      <w:lvlText w:val="(%1)"/>
      <w:numFmt w:val="lowerLetter"/>
      <w:start w:val="1"/>
    </w:lvl>
  </w:abstractNum>
  <w:abstractNum w:abstractNumId="22">
    <w:nsid w:val="6C80EC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
    <w:nsid w:val="379E21B5"/>
    <w:multiLevelType w:val="hybridMultilevel"/>
    <w:lvl w:ilvl="0">
      <w:lvlJc w:val="left"/>
      <w:lvlText w:val="(%1)"/>
      <w:numFmt w:val="lowerLetter"/>
      <w:start w:val="1"/>
    </w:lvl>
  </w:abstractNum>
  <w:abstractNum w:abstractNumId="24">
    <w:nsid w:val="69E373"/>
    <w:multiLevelType w:val="hybridMultilevel"/>
    <w:lvl w:ilvl="0">
      <w:lvlJc w:val="left"/>
      <w:lvlText w:val="(%1)"/>
      <w:numFmt w:val="lowerLetter"/>
      <w:start w:val="1"/>
    </w:lvl>
  </w:abstractNum>
  <w:abstractNum w:abstractNumId="25">
    <w:nsid w:val="2C27173B"/>
    <w:multiLevelType w:val="hybridMultilevel"/>
    <w:lvl w:ilvl="0">
      <w:lvlJc w:val="left"/>
      <w:lvlText w:val="(%1)"/>
      <w:numFmt w:val="lowerLetter"/>
      <w:start w:val="1"/>
    </w:lvl>
  </w:abstractNum>
  <w:abstractNum w:abstractNumId="26">
    <w:nsid w:val="4C9B0904"/>
    <w:multiLevelType w:val="hybridMultilevel"/>
    <w:lvl w:ilvl="0">
      <w:lvlJc w:val="left"/>
      <w:lvlText w:val="(%1)"/>
      <w:numFmt w:val="lowerLetter"/>
      <w:start w:val="1"/>
    </w:lvl>
    <w:lvl w:ilvl="1">
      <w:lvlJc w:val="left"/>
      <w:lvlText w:val="(%2)"/>
      <w:numFmt w:val="lowerRoman"/>
      <w:start w:val="1"/>
    </w:lvl>
  </w:abstractNum>
  <w:abstractNum w:abstractNumId="27">
    <w:nsid w:val="6AA7B75C"/>
    <w:multiLevelType w:val="hybridMultilevel"/>
    <w:lvl w:ilvl="0">
      <w:lvlJc w:val="left"/>
      <w:lvlText w:val="(%1)"/>
      <w:numFmt w:val="lowerLetter"/>
      <w:start w:val="1"/>
    </w:lvl>
  </w:abstractNum>
  <w:abstractNum w:abstractNumId="28">
    <w:nsid w:val="1DF029D3"/>
    <w:multiLevelType w:val="hybridMultilevel"/>
    <w:lvl w:ilvl="0">
      <w:lvlJc w:val="left"/>
      <w:lvlText w:val="(%1)"/>
      <w:numFmt w:val="lowerLetter"/>
      <w:start w:val="1"/>
    </w:lvl>
    <w:lvl w:ilvl="1">
      <w:lvlJc w:val="left"/>
      <w:lvlText w:val="(%2)"/>
      <w:numFmt w:val="lowerRoman"/>
      <w:start w:val="1"/>
    </w:lvl>
  </w:abstractNum>
  <w:abstractNum w:abstractNumId="29">
    <w:nsid w:val="5675FF36"/>
    <w:multiLevelType w:val="hybridMultilevel"/>
    <w:lvl w:ilvl="0">
      <w:lvlJc w:val="left"/>
      <w:lvlText w:val="(%1)"/>
      <w:numFmt w:val="lowerRoman"/>
      <w:start w:val="8"/>
    </w:lvl>
  </w:abstractNum>
  <w:abstractNum w:abstractNumId="30">
    <w:nsid w:val="3DD15094"/>
    <w:multiLevelType w:val="hybridMultilevel"/>
    <w:lvl w:ilvl="0">
      <w:lvlJc w:val="left"/>
      <w:lvlText w:val="(%1)"/>
      <w:numFmt w:val="lowerLetter"/>
      <w:start w:val="1"/>
    </w:lvl>
  </w:abstractNum>
  <w:abstractNum w:abstractNumId="31">
    <w:nsid w:val="3DB012B3"/>
    <w:multiLevelType w:val="hybridMultilevel"/>
    <w:lvl w:ilvl="0">
      <w:lvlJc w:val="left"/>
      <w:lvlText w:val="(%1)"/>
      <w:numFmt w:val="lowerLetter"/>
      <w:start w:val="1"/>
    </w:lvl>
  </w:abstractNum>
  <w:abstractNum w:abstractNumId="32">
    <w:nsid w:val="2708C9AF"/>
    <w:multiLevelType w:val="hybridMultilevel"/>
    <w:lvl w:ilvl="0">
      <w:lvlJc w:val="left"/>
      <w:lvlText w:val="(%1)"/>
      <w:numFmt w:val="lowerLetter"/>
      <w:start w:val="1"/>
    </w:lvl>
  </w:abstractNum>
  <w:abstractNum w:abstractNumId="33">
    <w:nsid w:val="5B25ACE2"/>
    <w:multiLevelType w:val="hybridMultilevel"/>
    <w:lvl w:ilvl="0">
      <w:lvlJc w:val="left"/>
      <w:lvlText w:val="(%1)"/>
      <w:numFmt w:val="lowerLetter"/>
      <w:start w:val="1"/>
    </w:lvl>
    <w:lvl w:ilvl="1">
      <w:lvlJc w:val="left"/>
      <w:lvlText w:val="(%2)"/>
      <w:numFmt w:val="lowerRoman"/>
      <w:start w:val="1"/>
    </w:lvl>
  </w:abstractNum>
  <w:abstractNum w:abstractNumId="34">
    <w:nsid w:val="175DFCF0"/>
    <w:multiLevelType w:val="hybridMultilevel"/>
    <w:lvl w:ilvl="0">
      <w:lvlJc w:val="left"/>
      <w:lvlText w:val="(%1)"/>
      <w:numFmt w:val="lowerLetter"/>
      <w:start w:val="1"/>
    </w:lvl>
  </w:abstractNum>
  <w:abstractNum w:abstractNumId="35">
    <w:nsid w:val="4F97E3E4"/>
    <w:multiLevelType w:val="hybridMultilevel"/>
    <w:lvl w:ilvl="0">
      <w:lvlJc w:val="left"/>
      <w:lvlText w:val="(%1)"/>
      <w:numFmt w:val="lowerLetter"/>
      <w:start w:val="1"/>
    </w:lvl>
  </w:abstractNum>
  <w:abstractNum w:abstractNumId="36">
    <w:nsid w:val="53B0A9E"/>
    <w:multiLevelType w:val="hybridMultilevel"/>
    <w:lvl w:ilvl="0">
      <w:lvlJc w:val="left"/>
      <w:lvlText w:val="(%1)"/>
      <w:numFmt w:val="lowerLetter"/>
      <w:start w:val="1"/>
    </w:lvl>
    <w:lvl w:ilvl="1">
      <w:lvlJc w:val="left"/>
      <w:lvlText w:val="(%2)"/>
      <w:numFmt w:val="lowerRoman"/>
      <w:start w:val="1"/>
    </w:lvl>
  </w:abstractNum>
  <w:abstractNum w:abstractNumId="37">
    <w:nsid w:val="34FD6B4F"/>
    <w:multiLevelType w:val="hybridMultilevel"/>
    <w:lvl w:ilvl="0">
      <w:lvlJc w:val="left"/>
      <w:lvlText w:val="(%1)"/>
      <w:numFmt w:val="lowerLetter"/>
      <w:start w:val="1"/>
    </w:lvl>
  </w:abstractNum>
  <w:abstractNum w:abstractNumId="38">
    <w:nsid w:val="5915FF32"/>
    <w:multiLevelType w:val="hybridMultilevel"/>
    <w:lvl w:ilvl="0">
      <w:lvlJc w:val="left"/>
      <w:lvlText w:val="(%1)"/>
      <w:numFmt w:val="lowerLetter"/>
      <w:start w:val="1"/>
    </w:lvl>
  </w:abstractNum>
  <w:abstractNum w:abstractNumId="39">
    <w:nsid w:val="56438D15"/>
    <w:multiLevelType w:val="hybridMultilevel"/>
    <w:lvl w:ilvl="0">
      <w:lvlJc w:val="left"/>
      <w:lvlText w:val="(%1)"/>
      <w:numFmt w:val="lowerLetter"/>
      <w:start w:val="1"/>
    </w:lvl>
  </w:abstractNum>
  <w:abstractNum w:abstractNumId="40">
    <w:nsid w:val="519E3149"/>
    <w:multiLevelType w:val="hybridMultilevel"/>
    <w:lvl w:ilvl="0">
      <w:lvlJc w:val="left"/>
      <w:lvlText w:val="(%1)"/>
      <w:numFmt w:val="lowerLetter"/>
      <w:start w:val="1"/>
    </w:lvl>
  </w:abstractNum>
  <w:abstractNum w:abstractNumId="41">
    <w:nsid w:val="2C6E4AFD"/>
    <w:multiLevelType w:val="hybridMultilevel"/>
    <w:lvl w:ilvl="0">
      <w:lvlJc w:val="left"/>
      <w:lvlText w:val="(%1)"/>
      <w:numFmt w:val="lowerLetter"/>
      <w:start w:val="1"/>
    </w:lvl>
  </w:abstractNum>
  <w:abstractNum w:abstractNumId="42">
    <w:nsid w:val="17A1B582"/>
    <w:multiLevelType w:val="hybridMultilevel"/>
    <w:lvl w:ilvl="0">
      <w:lvlJc w:val="left"/>
      <w:lvlText w:val="(%1)"/>
      <w:numFmt w:val="lowerLetter"/>
      <w:start w:val="1"/>
    </w:lvl>
    <w:lvl w:ilvl="1">
      <w:lvlJc w:val="left"/>
      <w:lvlText w:val="(%2)"/>
      <w:numFmt w:val="lowerRoman"/>
      <w:start w:val="1"/>
    </w:lvl>
  </w:abstractNum>
  <w:abstractNum w:abstractNumId="43">
    <w:nsid w:val="4DF72E4E"/>
    <w:multiLevelType w:val="hybridMultilevel"/>
    <w:lvl w:ilvl="0">
      <w:lvlJc w:val="left"/>
      <w:lvlText w:val="(%1)"/>
      <w:numFmt w:val="lowerLetter"/>
      <w:start w:val="1"/>
    </w:lvl>
  </w:abstractNum>
  <w:abstractNum w:abstractNumId="44">
    <w:nsid w:val="5046B5A9"/>
    <w:multiLevelType w:val="hybridMultilevel"/>
    <w:lvl w:ilvl="0">
      <w:lvlJc w:val="left"/>
      <w:lvlText w:val="(%1)"/>
      <w:numFmt w:val="lowerLetter"/>
      <w:start w:val="1"/>
    </w:lvl>
  </w:abstractNum>
  <w:abstractNum w:abstractNumId="45">
    <w:nsid w:val="5D888A08"/>
    <w:multiLevelType w:val="hybridMultilevel"/>
    <w:lvl w:ilvl="0">
      <w:lvlJc w:val="left"/>
      <w:lvlText w:val="(%1)"/>
      <w:numFmt w:val="lowerLetter"/>
      <w:start w:val="1"/>
    </w:lvl>
  </w:abstractNum>
  <w:abstractNum w:abstractNumId="46">
    <w:nsid w:val="2A082C70"/>
    <w:multiLevelType w:val="hybridMultilevel"/>
    <w:lvl w:ilvl="0">
      <w:lvlJc w:val="left"/>
      <w:lvlText w:val="(%1)"/>
      <w:numFmt w:val="lowerLetter"/>
      <w:start w:val="1"/>
    </w:lvl>
  </w:abstractNum>
  <w:abstractNum w:abstractNumId="47">
    <w:nsid w:val="5EC6AFD4"/>
    <w:multiLevelType w:val="hybridMultilevel"/>
    <w:lvl w:ilvl="0">
      <w:lvlJc w:val="left"/>
      <w:lvlText w:val="(%1)"/>
      <w:numFmt w:val="lowerLetter"/>
      <w:start w:val="3"/>
    </w:lvl>
  </w:abstractNum>
  <w:abstractNum w:abstractNumId="48">
    <w:nsid w:val="19E21BB2"/>
    <w:multiLevelType w:val="hybridMultilevel"/>
    <w:lvl w:ilvl="0">
      <w:lvlJc w:val="left"/>
      <w:lvlText w:val="(%1)"/>
      <w:numFmt w:val="lowerLetter"/>
      <w:start w:val="1"/>
    </w:lvl>
  </w:abstractNum>
  <w:abstractNum w:abstractNumId="49">
    <w:nsid w:val="75E0858A"/>
    <w:multiLevelType w:val="hybridMultilevel"/>
    <w:lvl w:ilvl="0">
      <w:lvlJc w:val="left"/>
      <w:lvlText w:val="(%1)"/>
      <w:numFmt w:val="lowerLetter"/>
      <w:start w:val="1"/>
    </w:lvl>
  </w:abstractNum>
  <w:abstractNum w:abstractNumId="50">
    <w:nsid w:val="57A61A29"/>
    <w:multiLevelType w:val="hybridMultilevel"/>
    <w:lvl w:ilvl="0">
      <w:lvlJc w:val="left"/>
      <w:lvlText w:val="(%1)"/>
      <w:numFmt w:val="lowerLetter"/>
      <w:start w:val="1"/>
    </w:lvl>
  </w:abstractNum>
  <w:abstractNum w:abstractNumId="51">
    <w:nsid w:val="5399C654"/>
    <w:multiLevelType w:val="hybridMultilevel"/>
    <w:lvl w:ilvl="0">
      <w:lvlJc w:val="left"/>
      <w:lvlText w:val="(%1)"/>
      <w:numFmt w:val="lowerLetter"/>
      <w:start w:val="2"/>
    </w:lvl>
  </w:abstractNum>
  <w:abstractNum w:abstractNumId="52">
    <w:nsid w:val="20EE1348"/>
    <w:multiLevelType w:val="hybridMultilevel"/>
    <w:lvl w:ilvl="0">
      <w:lvlJc w:val="left"/>
      <w:lvlText w:val="(%1)"/>
      <w:numFmt w:val="lowerLetter"/>
      <w:start w:val="1"/>
    </w:lvl>
  </w:abstractNum>
  <w:abstractNum w:abstractNumId="53">
    <w:nsid w:val="4427069A"/>
    <w:multiLevelType w:val="hybridMultilevel"/>
    <w:lvl w:ilvl="0">
      <w:lvlJc w:val="left"/>
      <w:lvlText w:val="(%1)"/>
      <w:numFmt w:val="lowerLetter"/>
      <w:start w:val="1"/>
    </w:lvl>
  </w:abstractNum>
  <w:abstractNum w:abstractNumId="54">
    <w:nsid w:val="B37E80A"/>
    <w:multiLevelType w:val="hybridMultilevel"/>
    <w:lvl w:ilvl="0">
      <w:lvlJc w:val="left"/>
      <w:lvlText w:val="(%1)"/>
      <w:numFmt w:val="lowerLetter"/>
      <w:start w:val="1"/>
    </w:lvl>
  </w:abstractNum>
  <w:abstractNum w:abstractNumId="55">
    <w:nsid w:val="2157F6BC"/>
    <w:multiLevelType w:val="hybridMultilevel"/>
    <w:lvl w:ilvl="0">
      <w:lvlJc w:val="left"/>
      <w:lvlText w:val="(%1)"/>
      <w:numFmt w:val="lowerLetter"/>
      <w:start w:val="2"/>
    </w:lvl>
  </w:abstractNum>
  <w:abstractNum w:abstractNumId="56">
    <w:nsid w:val="704E1DD5"/>
    <w:multiLevelType w:val="hybridMultilevel"/>
    <w:lvl w:ilvl="0">
      <w:lvlJc w:val="left"/>
      <w:lvlText w:val="(%1)"/>
      <w:numFmt w:val="lowerLetter"/>
      <w:start w:val="1"/>
    </w:lvl>
    <w:lvl w:ilvl="1">
      <w:lvlJc w:val="left"/>
      <w:lvlText w:val="(%2)"/>
      <w:numFmt w:val="lowerRoman"/>
      <w:start w:val="1"/>
    </w:lvl>
  </w:abstractNum>
  <w:abstractNum w:abstractNumId="57">
    <w:nsid w:val="57D2F10E"/>
    <w:multiLevelType w:val="hybridMultilevel"/>
    <w:lvl w:ilvl="0">
      <w:lvlJc w:val="left"/>
      <w:lvlText w:val="(%1)"/>
      <w:numFmt w:val="lowerLetter"/>
      <w:start w:val="1"/>
    </w:lvl>
  </w:abstractNum>
  <w:abstractNum w:abstractNumId="58">
    <w:nsid w:val="BFFAE18"/>
    <w:multiLevelType w:val="hybridMultilevel"/>
    <w:lvl w:ilvl="0">
      <w:lvlJc w:val="left"/>
      <w:lvlText w:val="(%1)"/>
      <w:numFmt w:val="lowerLetter"/>
      <w:start w:val="1"/>
    </w:lvl>
  </w:abstractNum>
  <w:abstractNum w:abstractNumId="59">
    <w:nsid w:val="E3E47A8"/>
    <w:multiLevelType w:val="hybridMultilevel"/>
    <w:lvl w:ilvl="0">
      <w:lvlJc w:val="left"/>
      <w:lvlText w:val="(%1)"/>
      <w:numFmt w:val="lowerLetter"/>
      <w:start w:val="1"/>
    </w:lvl>
    <w:lvl w:ilvl="1">
      <w:lvlJc w:val="left"/>
      <w:lvlText w:val="(%2)"/>
      <w:numFmt w:val="lowerRoman"/>
      <w:start w:val="1"/>
    </w:lvl>
  </w:abstractNum>
  <w:abstractNum w:abstractNumId="60">
    <w:nsid w:val="2E48F044"/>
    <w:multiLevelType w:val="hybridMultilevel"/>
    <w:lvl w:ilvl="0">
      <w:lvlJc w:val="left"/>
      <w:lvlText w:val="(%1)"/>
      <w:numFmt w:val="lowerLetter"/>
      <w:start w:val="1"/>
    </w:lvl>
  </w:abstractNum>
  <w:abstractNum w:abstractNumId="61">
    <w:nsid w:val="49D0FEAC"/>
    <w:multiLevelType w:val="hybridMultilevel"/>
    <w:lvl w:ilvl="0">
      <w:lvlJc w:val="left"/>
      <w:lvlText w:val="(%1)"/>
      <w:numFmt w:val="lowerLetter"/>
      <w:start w:val="1"/>
    </w:lvl>
  </w:abstractNum>
  <w:abstractNum w:abstractNumId="62">
    <w:nsid w:val="4BEE5A5B"/>
    <w:multiLevelType w:val="hybridMultilevel"/>
    <w:lvl w:ilvl="0">
      <w:lvlJc w:val="left"/>
      <w:lvlText w:val="(%1)"/>
      <w:numFmt w:val="lowerLetter"/>
      <w:start w:val="1"/>
    </w:lvl>
  </w:abstractNum>
  <w:abstractNum w:abstractNumId="63">
    <w:nsid w:val="5551B9F3"/>
    <w:multiLevelType w:val="hybridMultilevel"/>
    <w:lvl w:ilvl="0">
      <w:lvlJc w:val="left"/>
      <w:lvlText w:val="(%1)"/>
      <w:numFmt w:val="lowerLetter"/>
      <w:start w:val="1"/>
    </w:lvl>
  </w:abstractNum>
  <w:abstractNum w:abstractNumId="64">
    <w:nsid w:val="24F6AB8E"/>
    <w:multiLevelType w:val="hybridMultilevel"/>
    <w:lvl w:ilvl="0">
      <w:lvlJc w:val="left"/>
      <w:lvlText w:val="(%1)"/>
      <w:numFmt w:val="lowerLetter"/>
      <w:start w:val="1"/>
    </w:lvl>
    <w:lvl w:ilvl="1">
      <w:lvlJc w:val="left"/>
      <w:lvlText w:val="(%2)"/>
      <w:numFmt w:val="lowerRoman"/>
      <w:start w:val="1"/>
    </w:lvl>
  </w:abstractNum>
  <w:abstractNum w:abstractNumId="65">
    <w:nsid w:val="634C574C"/>
    <w:multiLevelType w:val="hybridMultilevel"/>
    <w:lvl w:ilvl="0">
      <w:lvlJc w:val="left"/>
      <w:lvlText w:val="(%1)"/>
      <w:numFmt w:val="lowerLetter"/>
      <w:start w:val="3"/>
    </w:lvl>
  </w:abstractNum>
  <w:abstractNum w:abstractNumId="66">
    <w:nsid w:val="24E99DD7"/>
    <w:multiLevelType w:val="hybridMultilevel"/>
    <w:lvl w:ilvl="0">
      <w:lvlJc w:val="left"/>
      <w:lvlText w:val="(%1)"/>
      <w:numFmt w:val="lowerLetter"/>
      <w:start w:val="1"/>
    </w:lvl>
  </w:abstractNum>
  <w:abstractNum w:abstractNumId="67">
    <w:nsid w:val="2A31B62D"/>
    <w:multiLevelType w:val="hybridMultilevel"/>
    <w:lvl w:ilvl="0">
      <w:lvlJc w:val="left"/>
      <w:lvlText w:val="(%1)"/>
      <w:numFmt w:val="lowerLetter"/>
      <w:start w:val="1"/>
    </w:lvl>
  </w:abstractNum>
  <w:abstractNum w:abstractNumId="68">
    <w:nsid w:val="1849C29B"/>
    <w:multiLevelType w:val="hybridMultilevel"/>
    <w:lvl w:ilvl="0">
      <w:lvlJc w:val="left"/>
      <w:lvlText w:val="(%1)"/>
      <w:numFmt w:val="lowerLetter"/>
      <w:start w:val="2"/>
    </w:lvl>
  </w:abstractNum>
  <w:abstractNum w:abstractNumId="69">
    <w:nsid w:val="7DFF9D09"/>
    <w:multiLevelType w:val="hybridMultilevel"/>
    <w:lvl w:ilvl="0">
      <w:lvlJc w:val="left"/>
      <w:lvlText w:val="(%1)"/>
      <w:numFmt w:val="lowerLetter"/>
      <w:start w:val="1"/>
    </w:lvl>
    <w:lvl w:ilvl="1">
      <w:lvlJc w:val="left"/>
      <w:lvlText w:val="(%2)"/>
      <w:numFmt w:val="lowerRoman"/>
      <w:start w:val="1"/>
    </w:lvl>
  </w:abstractNum>
  <w:abstractNum w:abstractNumId="70">
    <w:nsid w:val="754342"/>
    <w:multiLevelType w:val="hybridMultilevel"/>
    <w:lvl w:ilvl="0">
      <w:lvlJc w:val="left"/>
      <w:lvlText w:val="(%1)"/>
      <w:numFmt w:val="lowerLetter"/>
      <w:start w:val="1"/>
    </w:lvl>
    <w:lvl w:ilvl="1">
      <w:lvlJc w:val="left"/>
      <w:lvlText w:val="(%2)"/>
      <w:numFmt w:val="lowerRoman"/>
      <w:start w:val="1"/>
    </w:lvl>
  </w:abstractNum>
  <w:abstractNum w:abstractNumId="71">
    <w:nsid w:val="69E7F3E5"/>
    <w:multiLevelType w:val="hybridMultilevel"/>
    <w:lvl w:ilvl="0">
      <w:lvlJc w:val="left"/>
      <w:lvlText w:val="(%1)"/>
      <w:numFmt w:val="lowerLetter"/>
      <w:start w:val="2"/>
    </w:lvl>
  </w:abstractNum>
  <w:abstractNum w:abstractNumId="72">
    <w:nsid w:val="2A6DE806"/>
    <w:multiLevelType w:val="hybridMultilevel"/>
    <w:lvl w:ilvl="0">
      <w:lvlJc w:val="left"/>
      <w:lvlText w:val="(%1)"/>
      <w:numFmt w:val="lowerLetter"/>
      <w:start w:val="1"/>
    </w:lvl>
  </w:abstractNum>
  <w:abstractNum w:abstractNumId="73">
    <w:nsid w:val="1816F8C4"/>
    <w:multiLevelType w:val="hybridMultilevel"/>
    <w:lvl w:ilvl="0">
      <w:lvlJc w:val="left"/>
      <w:lvlText w:val="(%1)"/>
      <w:numFmt w:val="lowerLetter"/>
      <w:start w:val="1"/>
    </w:lvl>
    <w:lvl w:ilvl="1">
      <w:lvlJc w:val="left"/>
      <w:lvlText w:val="(%2)"/>
      <w:numFmt w:val="lowerRoman"/>
      <w:start w:val="1"/>
    </w:lvl>
  </w:abstractNum>
  <w:abstractNum w:abstractNumId="74">
    <w:nsid w:val="37DF2233"/>
    <w:multiLevelType w:val="hybridMultilevel"/>
    <w:lvl w:ilvl="0">
      <w:lvlJc w:val="left"/>
      <w:lvlText w:val="(%1)"/>
      <w:numFmt w:val="lowerLetter"/>
      <w:start w:val="1"/>
    </w:lvl>
  </w:abstractNum>
  <w:abstractNum w:abstractNumId="75">
    <w:nsid w:val="7AB49DAF"/>
    <w:multiLevelType w:val="hybridMultilevel"/>
    <w:lvl w:ilvl="0">
      <w:lvlJc w:val="left"/>
      <w:lvlText w:val="(%1)"/>
      <w:numFmt w:val="lowerLetter"/>
      <w:start w:val="18"/>
    </w:lvl>
    <w:lvl w:ilvl="1">
      <w:lvlJc w:val="left"/>
      <w:lvlText w:val="(%2)"/>
      <w:numFmt w:val="lowerRoman"/>
      <w:start w:val="1"/>
    </w:lvl>
  </w:abstractNum>
  <w:abstractNum w:abstractNumId="76">
    <w:nsid w:val="759F82CD"/>
    <w:multiLevelType w:val="hybridMultilevel"/>
    <w:lvl w:ilvl="0">
      <w:lvlJc w:val="left"/>
      <w:lvlText w:val="(%1)"/>
      <w:numFmt w:val="lowerLetter"/>
      <w:start w:val="27"/>
    </w:lvl>
  </w:abstractNum>
  <w:abstractNum w:abstractNumId="77">
    <w:nsid w:val="61E74EA3"/>
    <w:multiLevelType w:val="hybridMultilevel"/>
    <w:lvl w:ilvl="0">
      <w:lvlJc w:val="left"/>
      <w:lvlText w:val="(%1)"/>
      <w:numFmt w:val="lowerLetter"/>
      <w:start w:val="1"/>
    </w:lvl>
  </w:abstractNum>
  <w:abstractNum w:abstractNumId="78">
    <w:nsid w:val="597B4D84"/>
    <w:multiLevelType w:val="hybridMultilevel"/>
    <w:lvl w:ilvl="0">
      <w:lvlJc w:val="left"/>
      <w:lvlText w:val="(%1)"/>
      <w:numFmt w:val="lowerLetter"/>
      <w:start w:val="1"/>
    </w:lvl>
  </w:abstractNum>
  <w:abstractNum w:abstractNumId="79">
    <w:nsid w:val="F819E7F"/>
    <w:multiLevelType w:val="hybridMultilevel"/>
    <w:lvl w:ilvl="0">
      <w:lvlJc w:val="left"/>
      <w:lvlText w:val="(%1)"/>
      <w:numFmt w:val="lowerLetter"/>
      <w:start w:val="2"/>
    </w:lvl>
    <w:lvl w:ilvl="1">
      <w:lvlJc w:val="left"/>
      <w:lvlText w:val="(%2)"/>
      <w:numFmt w:val="lowerRoman"/>
      <w:start w:val="1"/>
    </w:lvl>
  </w:abstractNum>
  <w:abstractNum w:abstractNumId="80">
    <w:nsid w:val="57C7D42D"/>
    <w:multiLevelType w:val="hybridMultilevel"/>
    <w:lvl w:ilvl="0">
      <w:lvlJc w:val="left"/>
      <w:lvlText w:val="(%1)"/>
      <w:numFmt w:val="lowerLetter"/>
      <w:start w:val="1"/>
    </w:lvl>
  </w:abstractNum>
  <w:abstractNum w:abstractNumId="81">
    <w:nsid w:val="312167AD"/>
    <w:multiLevelType w:val="hybridMultilevel"/>
    <w:lvl w:ilvl="0">
      <w:lvlJc w:val="left"/>
      <w:lvlText w:val="(%1)"/>
      <w:numFmt w:val="lowerLetter"/>
      <w:start w:val="5"/>
    </w:lvl>
  </w:abstractNum>
  <w:abstractNum w:abstractNumId="82">
    <w:nsid w:val="631B64D4"/>
    <w:multiLevelType w:val="hybridMultilevel"/>
    <w:lvl w:ilvl="0">
      <w:lvlJc w:val="left"/>
      <w:lvlText w:val="(%1)"/>
      <w:numFmt w:val="lowerLetter"/>
      <w:start w:val="1"/>
    </w:lvl>
  </w:abstractNum>
  <w:abstractNum w:abstractNumId="83">
    <w:nsid w:val="78B5E776"/>
    <w:multiLevelType w:val="hybridMultilevel"/>
    <w:lvl w:ilvl="0">
      <w:lvlJc w:val="left"/>
      <w:lvlText w:val="(%1)"/>
      <w:numFmt w:val="lowerLetter"/>
      <w:start w:val="1"/>
    </w:lvl>
  </w:abstractNum>
  <w:abstractNum w:abstractNumId="84">
    <w:nsid w:val="75486E47"/>
    <w:multiLevelType w:val="hybridMultilevel"/>
    <w:lvl w:ilvl="0">
      <w:lvlJc w:val="left"/>
      <w:lvlText w:val="(%1)"/>
      <w:numFmt w:val="lowerLetter"/>
      <w:start w:val="1"/>
    </w:lvl>
  </w:abstractNum>
  <w:abstractNum w:abstractNumId="85">
    <w:nsid w:val="6E534CDE"/>
    <w:multiLevelType w:val="hybridMultilevel"/>
    <w:lvl w:ilvl="0">
      <w:lvlJc w:val="left"/>
      <w:lvlText w:val="(%1)"/>
      <w:numFmt w:val="lowerLetter"/>
      <w:start w:val="1"/>
    </w:lvl>
  </w:abstractNum>
  <w:abstractNum w:abstractNumId="86">
    <w:nsid w:val="1A0DDE32"/>
    <w:multiLevelType w:val="hybridMultilevel"/>
    <w:lvl w:ilvl="0">
      <w:lvlJc w:val="left"/>
      <w:lvlText w:val="(%1)"/>
      <w:numFmt w:val="lowerLetter"/>
      <w:start w:val="1"/>
    </w:lvl>
  </w:abstractNum>
  <w:abstractNum w:abstractNumId="87">
    <w:nsid w:val="65968C1C"/>
    <w:multiLevelType w:val="hybridMultilevel"/>
    <w:lvl w:ilvl="0">
      <w:lvlJc w:val="left"/>
      <w:lvlText w:val="(%1)"/>
      <w:numFmt w:val="lowerLetter"/>
      <w:start w:val="2"/>
    </w:lvl>
  </w:abstractNum>
  <w:abstractNum w:abstractNumId="88">
    <w:nsid w:val="46263DEC"/>
    <w:multiLevelType w:val="hybridMultilevel"/>
    <w:lvl w:ilvl="0">
      <w:lvlJc w:val="left"/>
      <w:lvlText w:val="(%1)"/>
      <w:numFmt w:val="lowerLetter"/>
      <w:start w:val="1"/>
    </w:lvl>
  </w:abstractNum>
  <w:abstractNum w:abstractNumId="89">
    <w:nsid w:val="260D8C4A"/>
    <w:multiLevelType w:val="hybridMultilevel"/>
    <w:lvl w:ilvl="0">
      <w:lvlJc w:val="left"/>
      <w:lvlText w:val="(%1)"/>
      <w:numFmt w:val="lowerLetter"/>
      <w:start w:val="1"/>
    </w:lvl>
  </w:abstractNum>
  <w:abstractNum w:abstractNumId="90">
    <w:nsid w:val="73D4D3C4"/>
    <w:multiLevelType w:val="hybridMultilevel"/>
    <w:lvl w:ilvl="0">
      <w:lvlJc w:val="left"/>
      <w:lvlText w:val="(%1)"/>
      <w:numFmt w:val="lowerLetter"/>
      <w:start w:val="1"/>
    </w:lvl>
  </w:abstractNum>
  <w:abstractNum w:abstractNumId="91">
    <w:nsid w:val="746F2E30"/>
    <w:multiLevelType w:val="hybridMultilevel"/>
    <w:lvl w:ilvl="0">
      <w:lvlJc w:val="left"/>
      <w:lvlText w:val="(%1)"/>
      <w:numFmt w:val="lowerLetter"/>
      <w:start w:val="1"/>
    </w:lvl>
  </w:abstractNum>
  <w:abstractNum w:abstractNumId="92">
    <w:nsid w:val="6FDE8AF6"/>
    <w:multiLevelType w:val="hybridMultilevel"/>
    <w:lvl w:ilvl="0">
      <w:lvlJc w:val="left"/>
      <w:lvlText w:val="(%1)"/>
      <w:numFmt w:val="lowerLetter"/>
      <w:start w:val="1"/>
    </w:lvl>
  </w:abstractNum>
  <w:abstractNum w:abstractNumId="93">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
    <w:nsid w:val="49C0E823"/>
    <w:multiLevelType w:val="hybridMultilevel"/>
    <w:lvl w:ilvl="0">
      <w:lvlJc w:val="left"/>
      <w:lvlText w:val="%1."/>
      <w:numFmt w:val="upperLetter"/>
      <w:start w:val="1"/>
    </w:lvl>
  </w:abstractNum>
  <w:abstractNum w:abstractNumId="95">
    <w:nsid w:val="14D53685"/>
    <w:multiLevelType w:val="hybridMultilevel"/>
    <w:lvl w:ilvl="0">
      <w:lvlJc w:val="left"/>
      <w:lvlText w:val="(%1)"/>
      <w:numFmt w:val="lowerLetter"/>
      <w:start w:val="1"/>
    </w:lvl>
  </w:abstractNum>
  <w:abstractNum w:abstractNumId="96">
    <w:nsid w:val="230F856C"/>
    <w:multiLevelType w:val="hybridMultilevel"/>
    <w:lvl w:ilvl="0">
      <w:lvlJc w:val="left"/>
      <w:lvlText w:val="(%1)"/>
      <w:numFmt w:val="lowerRoman"/>
      <w:start w:val="1"/>
    </w:lvl>
  </w:abstractNum>
  <w:abstractNum w:abstractNumId="97">
    <w:nsid w:val="6EAA85FB"/>
    <w:multiLevelType w:val="hybridMultilevel"/>
    <w:lvl w:ilvl="0">
      <w:lvlJc w:val="left"/>
      <w:lvlText w:val="(%1)"/>
      <w:numFmt w:val="lowerRoman"/>
      <w:start w:val="2"/>
    </w:lvl>
  </w:abstractNum>
  <w:abstractNum w:abstractNumId="98">
    <w:nsid w:val="3F06ECB2"/>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99">
    <w:nsid w:val="3B59480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0">
    <w:nsid w:val="6CAA2304"/>
    <w:multiLevelType w:val="hybridMultilevel"/>
    <w:lvl w:ilvl="0">
      <w:lvlJc w:val="left"/>
      <w:lvlText w:val="%1"/>
      <w:numFmt w:val="lowerLetter"/>
      <w:start w:val="1"/>
    </w:lvl>
    <w:lvl w:ilvl="1">
      <w:lvlJc w:val="left"/>
      <w:lvlText w:val="%2."/>
      <w:numFmt w:val="decimal"/>
      <w:start w:val="4"/>
    </w:lvl>
  </w:abstractNum>
  <w:abstractNum w:abstractNumId="101">
    <w:nsid w:val="3F7C2FF4"/>
    <w:multiLevelType w:val="hybridMultilevel"/>
    <w:lvl w:ilvl="0">
      <w:lvlJc w:val="left"/>
      <w:lvlText w:val="(%1)"/>
      <w:numFmt w:val="lowerLetter"/>
      <w:start w:val="1"/>
    </w:lvl>
    <w:lvl w:ilvl="1">
      <w:lvlJc w:val="left"/>
      <w:lvlText w:val="%2."/>
      <w:numFmt w:val="decimal"/>
      <w:start w:val="5"/>
    </w:lvl>
  </w:abstractNum>
  <w:abstractNum w:abstractNumId="102">
    <w:nsid w:val="25413BEC"/>
    <w:multiLevelType w:val="hybridMultilevel"/>
    <w:lvl w:ilvl="0">
      <w:lvlJc w:val="left"/>
      <w:lvlText w:val="%1"/>
      <w:numFmt w:val="lowerLetter"/>
      <w:start w:val="1"/>
    </w:lvl>
    <w:lvl w:ilvl="1">
      <w:lvlJc w:val="left"/>
      <w:lvlText w:val="%2."/>
      <w:numFmt w:val="decimal"/>
      <w:start w:val="8"/>
    </w:lvl>
    <w:lvl w:ilvl="2">
      <w:lvlJc w:val="left"/>
      <w:lvlText w:val="-"/>
      <w:numFmt w:val="bullet"/>
      <w:start w:val="1"/>
    </w:lvl>
  </w:abstractNum>
  <w:abstractNum w:abstractNumId="103">
    <w:nsid w:val="17180B0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04">
    <w:nsid w:val="579328B9"/>
    <w:multiLevelType w:val="hybridMultilevel"/>
    <w:lvl w:ilvl="0">
      <w:lvlJc w:val="left"/>
      <w:lvlText w:val="(%1)"/>
      <w:numFmt w:val="lowerLetter"/>
      <w:start w:val="3"/>
    </w:lvl>
  </w:abstractNum>
  <w:abstractNum w:abstractNumId="105">
    <w:nsid w:val="5D205E20"/>
    <w:multiLevelType w:val="hybridMultilevel"/>
    <w:lvl w:ilvl="0">
      <w:lvlJc w:val="left"/>
      <w:lvlText w:val="(%1)"/>
      <w:numFmt w:val="lowerLetter"/>
      <w:start w:val="1"/>
    </w:lvl>
  </w:abstractNum>
  <w:abstractNum w:abstractNumId="106">
    <w:nsid w:val="11CCA8BA"/>
    <w:multiLevelType w:val="hybridMultilevel"/>
    <w:lvl w:ilvl="0">
      <w:lvlJc w:val="left"/>
      <w:lvlText w:val="(%1)"/>
      <w:numFmt w:val="lowerLetter"/>
      <w:start w:val="1"/>
    </w:lvl>
    <w:lvl w:ilvl="1">
      <w:lvlJc w:val="left"/>
      <w:lvlText w:val="-"/>
      <w:numFmt w:val="bullet"/>
      <w:start w:val="1"/>
    </w:lvl>
  </w:abstractNum>
  <w:abstractNum w:abstractNumId="107">
    <w:nsid w:val="4D32AB86"/>
    <w:multiLevelType w:val="hybridMultilevel"/>
    <w:lvl w:ilvl="0">
      <w:lvlJc w:val="left"/>
      <w:lvlText w:val="%1."/>
      <w:numFmt w:val="decimal"/>
      <w:start w:val="1"/>
    </w:lvl>
  </w:abstractNum>
  <w:abstractNum w:abstractNumId="108">
    <w:nsid w:val="3F07ACC3"/>
    <w:multiLevelType w:val="hybridMultilevel"/>
    <w:lvl w:ilvl="0">
      <w:lvlJc w:val="left"/>
      <w:lvlText w:val="%1."/>
      <w:numFmt w:val="decimal"/>
      <w:start w:val="2"/>
    </w:lvl>
  </w:abstractNum>
  <w:abstractNum w:abstractNumId="109">
    <w:nsid w:val="6B47F63E"/>
    <w:multiLevelType w:val="hybridMultilevel"/>
    <w:lvl w:ilvl="0">
      <w:lvlJc w:val="left"/>
      <w:lvlText w:val="%1."/>
      <w:numFmt w:val="decimal"/>
      <w:start w:val="3"/>
    </w:lvl>
  </w:abstractNum>
  <w:abstractNum w:abstractNumId="110">
    <w:nsid w:val="5CB44A05"/>
    <w:multiLevelType w:val="hybridMultilevel"/>
    <w:lvl w:ilvl="0">
      <w:lvlJc w:val="left"/>
      <w:lvlText w:val="%1."/>
      <w:numFmt w:val="upperLetter"/>
      <w:start w:val="2"/>
    </w:lvl>
  </w:abstractNum>
  <w:abstractNum w:abstractNumId="111">
    <w:nsid w:val="16CF80F1"/>
    <w:multiLevelType w:val="hybridMultilevel"/>
    <w:lvl w:ilvl="0">
      <w:lvlJc w:val="left"/>
      <w:lvlText w:val="%1."/>
      <w:numFmt w:val="decimal"/>
      <w:start w:val="2"/>
    </w:lvl>
  </w:abstractNum>
  <w:abstractNum w:abstractNumId="112">
    <w:nsid w:val="1C695DEC"/>
    <w:multiLevelType w:val="hybridMultilevel"/>
    <w:lvl w:ilvl="0">
      <w:lvlJc w:val="left"/>
      <w:lvlText w:val="%1."/>
      <w:numFmt w:val="decimal"/>
      <w:start w:val="1"/>
    </w:lvl>
  </w:abstractNum>
  <w:abstractNum w:abstractNumId="113">
    <w:nsid w:val="3FCFAED9"/>
    <w:multiLevelType w:val="hybridMultilevel"/>
    <w:lvl w:ilvl="0">
      <w:lvlJc w:val="left"/>
      <w:lvlText w:val="(%1)"/>
      <w:numFmt w:val="lowerLetter"/>
      <w:start w:val="1"/>
    </w:lvl>
  </w:abstractNum>
  <w:abstractNum w:abstractNumId="114">
    <w:nsid w:val="F856867"/>
    <w:multiLevelType w:val="hybridMultilevel"/>
    <w:lvl w:ilvl="0">
      <w:lvlJc w:val="left"/>
      <w:lvlText w:val="%1."/>
      <w:numFmt w:val="decimal"/>
      <w:start w:val="2"/>
    </w:lvl>
  </w:abstractNum>
  <w:abstractNum w:abstractNumId="115">
    <w:nsid w:val="11B1CC33"/>
    <w:multiLevelType w:val="hybridMultilevel"/>
    <w:lvl w:ilvl="0">
      <w:lvlJc w:val="left"/>
      <w:lvlText w:val="%1."/>
      <w:numFmt w:val="decimal"/>
      <w:start w:val="3"/>
    </w:lvl>
  </w:abstractNum>
  <w:abstractNum w:abstractNumId="116">
    <w:nsid w:val="2E22FBB7"/>
    <w:multiLevelType w:val="hybridMultilevel"/>
    <w:lvl w:ilvl="0">
      <w:lvlJc w:val="left"/>
      <w:lvlText w:val="(%1)"/>
      <w:numFmt w:val="lowerLetter"/>
      <w:start w:val="1"/>
    </w:lvl>
  </w:abstractNum>
  <w:abstractNum w:abstractNumId="117">
    <w:nsid w:val="29934699"/>
    <w:multiLevelType w:val="hybridMultilevel"/>
    <w:lvl w:ilvl="0">
      <w:lvlJc w:val="left"/>
      <w:lvlText w:val="(%1)"/>
      <w:numFmt w:val="lowerLetter"/>
      <w:start w:val="5"/>
    </w:lvl>
  </w:abstractNum>
  <w:abstractNum w:abstractNumId="118">
    <w:nsid w:val="77485850"/>
    <w:multiLevelType w:val="hybridMultilevel"/>
    <w:lvl w:ilvl="0">
      <w:lvlJc w:val="left"/>
      <w:lvlText w:val="%1."/>
      <w:numFmt w:val="decimal"/>
      <w:start w:val="4"/>
    </w:lvl>
  </w:abstractNum>
  <w:abstractNum w:abstractNumId="119">
    <w:nsid w:val="744939A3"/>
    <w:multiLevelType w:val="hybridMultilevel"/>
    <w:lvl w:ilvl="0">
      <w:lvlJc w:val="left"/>
      <w:lvlText w:val="(%1)"/>
      <w:numFmt w:val="lowerLetter"/>
      <w:start w:val="1"/>
    </w:lvl>
  </w:abstractNum>
  <w:abstractNum w:abstractNumId="120">
    <w:nsid w:val="4FA0D2E3"/>
    <w:multiLevelType w:val="hybridMultilevel"/>
    <w:lvl w:ilvl="0">
      <w:lvlJc w:val="left"/>
      <w:lvlText w:val="%1."/>
      <w:numFmt w:val="decimal"/>
      <w:start w:val="5"/>
    </w:lvl>
  </w:abstractNum>
  <w:abstractNum w:abstractNumId="121">
    <w:nsid w:val="6B1D2C14"/>
    <w:multiLevelType w:val="hybridMultilevel"/>
    <w:lvl w:ilvl="0">
      <w:lvlJc w:val="left"/>
      <w:lvlText w:val="%1."/>
      <w:numFmt w:val="decimal"/>
      <w:start w:val="6"/>
    </w:lvl>
  </w:abstractNum>
  <w:abstractNum w:abstractNumId="122">
    <w:nsid w:val="68B867D3"/>
    <w:multiLevelType w:val="hybridMultilevel"/>
    <w:lvl w:ilvl="0">
      <w:lvlJc w:val="left"/>
      <w:lvlText w:val="(%1)"/>
      <w:numFmt w:val="lowerLetter"/>
      <w:start w:val="1"/>
    </w:lvl>
  </w:abstractNum>
  <w:abstractNum w:abstractNumId="123">
    <w:nsid w:val="3F7F5DD9"/>
    <w:multiLevelType w:val="hybridMultilevel"/>
    <w:lvl w:ilvl="0">
      <w:lvlJc w:val="left"/>
      <w:lvlText w:val="(%1)"/>
      <w:numFmt w:val="lowerRoman"/>
      <w:start w:val="1"/>
    </w:lvl>
  </w:abstractNum>
  <w:abstractNum w:abstractNumId="124">
    <w:nsid w:val="2AE05A34"/>
    <w:multiLevelType w:val="hybridMultilevel"/>
    <w:lvl w:ilvl="0">
      <w:lvlJc w:val="left"/>
      <w:lvlText w:val="(%1)"/>
      <w:numFmt w:val="lowerLetter"/>
      <w:start w:val="2"/>
    </w:lvl>
  </w:abstractNum>
  <w:abstractNum w:abstractNumId="125">
    <w:nsid w:val="32794FF7"/>
    <w:multiLevelType w:val="hybridMultilevel"/>
    <w:lvl w:ilvl="0">
      <w:lvlJc w:val="left"/>
      <w:lvlText w:val="%1."/>
      <w:numFmt w:val="decimal"/>
      <w:start w:val="7"/>
    </w:lvl>
  </w:abstractNum>
  <w:abstractNum w:abstractNumId="126">
    <w:nsid w:val="5454945E"/>
    <w:multiLevelType w:val="hybridMultilevel"/>
    <w:lvl w:ilvl="0">
      <w:lvlJc w:val="left"/>
      <w:lvlText w:val="(%1)"/>
      <w:numFmt w:val="lowerLetter"/>
      <w:start w:val="1"/>
    </w:lvl>
  </w:abstractNum>
  <w:abstractNum w:abstractNumId="127">
    <w:nsid w:val="4DEFDFA0"/>
    <w:multiLevelType w:val="hybridMultilevel"/>
    <w:lvl w:ilvl="0">
      <w:lvlJc w:val="left"/>
      <w:lvlText w:val="%1."/>
      <w:numFmt w:val="decimal"/>
      <w:start w:val="8"/>
    </w:lvl>
  </w:abstractNum>
  <w:abstractNum w:abstractNumId="128">
    <w:nsid w:val="2123D5F2"/>
    <w:multiLevelType w:val="hybridMultilevel"/>
    <w:lvl w:ilvl="0">
      <w:lvlJc w:val="left"/>
      <w:lvlText w:val="%1."/>
      <w:numFmt w:val="decimal"/>
      <w:start w:val="9"/>
    </w:lvl>
  </w:abstractNum>
  <w:abstractNum w:abstractNumId="129">
    <w:nsid w:val="135B8110"/>
    <w:multiLevelType w:val="hybridMultilevel"/>
    <w:lvl w:ilvl="0">
      <w:lvlJc w:val="left"/>
      <w:lvlText w:val="%1."/>
      <w:numFmt w:val="decimal"/>
      <w:start w:val="10"/>
    </w:lvl>
  </w:abstractNum>
  <w:abstractNum w:abstractNumId="130">
    <w:nsid w:val="94927A8"/>
    <w:multiLevelType w:val="hybridMultilevel"/>
    <w:lvl w:ilvl="0">
      <w:lvlJc w:val="left"/>
      <w:lvlText w:val="%1."/>
      <w:numFmt w:val="decimal"/>
      <w:start w:val="11"/>
    </w:lvl>
  </w:abstractNum>
  <w:abstractNum w:abstractNumId="131">
    <w:nsid w:val="DCDF8F6"/>
    <w:multiLevelType w:val="hybridMultilevel"/>
    <w:lvl w:ilvl="0">
      <w:lvlJc w:val="left"/>
      <w:lvlText w:val="%1."/>
      <w:numFmt w:val="decimal"/>
      <w:start w:val="12"/>
    </w:lvl>
  </w:abstractNum>
  <w:abstractNum w:abstractNumId="132">
    <w:nsid w:val="52D7B105"/>
    <w:multiLevelType w:val="hybridMultilevel"/>
    <w:lvl w:ilvl="0">
      <w:lvlJc w:val="left"/>
      <w:lvlText w:val="%1."/>
      <w:numFmt w:val="decimal"/>
      <w:start w:val="13"/>
    </w:lvl>
  </w:abstractNum>
  <w:abstractNum w:abstractNumId="133">
    <w:nsid w:val="2E8A6394"/>
    <w:multiLevelType w:val="hybridMultilevel"/>
    <w:lvl w:ilvl="0">
      <w:lvlJc w:val="left"/>
      <w:lvlText w:val="%1."/>
      <w:numFmt w:val="decimal"/>
      <w:start w:val="14"/>
    </w:lvl>
  </w:abstractNum>
  <w:abstractNum w:abstractNumId="134">
    <w:nsid w:val="24E60401"/>
    <w:multiLevelType w:val="hybridMultilevel"/>
    <w:lvl w:ilvl="0">
      <w:lvlJc w:val="left"/>
      <w:lvlText w:val="(%1)"/>
      <w:numFmt w:val="lowerLetter"/>
      <w:start w:val="1"/>
    </w:lvl>
  </w:abstractNum>
  <w:abstractNum w:abstractNumId="135">
    <w:nsid w:val="2A6AD9BE"/>
    <w:multiLevelType w:val="hybridMultilevel"/>
    <w:lvl w:ilvl="0">
      <w:lvlJc w:val="left"/>
      <w:lvlText w:val="%1."/>
      <w:numFmt w:val="decimal"/>
      <w:start w:val="15"/>
    </w:lvl>
  </w:abstractNum>
  <w:abstractNum w:abstractNumId="136">
    <w:nsid w:val="BAAC1B4"/>
    <w:multiLevelType w:val="hybridMultilevel"/>
    <w:lvl w:ilvl="0">
      <w:lvlJc w:val="left"/>
      <w:lvlText w:val="(%1)"/>
      <w:numFmt w:val="lowerLetter"/>
      <w:start w:val="1"/>
    </w:lvl>
  </w:abstractNum>
  <w:abstractNum w:abstractNumId="137">
    <w:nsid w:val="36B2ACBC"/>
    <w:multiLevelType w:val="hybridMultilevel"/>
    <w:lvl w:ilvl="0">
      <w:lvlJc w:val="left"/>
      <w:lvlText w:val="%1."/>
      <w:numFmt w:val="decimal"/>
      <w:start w:val="16"/>
    </w:lvl>
  </w:abstractNum>
  <w:abstractNum w:abstractNumId="138">
    <w:nsid w:val="779D8544"/>
    <w:multiLevelType w:val="hybridMultilevel"/>
    <w:lvl w:ilvl="0">
      <w:lvlJc w:val="left"/>
      <w:lvlText w:val="(%1)"/>
      <w:numFmt w:val="lowerLetter"/>
      <w:start w:val="1"/>
    </w:lvl>
  </w:abstractNum>
  <w:abstractNum w:abstractNumId="139">
    <w:nsid w:val="4AB26E78"/>
    <w:multiLevelType w:val="hybridMultilevel"/>
    <w:lvl w:ilvl="0">
      <w:lvlJc w:val="left"/>
      <w:lvlText w:val="%1."/>
      <w:numFmt w:val="decimal"/>
      <w:start w:val="17"/>
    </w:lvl>
  </w:abstractNum>
  <w:abstractNum w:abstractNumId="140">
    <w:nsid w:val="21FAA2FA"/>
    <w:multiLevelType w:val="hybridMultilevel"/>
    <w:lvl w:ilvl="0">
      <w:lvlJc w:val="left"/>
      <w:lvlText w:val="(%1)"/>
      <w:numFmt w:val="lowerLetter"/>
      <w:start w:val="1"/>
    </w:lvl>
  </w:abstractNum>
  <w:abstractNum w:abstractNumId="141">
    <w:nsid w:val="5451CF49"/>
    <w:multiLevelType w:val="hybridMultilevel"/>
    <w:lvl w:ilvl="0">
      <w:lvlJc w:val="left"/>
      <w:lvlText w:val="%1."/>
      <w:numFmt w:val="decimal"/>
      <w:start w:val="18"/>
    </w:lvl>
  </w:abstractNum>
  <w:abstractNum w:abstractNumId="142">
    <w:nsid w:val="6181EF69"/>
    <w:multiLevelType w:val="hybridMultilevel"/>
    <w:lvl w:ilvl="0">
      <w:lvlJc w:val="left"/>
      <w:lvlText w:val="%1."/>
      <w:numFmt w:val="decimal"/>
      <w:start w:val="19"/>
    </w:lvl>
  </w:abstractNum>
  <w:abstractNum w:abstractNumId="143">
    <w:nsid w:val="3E6400E6"/>
    <w:multiLevelType w:val="hybridMultilevel"/>
    <w:lvl w:ilvl="0">
      <w:lvlJc w:val="left"/>
      <w:lvlText w:val="%1."/>
      <w:numFmt w:val="decimal"/>
      <w:start w:val="20"/>
    </w:lvl>
  </w:abstractNum>
  <w:abstractNum w:abstractNumId="144">
    <w:nsid w:val="14217E23"/>
    <w:multiLevelType w:val="hybridMultilevel"/>
    <w:lvl w:ilvl="0">
      <w:lvlJc w:val="left"/>
      <w:lvlText w:val="(%1)"/>
      <w:numFmt w:val="lowerLetter"/>
      <w:start w:val="1"/>
    </w:lvl>
  </w:abstractNum>
  <w:abstractNum w:abstractNumId="145">
    <w:nsid w:val="710757D0"/>
    <w:multiLevelType w:val="hybridMultilevel"/>
    <w:lvl w:ilvl="0">
      <w:lvlJc w:val="left"/>
      <w:lvlText w:val="%1."/>
      <w:numFmt w:val="decimal"/>
      <w:start w:val="21"/>
    </w:lvl>
  </w:abstractNum>
  <w:abstractNum w:abstractNumId="146">
    <w:nsid w:val="5015CD1A"/>
    <w:multiLevelType w:val="hybridMultilevel"/>
    <w:lvl w:ilvl="0">
      <w:lvlJc w:val="left"/>
      <w:lvlText w:val="%1."/>
      <w:numFmt w:val="decimal"/>
      <w:start w:val="22"/>
    </w:lvl>
  </w:abstractNum>
  <w:abstractNum w:abstractNumId="147">
    <w:nsid w:val="424479DA"/>
    <w:multiLevelType w:val="hybridMultilevel"/>
    <w:lvl w:ilvl="0">
      <w:lvlJc w:val="left"/>
      <w:lvlText w:val="%1."/>
      <w:numFmt w:val="decimal"/>
      <w:start w:val="23"/>
    </w:lvl>
  </w:abstractNum>
  <w:abstractNum w:abstractNumId="148">
    <w:nsid w:val="1A9A9E69"/>
    <w:multiLevelType w:val="hybridMultilevel"/>
    <w:lvl w:ilvl="0">
      <w:lvlJc w:val="left"/>
      <w:lvlText w:val="%1."/>
      <w:numFmt w:val="decimal"/>
      <w:start w:val="24"/>
    </w:lvl>
  </w:abstractNum>
  <w:abstractNum w:abstractNumId="149">
    <w:nsid w:val="475E256A"/>
    <w:multiLevelType w:val="hybridMultilevel"/>
    <w:lvl w:ilvl="0">
      <w:lvlJc w:val="left"/>
      <w:lvlText w:val="%1."/>
      <w:numFmt w:val="decimal"/>
      <w:start w:val="25"/>
    </w:lvl>
  </w:abstractNum>
  <w:abstractNum w:abstractNumId="150">
    <w:nsid w:val="368DB37E"/>
    <w:multiLevelType w:val="hybridMultilevel"/>
    <w:lvl w:ilvl="0">
      <w:lvlJc w:val="left"/>
      <w:lvlText w:val="(%1)"/>
      <w:numFmt w:val="lowerLetter"/>
      <w:start w:val="1"/>
    </w:lvl>
    <w:lvl w:ilvl="1">
      <w:lvlJc w:val="left"/>
      <w:lvlText w:val="(%2)"/>
      <w:numFmt w:val="lowerRoman"/>
      <w:start w:val="1"/>
    </w:lvl>
  </w:abstractNum>
  <w:abstractNum w:abstractNumId="151">
    <w:nsid w:val="6A3B714C"/>
    <w:multiLevelType w:val="hybridMultilevel"/>
    <w:lvl w:ilvl="0">
      <w:lvlJc w:val="left"/>
      <w:lvlText w:val="%1"/>
      <w:numFmt w:val="lowerLetter"/>
      <w:start w:val="1"/>
    </w:lvl>
    <w:lvl w:ilvl="1">
      <w:lvlJc w:val="left"/>
      <w:lvlText w:val="(%2)"/>
      <w:numFmt w:val="lowerLetter"/>
      <w:start w:val="35"/>
    </w:lvl>
  </w:abstractNum>
  <w:abstractNum w:abstractNumId="152">
    <w:nsid w:val="327B517E"/>
    <w:multiLevelType w:val="hybridMultilevel"/>
    <w:lvl w:ilvl="0">
      <w:lvlJc w:val="left"/>
      <w:lvlText w:val="(%1)"/>
      <w:numFmt w:val="lowerLetter"/>
      <w:start w:val="2"/>
    </w:lvl>
    <w:lvl w:ilvl="1">
      <w:lvlJc w:val="left"/>
      <w:lvlText w:val="%2"/>
      <w:numFmt w:val="lowerLetter"/>
      <w:start w:val="1"/>
    </w:lvl>
  </w:abstractNum>
  <w:abstractNum w:abstractNumId="153">
    <w:nsid w:val="1F461B51"/>
    <w:multiLevelType w:val="hybridMultilevel"/>
    <w:lvl w:ilvl="0">
      <w:lvlJc w:val="left"/>
      <w:lvlText w:val="(%1)"/>
      <w:numFmt w:val="lowerLetter"/>
      <w:start w:val="3"/>
    </w:lvl>
  </w:abstractNum>
  <w:abstractNum w:abstractNumId="154">
    <w:nsid w:val="29BACF25"/>
    <w:multiLevelType w:val="hybridMultilevel"/>
    <w:lvl w:ilvl="0">
      <w:lvlJc w:val="left"/>
      <w:lvlText w:val="%1."/>
      <w:numFmt w:val="decimal"/>
      <w:start w:val="26"/>
    </w:lvl>
  </w:abstractNum>
  <w:abstractNum w:abstractNumId="155">
    <w:nsid w:val="5D5BABB3"/>
    <w:multiLevelType w:val="hybridMultilevel"/>
    <w:lvl w:ilvl="0">
      <w:lvlJc w:val="left"/>
      <w:lvlText w:val="(%1)"/>
      <w:numFmt w:val="lowerLetter"/>
      <w:start w:val="1"/>
    </w:lvl>
  </w:abstractNum>
  <w:abstractNum w:abstractNumId="156">
    <w:nsid w:val="51BF6B48"/>
    <w:multiLevelType w:val="hybridMultilevel"/>
    <w:lvl w:ilvl="0">
      <w:lvlJc w:val="left"/>
      <w:lvlText w:val="%1."/>
      <w:numFmt w:val="decimal"/>
      <w:start w:val="27"/>
    </w:lvl>
  </w:abstractNum>
  <w:abstractNum w:abstractNumId="157">
    <w:nsid w:val="7E0F6384"/>
    <w:multiLevelType w:val="hybridMultilevel"/>
    <w:lvl w:ilvl="0">
      <w:lvlJc w:val="left"/>
      <w:lvlText w:val="%1."/>
      <w:numFmt w:val="decimal"/>
      <w:start w:val="28"/>
    </w:lvl>
  </w:abstractNum>
  <w:abstractNum w:abstractNumId="158">
    <w:nsid w:val="2B4B8B53"/>
    <w:multiLevelType w:val="hybridMultilevel"/>
    <w:lvl w:ilvl="0">
      <w:lvlJc w:val="left"/>
      <w:lvlText w:val="%1."/>
      <w:numFmt w:val="decimal"/>
      <w:start w:val="29"/>
    </w:lvl>
  </w:abstractNum>
  <w:abstractNum w:abstractNumId="159">
    <w:nsid w:val="72E3413A"/>
    <w:multiLevelType w:val="hybridMultilevel"/>
    <w:lvl w:ilvl="0">
      <w:lvlJc w:val="left"/>
      <w:lvlText w:val="%1."/>
      <w:numFmt w:val="decimal"/>
      <w:start w:val="30"/>
    </w:lvl>
  </w:abstractNum>
  <w:abstractNum w:abstractNumId="160">
    <w:nsid w:val="116AE494"/>
    <w:multiLevelType w:val="hybridMultilevel"/>
    <w:lvl w:ilvl="0">
      <w:lvlJc w:val="left"/>
      <w:lvlText w:val="%1."/>
      <w:numFmt w:val="decimal"/>
      <w:start w:val="31"/>
    </w:lvl>
  </w:abstractNum>
  <w:abstractNum w:abstractNumId="161">
    <w:nsid w:val="3494B2FB"/>
    <w:multiLevelType w:val="hybridMultilevel"/>
    <w:lvl w:ilvl="0">
      <w:lvlJc w:val="left"/>
      <w:lvlText w:val="%1."/>
      <w:numFmt w:val="decimal"/>
      <w:start w:val="32"/>
    </w:lvl>
  </w:abstractNum>
  <w:abstractNum w:abstractNumId="162">
    <w:nsid w:val="B13A31"/>
    <w:multiLevelType w:val="hybridMultilevel"/>
    <w:lvl w:ilvl="0">
      <w:lvlJc w:val="left"/>
      <w:lvlText w:val="%1."/>
      <w:numFmt w:val="decimal"/>
      <w:start w:val="33"/>
    </w:lvl>
  </w:abstractNum>
  <w:abstractNum w:abstractNumId="163">
    <w:nsid w:val="64429599"/>
    <w:multiLevelType w:val="hybridMultilevel"/>
    <w:lvl w:ilvl="0">
      <w:lvlJc w:val="left"/>
      <w:lvlText w:val="%1."/>
      <w:numFmt w:val="decimal"/>
      <w:start w:val="34"/>
    </w:lvl>
  </w:abstractNum>
  <w:abstractNum w:abstractNumId="164">
    <w:nsid w:val="631F1690"/>
    <w:multiLevelType w:val="hybridMultilevel"/>
    <w:lvl w:ilvl="0">
      <w:lvlJc w:val="left"/>
      <w:lvlText w:val="%1."/>
      <w:numFmt w:val="decimal"/>
      <w:start w:val="35"/>
    </w:lvl>
  </w:abstractNum>
  <w:abstractNum w:abstractNumId="165">
    <w:nsid w:val="25973E32"/>
    <w:multiLevelType w:val="hybridMultilevel"/>
    <w:lvl w:ilvl="0">
      <w:lvlJc w:val="left"/>
      <w:lvlText w:val="%1."/>
      <w:numFmt w:val="decimal"/>
      <w:start w:val="36"/>
    </w:lvl>
  </w:abstractNum>
  <w:abstractNum w:abstractNumId="166">
    <w:nsid w:val="EAD6F57"/>
    <w:multiLevelType w:val="hybridMultilevel"/>
    <w:lvl w:ilvl="0">
      <w:lvlJc w:val="left"/>
      <w:lvlText w:val="%1."/>
      <w:numFmt w:val="decimal"/>
      <w:start w:val="1"/>
    </w:lvl>
  </w:abstractNum>
  <w:abstractNum w:abstractNumId="167">
    <w:nsid w:val="6EC9D844"/>
    <w:multiLevelType w:val="hybridMultilevel"/>
    <w:lvl w:ilvl="0">
      <w:lvlJc w:val="left"/>
      <w:lvlText w:val="(%1)"/>
      <w:numFmt w:val="lowerRoman"/>
      <w:start w:val="1"/>
    </w:lvl>
    <w:lvl w:ilvl="1">
      <w:lvlJc w:val="left"/>
      <w:lvlText w:val="%2."/>
      <w:numFmt w:val="upperLetter"/>
      <w:start w:val="1"/>
    </w:lvl>
  </w:abstractNum>
  <w:abstractNum w:abstractNumId="168">
    <w:nsid w:val="5C49EAEE"/>
    <w:multiLevelType w:val="hybridMultilevel"/>
    <w:lvl w:ilvl="0">
      <w:lvlJc w:val="left"/>
      <w:lvlText w:val="%1."/>
      <w:numFmt w:val="decimal"/>
      <w:start w:val="1"/>
    </w:lvl>
  </w:abstractNum>
  <w:abstractNum w:abstractNumId="169">
    <w:nsid w:val="64AF49B"/>
    <w:multiLevelType w:val="hybridMultilevel"/>
    <w:lvl w:ilvl="0">
      <w:lvlJc w:val="left"/>
      <w:lvlText w:val="(%1)"/>
      <w:numFmt w:val="lowerLetter"/>
      <w:start w:val="1"/>
    </w:lvl>
  </w:abstractNum>
  <w:abstractNum w:abstractNumId="170">
    <w:nsid w:val="397C46BC"/>
    <w:multiLevelType w:val="hybridMultilevel"/>
    <w:lvl w:ilvl="0">
      <w:lvlJc w:val="left"/>
      <w:lvlText w:val="%1"/>
      <w:numFmt w:val="decimal"/>
      <w:start w:val="1"/>
    </w:lvl>
    <w:lvl w:ilvl="1">
      <w:lvlJc w:val="left"/>
      <w:lvlText w:val="(%2)"/>
      <w:numFmt w:val="lowerLetter"/>
      <w:start w:val="24"/>
    </w:lvl>
  </w:abstractNum>
  <w:abstractNum w:abstractNumId="171">
    <w:nsid w:val="7E448DE9"/>
    <w:multiLevelType w:val="hybridMultilevel"/>
    <w:lvl w:ilvl="0">
      <w:lvlJc w:val="left"/>
      <w:lvlText w:val="%1."/>
      <w:numFmt w:val="decimal"/>
      <w:start w:val="5"/>
    </w:lvl>
    <w:lvl w:ilvl="1">
      <w:lvlJc w:val="left"/>
      <w:lvlText w:val="%2"/>
      <w:numFmt w:val="lowerLetter"/>
      <w:start w:val="1"/>
    </w:lvl>
  </w:abstractNum>
  <w:abstractNum w:abstractNumId="172">
    <w:nsid w:val="5A9CC3E5"/>
    <w:multiLevelType w:val="hybridMultilevel"/>
    <w:lvl w:ilvl="0">
      <w:lvlJc w:val="left"/>
      <w:lvlText w:val="%1."/>
      <w:numFmt w:val="decimal"/>
      <w:start w:val="8"/>
    </w:lvl>
  </w:abstractNum>
  <w:abstractNum w:abstractNumId="173">
    <w:nsid w:val="1AFE3625"/>
    <w:multiLevelType w:val="hybridMultilevel"/>
    <w:lvl w:ilvl="0">
      <w:lvlJc w:val="left"/>
      <w:lvlText w:val="%1"/>
      <w:numFmt w:val="lowerLetter"/>
      <w:start w:val="1"/>
    </w:lvl>
    <w:lvl w:ilvl="1">
      <w:lvlJc w:val="left"/>
      <w:lvlText w:val="%2."/>
      <w:numFmt w:val="decimal"/>
      <w:start w:val="11"/>
    </w:lvl>
  </w:abstractNum>
  <w:abstractNum w:abstractNumId="174">
    <w:nsid w:val="3CA88ECF"/>
    <w:multiLevelType w:val="hybridMultilevel"/>
    <w:lvl w:ilvl="0">
      <w:lvlJc w:val="left"/>
      <w:lvlText w:val="(%1)"/>
      <w:numFmt w:val="lowerLetter"/>
      <w:start w:val="1"/>
    </w:lvl>
    <w:lvl w:ilvl="1">
      <w:lvlJc w:val="left"/>
      <w:lvlText w:val="%2"/>
      <w:numFmt w:val="decimal"/>
      <w:start w:val="1"/>
    </w:lvl>
  </w:abstractNum>
  <w:abstractNum w:abstractNumId="175">
    <w:nsid w:val="6EBE4208"/>
    <w:multiLevelType w:val="hybridMultilevel"/>
    <w:lvl w:ilvl="0">
      <w:lvlJc w:val="left"/>
      <w:lvlText w:val="(%1)"/>
      <w:numFmt w:val="lowerLetter"/>
      <w:start w:val="2"/>
    </w:lvl>
  </w:abstractNum>
  <w:abstractNum w:abstractNumId="176">
    <w:nsid w:val="C058DF5"/>
    <w:multiLevelType w:val="hybridMultilevel"/>
    <w:lvl w:ilvl="0">
      <w:lvlJc w:val="left"/>
      <w:lvlText w:val="%1"/>
      <w:numFmt w:val="lowerLetter"/>
      <w:start w:val="1"/>
    </w:lvl>
    <w:lvl w:ilvl="1">
      <w:lvlJc w:val="left"/>
      <w:lvlText w:val="%2."/>
      <w:numFmt w:val="decimal"/>
      <w:start w:val="12"/>
    </w:lvl>
  </w:abstractNum>
  <w:abstractNum w:abstractNumId="177">
    <w:nsid w:val="CBE5BE9"/>
    <w:multiLevelType w:val="hybridMultilevel"/>
    <w:lvl w:ilvl="0">
      <w:lvlJc w:val="left"/>
      <w:lvlText w:val="(%1)"/>
      <w:numFmt w:val="lowerLetter"/>
      <w:start w:val="1"/>
    </w:lvl>
    <w:lvl w:ilvl="1">
      <w:lvlJc w:val="left"/>
      <w:lvlText w:val="%2"/>
      <w:numFmt w:val="decimal"/>
      <w:start w:val="1"/>
    </w:lvl>
  </w:abstractNum>
  <w:abstractNum w:abstractNumId="178">
    <w:nsid w:val="3102BBE2"/>
    <w:multiLevelType w:val="hybridMultilevel"/>
    <w:lvl w:ilvl="0">
      <w:lvlJc w:val="left"/>
      <w:lvlText w:val="%1."/>
      <w:numFmt w:val="decimal"/>
      <w:start w:val="13"/>
    </w:lvl>
  </w:abstractNum>
  <w:abstractNum w:abstractNumId="179">
    <w:nsid w:val="26A02C5E"/>
    <w:multiLevelType w:val="hybridMultilevel"/>
    <w:lvl w:ilvl="0">
      <w:lvlJc w:val="left"/>
      <w:lvlText w:val="%1."/>
      <w:numFmt w:val="decimal"/>
      <w:start w:val="15"/>
    </w:lvl>
  </w:abstractNum>
  <w:abstractNum w:abstractNumId="180">
    <w:nsid w:val="541C8153"/>
    <w:multiLevelType w:val="hybridMultilevel"/>
    <w:lvl w:ilvl="0">
      <w:lvlJc w:val="left"/>
      <w:lvlText w:val="%1."/>
      <w:numFmt w:val="decimal"/>
      <w:start w:val="16"/>
    </w:lvl>
  </w:abstractNum>
  <w:abstractNum w:abstractNumId="181">
    <w:nsid w:val="67906F60"/>
    <w:multiLevelType w:val="hybridMultilevel"/>
    <w:lvl w:ilvl="0">
      <w:lvlJc w:val="left"/>
      <w:lvlText w:val="%1."/>
      <w:numFmt w:val="decimal"/>
      <w:start w:val="17"/>
    </w:lvl>
  </w:abstractNum>
  <w:abstractNum w:abstractNumId="182">
    <w:nsid w:val="10DB9DAA"/>
    <w:multiLevelType w:val="hybridMultilevel"/>
    <w:lvl w:ilvl="0">
      <w:lvlJc w:val="left"/>
      <w:lvlText w:val="%1."/>
      <w:numFmt w:val="decimal"/>
      <w:start w:val="1"/>
    </w:lvl>
    <w:lvl w:ilvl="1">
      <w:lvlJc w:val="left"/>
      <w:lvlText w:val="(%2)"/>
      <w:numFmt w:val="lowerLetter"/>
      <w:start w:val="1"/>
    </w:lvl>
  </w:abstractNum>
  <w:abstractNum w:abstractNumId="183">
    <w:nsid w:val="697D2D2"/>
    <w:multiLevelType w:val="hybridMultilevel"/>
    <w:lvl w:ilvl="0">
      <w:lvlJc w:val="left"/>
      <w:lvlText w:val="%1"/>
      <w:numFmt w:val="decimal"/>
      <w:start w:val="1"/>
    </w:lvl>
    <w:lvl w:ilvl="1">
      <w:lvlJc w:val="left"/>
      <w:lvlText w:val="(%2)"/>
      <w:numFmt w:val="lowerLetter"/>
      <w:start w:val="2"/>
    </w:lvl>
  </w:abstractNum>
  <w:abstractNum w:abstractNumId="184">
    <w:nsid w:val="6D68AB2"/>
    <w:multiLevelType w:val="hybridMultilevel"/>
    <w:lvl w:ilvl="0">
      <w:lvlJc w:val="left"/>
      <w:lvlText w:val="%1."/>
      <w:numFmt w:val="decimal"/>
      <w:start w:val="3"/>
    </w:lvl>
    <w:lvl w:ilvl="1">
      <w:lvlJc w:val="left"/>
      <w:lvlText w:val="%2"/>
      <w:numFmt w:val="lowerLetter"/>
      <w:start w:val="1"/>
    </w:lvl>
  </w:abstractNum>
  <w:abstractNum w:abstractNumId="185">
    <w:nsid w:val="3A966CD0"/>
    <w:multiLevelType w:val="hybridMultilevel"/>
    <w:lvl w:ilvl="0">
      <w:lvlJc w:val="left"/>
      <w:lvlText w:val="%1."/>
      <w:numFmt w:val="decimal"/>
      <w:start w:val="8"/>
    </w:lvl>
    <w:lvl w:ilvl="1">
      <w:lvlJc w:val="left"/>
      <w:lvlText w:val="(%2)"/>
      <w:numFmt w:val="lowerLetter"/>
      <w:start w:val="1"/>
    </w:lvl>
  </w:abstractNum>
  <w:abstractNum w:abstractNumId="186">
    <w:nsid w:val="63F37E85"/>
    <w:multiLevelType w:val="hybridMultilevel"/>
    <w:lvl w:ilvl="0">
      <w:lvlJc w:val="left"/>
      <w:lvlText w:val="%1."/>
      <w:numFmt w:val="decimal"/>
      <w:start w:val="9"/>
    </w:lvl>
    <w:lvl w:ilvl="1">
      <w:lvlJc w:val="left"/>
      <w:lvlText w:val="(%2)"/>
      <w:numFmt w:val="lowerLetter"/>
      <w:start w:val="1"/>
    </w:lvl>
  </w:abstractNum>
  <w:abstractNum w:abstractNumId="187">
    <w:nsid w:val="5895F5FA"/>
    <w:multiLevelType w:val="hybridMultilevel"/>
    <w:lvl w:ilvl="0">
      <w:lvlJc w:val="left"/>
      <w:lvlText w:val="%1."/>
      <w:numFmt w:val="decimal"/>
      <w:start w:val="11"/>
    </w:lvl>
    <w:lvl w:ilvl="1">
      <w:lvlJc w:val="left"/>
      <w:lvlText w:val="(%2)"/>
      <w:numFmt w:val="lowerLetter"/>
      <w:start w:val="1"/>
    </w:lvl>
  </w:abstractNum>
  <w:abstractNum w:abstractNumId="188">
    <w:nsid w:val="38A5D054"/>
    <w:multiLevelType w:val="hybridMultilevel"/>
    <w:lvl w:ilvl="0">
      <w:lvlJc w:val="left"/>
      <w:lvlText w:val="(%1)"/>
      <w:numFmt w:val="lowerLetter"/>
      <w:start w:val="9"/>
    </w:lvl>
  </w:abstractNum>
  <w:abstractNum w:abstractNumId="189">
    <w:nsid w:val="F3F09D8"/>
    <w:multiLevelType w:val="hybridMultilevel"/>
    <w:lvl w:ilvl="0">
      <w:lvlJc w:val="left"/>
      <w:lvlText w:val="(%1)"/>
      <w:numFmt w:val="lowerLetter"/>
      <w:start w:val="2"/>
    </w:lvl>
  </w:abstractNum>
  <w:abstractNum w:abstractNumId="190">
    <w:nsid w:val="4B793735"/>
    <w:multiLevelType w:val="hybridMultilevel"/>
    <w:lvl w:ilvl="0">
      <w:lvlJc w:val="left"/>
      <w:lvlText w:val="●"/>
      <w:numFmt w:val="bullet"/>
      <w:start w:val="1"/>
    </w:lvl>
  </w:abstractNum>
  <w:abstractNum w:abstractNumId="191">
    <w:nsid w:val="4A10B4E8"/>
    <w:multiLevelType w:val="hybridMultilevel"/>
    <w:lvl w:ilvl="0">
      <w:lvlJc w:val="left"/>
      <w:lvlText w:val="%1)"/>
      <w:numFmt w:val="lowerLetter"/>
      <w:start w:val="1"/>
    </w:lvl>
  </w:abstractNum>
  <w:abstractNum w:abstractNumId="192">
    <w:nsid w:val="43D3BCD4"/>
    <w:multiLevelType w:val="hybridMultilevel"/>
    <w:lvl w:ilvl="0">
      <w:lvlJc w:val="left"/>
      <w:lvlText w:val="%1)"/>
      <w:numFmt w:val="lowerLetter"/>
      <w:start w:val="9"/>
    </w:lvl>
  </w:abstractNum>
  <w:abstractNum w:abstractNumId="193">
    <w:nsid w:val="4C2A7166"/>
    <w:multiLevelType w:val="hybridMultilevel"/>
    <w:lvl w:ilvl="0">
      <w:lvlJc w:val="left"/>
      <w:lvlText w:val="%1)"/>
      <w:numFmt w:val="lowerLetter"/>
      <w:start w:val="1"/>
    </w:lvl>
  </w:abstractNum>
  <w:abstractNum w:abstractNumId="194">
    <w:nsid w:val="2E534A82"/>
    <w:multiLevelType w:val="hybridMultilevel"/>
    <w:lvl w:ilvl="0">
      <w:lvlJc w:val="left"/>
      <w:lvlText w:val="%1."/>
      <w:numFmt w:val="decimal"/>
      <w:start w:val="1"/>
    </w:lvl>
  </w:abstractNum>
  <w:abstractNum w:abstractNumId="195">
    <w:nsid w:val="26F2D364"/>
    <w:multiLevelType w:val="hybridMultilevel"/>
    <w:lvl w:ilvl="0">
      <w:lvlJc w:val="left"/>
      <w:lvlText w:val="%1."/>
      <w:numFmt w:val="decimal"/>
      <w:start w:val="2"/>
    </w:lvl>
  </w:abstractNum>
  <w:abstractNum w:abstractNumId="196">
    <w:nsid w:val="71C1AF98"/>
    <w:multiLevelType w:val="hybridMultilevel"/>
    <w:lvl w:ilvl="0">
      <w:lvlJc w:val="left"/>
      <w:lvlText w:val="%1."/>
      <w:numFmt w:val="lowerRoman"/>
      <w:start w:val="1"/>
    </w:lvl>
  </w:abstractNum>
  <w:abstractNum w:abstractNumId="197">
    <w:nsid w:val="3D00B9D9"/>
    <w:multiLevelType w:val="hybridMultilevel"/>
    <w:lvl w:ilvl="0">
      <w:lvlJc w:val="left"/>
      <w:lvlText w:val="%1."/>
      <w:numFmt w:val="decimal"/>
      <w:start w:val="3"/>
    </w:lvl>
  </w:abstractNum>
  <w:abstractNum w:abstractNumId="198">
    <w:nsid w:val="15BCABA8"/>
    <w:multiLevelType w:val="hybridMultilevel"/>
    <w:lvl w:ilvl="0">
      <w:lvlJc w:val="left"/>
      <w:lvlText w:val="%1."/>
      <w:numFmt w:val="decimal"/>
      <w:start w:val="1"/>
    </w:lvl>
  </w:abstractNum>
  <w:abstractNum w:abstractNumId="199">
    <w:nsid w:val="4E0B9A87"/>
    <w:multiLevelType w:val="hybridMultilevel"/>
    <w:lvl w:ilvl="0">
      <w:lvlJc w:val="left"/>
      <w:lvlText w:val="%1."/>
      <w:numFmt w:val="decimal"/>
      <w:start w:val="4"/>
    </w:lvl>
  </w:abstractNum>
  <w:abstractNum w:abstractNumId="200">
    <w:nsid w:val="434BAE75"/>
    <w:multiLevelType w:val="hybridMultilevel"/>
    <w:lvl w:ilvl="0">
      <w:lvlJc w:val="left"/>
      <w:lvlText w:val="%1."/>
      <w:numFmt w:val="decimal"/>
      <w:start w:val="1"/>
    </w:lvl>
  </w:abstractNum>
  <w:abstractNum w:abstractNumId="201">
    <w:nsid w:val="4F38F265"/>
    <w:multiLevelType w:val="hybridMultilevel"/>
    <w:lvl w:ilvl="0">
      <w:lvlJc w:val="left"/>
      <w:lvlText w:val="●"/>
      <w:numFmt w:val="bullet"/>
      <w:start w:val="1"/>
    </w:lvl>
  </w:abstractNum>
  <w:abstractNum w:abstractNumId="202">
    <w:nsid w:val="4C502870"/>
    <w:multiLevelType w:val="hybridMultilevel"/>
    <w:lvl w:ilvl="0">
      <w:lvlJc w:val="left"/>
      <w:lvlText w:val="●"/>
      <w:numFmt w:val="bullet"/>
      <w:start w:val="1"/>
    </w:lvl>
  </w:abstractNum>
  <w:abstractNum w:abstractNumId="203">
    <w:nsid w:val="1DE8725A"/>
    <w:multiLevelType w:val="hybridMultilevel"/>
    <w:lvl w:ilvl="0">
      <w:lvlJc w:val="left"/>
      <w:lvlText w:val="%1."/>
      <w:numFmt w:val="decimal"/>
      <w:start w:val="5"/>
    </w:lvl>
  </w:abstractNum>
  <w:abstractNum w:abstractNumId="204">
    <w:nsid w:val="6A37288A"/>
    <w:multiLevelType w:val="hybridMultilevel"/>
    <w:lvl w:ilvl="0">
      <w:lvlJc w:val="left"/>
      <w:lvlText w:val="%1."/>
      <w:numFmt w:val="decimal"/>
      <w:start w:val="7"/>
    </w:lvl>
  </w:abstractNum>
  <w:abstractNum w:abstractNumId="205">
    <w:nsid w:val="8F8B73F"/>
    <w:multiLevelType w:val="hybridMultilevel"/>
    <w:lvl w:ilvl="0">
      <w:lvlJc w:val="left"/>
      <w:lvlText w:val="(%1)"/>
      <w:numFmt w:val="decimal"/>
      <w:start w:val="1"/>
    </w:lvl>
  </w:abstractNum>
  <w:abstractNum w:abstractNumId="206">
    <w:nsid w:val="CA6B462"/>
    <w:multiLevelType w:val="hybridMultilevel"/>
    <w:lvl w:ilvl="0">
      <w:lvlJc w:val="left"/>
      <w:lvlText w:val="%1."/>
      <w:numFmt w:val="decimal"/>
      <w:start w:val="8"/>
    </w:lvl>
  </w:abstractNum>
  <w:abstractNum w:abstractNumId="207">
    <w:nsid w:val="763CB680"/>
    <w:multiLevelType w:val="hybridMultilevel"/>
    <w:lvl w:ilvl="0">
      <w:lvlJc w:val="left"/>
      <w:lvlText w:val="%1."/>
      <w:numFmt w:val="decimal"/>
      <w:start w:val="11"/>
    </w:lvl>
  </w:abstractNum>
  <w:abstractNum w:abstractNumId="208">
    <w:nsid w:val="15B71329"/>
    <w:multiLevelType w:val="hybridMultilevel"/>
    <w:lvl w:ilvl="0">
      <w:lvlJc w:val="left"/>
      <w:lvlText w:val="%1."/>
      <w:numFmt w:val="decimal"/>
      <w:start w:val="12"/>
    </w:lvl>
  </w:abstractNum>
  <w:abstractNum w:abstractNumId="209">
    <w:nsid w:val="3DA97044"/>
    <w:multiLevelType w:val="hybridMultilevel"/>
    <w:lvl w:ilvl="0">
      <w:lvlJc w:val="left"/>
      <w:lvlText w:val="●"/>
      <w:numFmt w:val="bullet"/>
      <w:start w:val="1"/>
    </w:lvl>
  </w:abstractNum>
  <w:abstractNum w:abstractNumId="210">
    <w:nsid w:val="1CDCE2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jpe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30" Type="http://schemas.openxmlformats.org/officeDocument/2006/relationships/hyperlink" Target="https://www.sec.gov/Archives/edgar/data/1798562/000121390021013347/ea137001ex2-1_sustainable.htm" TargetMode="External"/><Relationship Id="rId31" Type="http://schemas.openxmlformats.org/officeDocument/2006/relationships/hyperlink" Target="http://www.sec.gov/Archives/edgar/data/1798562/000121390020011491/ea121545ex4-1_sustainable.htm" TargetMode="External"/><Relationship Id="rId32" Type="http://schemas.openxmlformats.org/officeDocument/2006/relationships/hyperlink" Target="http://www.sec.gov/Archives/edgar/data/1798562/000121390021040480/fs42021a5_sustainableopp.htm#T104" TargetMode="External"/><Relationship Id="rId33" Type="http://schemas.openxmlformats.org/officeDocument/2006/relationships/hyperlink" Target="http://www.sec.gov/Archives/edgar/data/1798562/000121390021040480/fs42021a5_sustainableopp.htm#T105" TargetMode="External"/><Relationship Id="rId34" Type="http://schemas.openxmlformats.org/officeDocument/2006/relationships/hyperlink" Target="http://www.sec.gov/Archives/edgar/data/1798562/000121390021040480/fs42021a5_sustainableopp.htm#T106" TargetMode="External"/><Relationship Id="rId35" Type="http://schemas.openxmlformats.org/officeDocument/2006/relationships/hyperlink" Target="http://www.sec.gov/Archives/edgar/data/1798562/000121390021040480/fs42021a5_sustainableopp.htm#T107" TargetMode="External"/><Relationship Id="rId36" Type="http://schemas.openxmlformats.org/officeDocument/2006/relationships/hyperlink" Target="https://www.sec.gov/Archives/edgar/data/1798562/000121390021040480/fs42021a5_sustainableopp.htm#T108" TargetMode="External"/><Relationship Id="rId37" Type="http://schemas.openxmlformats.org/officeDocument/2006/relationships/hyperlink" Target="https://www.sec.gov/Archives/edgar/data/1798562/000121390021020731/fs42021ex10-7_sustainable.htm" TargetMode="External"/><Relationship Id="rId38" Type="http://schemas.openxmlformats.org/officeDocument/2006/relationships/hyperlink" Target="https://www.sec.gov/Archives/edgar/data/1798562/000121390021020731/fs42021ex10-8_sustainable.htm" TargetMode="External"/><Relationship Id="rId39" Type="http://schemas.openxmlformats.org/officeDocument/2006/relationships/hyperlink" Target="https://www.sec.gov/Archives/edgar/data/1798562/000121390021020731/fs42021ex10-9_sustainable.htm" TargetMode="External"/><Relationship Id="rId40" Type="http://schemas.openxmlformats.org/officeDocument/2006/relationships/hyperlink" Target="https://www.sec.gov/Archives/edgar/data/1798562/000121390021020731/fs42021ex10-10_sustainable.htm" TargetMode="External"/><Relationship Id="rId41" Type="http://schemas.openxmlformats.org/officeDocument/2006/relationships/hyperlink" Target="https://www.sec.gov/Archives/edgar/data/1798562/000121390021020731/fs42021ex10-11_sustainable.htm" TargetMode="External"/><Relationship Id="rId42" Type="http://schemas.openxmlformats.org/officeDocument/2006/relationships/hyperlink" Target="https://www.sec.gov/Archives/edgar/data/1798562/000121390021020731/fs42021ex10-12_sustainable.htm" TargetMode="External"/><Relationship Id="rId43" Type="http://schemas.openxmlformats.org/officeDocument/2006/relationships/hyperlink" Target="https://www.sec.gov/Archives/edgar/data/1798562/000121390021020731/fs42021ex10-13_sustainable.htm" TargetMode="External"/><Relationship Id="rId44" Type="http://schemas.openxmlformats.org/officeDocument/2006/relationships/hyperlink" Target="https://www.sec.gov/Archives/edgar/data/1798562/000121390021020731/fs42021ex10-14_sustainable.htm" TargetMode="External"/><Relationship Id="rId45" Type="http://schemas.openxmlformats.org/officeDocument/2006/relationships/hyperlink" Target="https://www.sec.gov/Archives/edgar/data/1798562/000121390021020731/fs42021ex10-15_sustainable.htm" TargetMode="External"/><Relationship Id="rId46" Type="http://schemas.openxmlformats.org/officeDocument/2006/relationships/hyperlink" Target="https://www.sec.gov/Archives/edgar/data/1798562/000121390021020731/fs42021ex10-16_sustainable.htm" TargetMode="External"/><Relationship Id="rId47" Type="http://schemas.openxmlformats.org/officeDocument/2006/relationships/hyperlink" Target="https://www.sec.gov/Archives/edgar/data/1798562/000121390021036767/fs42021ex10-23_sustainable.htm" TargetMode="External"/><Relationship Id="rId48" Type="http://schemas.openxmlformats.org/officeDocument/2006/relationships/hyperlink" Target="https://www.sec.gov/Archives/edgar/data/1798562/000121390021039153/fs42021a4ex10-24_sustainable.htm" TargetMode="External"/><Relationship Id="rId49" Type="http://schemas.openxmlformats.org/officeDocument/2006/relationships/hyperlink" Target="https://www.sec.gov/Archives/edgar/data/1798562/000121390021029413/fs42021a1ex10-17_sustainable.htm" TargetMode="External"/><Relationship Id="rId50" Type="http://schemas.openxmlformats.org/officeDocument/2006/relationships/hyperlink" Target="https://www.sec.gov/Archives/edgar/data/1798562/000121390021029413/fs42021a1ex10-18_sustainable.htm" TargetMode="External"/><Relationship Id="rId51" Type="http://schemas.openxmlformats.org/officeDocument/2006/relationships/hyperlink" Target="https://www.sec.gov/Archives/edgar/data/1798562/000121390021029413/fs42021a1ex10-19_sustainable.htm" TargetMode="External"/><Relationship Id="rId52" Type="http://schemas.openxmlformats.org/officeDocument/2006/relationships/hyperlink" Target="https://www.sec.gov/Archives/edgar/data/1798562/000121390021029413/fs42021a1ex10-20_sustainable.htm" TargetMode="External"/><Relationship Id="rId53" Type="http://schemas.openxmlformats.org/officeDocument/2006/relationships/hyperlink" Target="https://www.sec.gov/Archives/edgar/data/1798562/000121390021029413/fs42021a1ex10-21_sustainable.htm" TargetMode="External"/><Relationship Id="rId54" Type="http://schemas.openxmlformats.org/officeDocument/2006/relationships/hyperlink" Target="https://www.sec.gov/Archives/edgar/data/1798562/000121390021033645/fs42021a2ex96-1_sustainable.htm" TargetMode="External"/><Relationship Id="rId55" Type="http://schemas.openxmlformats.org/officeDocument/2006/relationships/hyperlink" Target="https://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2021-09-15T17:24:22Z</dcterms:created>
  <dcterms:modified xsi:type="dcterms:W3CDTF">2021-09-15T17:24:22Z</dcterms:modified>
</cp:coreProperties>
</file>