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8825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8252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Karkar Andrei</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620"/>
        <w:spacing w:after="0" w:line="395" w:lineRule="auto"/>
        <w:rPr>
          <w:sz w:val="20"/>
          <w:szCs w:val="20"/>
          <w:color w:val="auto"/>
        </w:rPr>
      </w:pPr>
      <w:r>
        <w:rPr>
          <w:rFonts w:ascii="Arial" w:cs="Arial" w:eastAsia="Arial" w:hAnsi="Arial"/>
          <w:sz w:val="16"/>
          <w:szCs w:val="16"/>
          <w:color w:val="0000FF"/>
        </w:rPr>
        <w:t>C/O TMC THE METALS COMPANY INC., 595 HOWE STREET, 10TH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VANCOUVER</w:t>
            </w:r>
          </w:p>
        </w:tc>
        <w:tc>
          <w:tcPr>
            <w:tcW w:w="900" w:type="dxa"/>
            <w:vAlign w:val="bottom"/>
          </w:tcPr>
          <w:p>
            <w:pPr>
              <w:ind w:left="80"/>
              <w:spacing w:after="0"/>
              <w:rPr>
                <w:sz w:val="20"/>
                <w:szCs w:val="20"/>
                <w:color w:val="auto"/>
              </w:rPr>
            </w:pPr>
            <w:r>
              <w:rPr>
                <w:rFonts w:ascii="Arial" w:cs="Arial" w:eastAsia="Arial" w:hAnsi="Arial"/>
                <w:sz w:val="17"/>
                <w:szCs w:val="17"/>
                <w:color w:val="0000FF"/>
              </w:rPr>
              <w:t>A1</w:t>
            </w:r>
          </w:p>
        </w:tc>
        <w:tc>
          <w:tcPr>
            <w:tcW w:w="1600" w:type="dxa"/>
            <w:vAlign w:val="bottom"/>
          </w:tcPr>
          <w:p>
            <w:pPr>
              <w:ind w:left="400"/>
              <w:spacing w:after="0"/>
              <w:rPr>
                <w:sz w:val="20"/>
                <w:szCs w:val="20"/>
                <w:color w:val="auto"/>
              </w:rPr>
            </w:pPr>
            <w:r>
              <w:rPr>
                <w:rFonts w:ascii="Arial" w:cs="Arial" w:eastAsia="Arial" w:hAnsi="Arial"/>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TMC the metals Co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140" w:type="dxa"/>
            <w:vAlign w:val="bottom"/>
            <w:gridSpan w:val="3"/>
          </w:tcPr>
          <w:p>
            <w:pPr>
              <w:ind w:left="80"/>
              <w:spacing w:after="0"/>
              <w:rPr>
                <w:sz w:val="20"/>
                <w:szCs w:val="20"/>
                <w:color w:val="auto"/>
              </w:rPr>
            </w:pPr>
            <w:r>
              <w:rPr>
                <w:rFonts w:ascii="Arial" w:cs="Arial" w:eastAsia="Arial" w:hAnsi="Arial"/>
                <w:sz w:val="17"/>
                <w:szCs w:val="17"/>
                <w:color w:val="0000FF"/>
              </w:rPr>
              <w:t>09/30/2021</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1"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2"/>
          </w:tcPr>
          <w:p>
            <w:pPr>
              <w:ind w:left="28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8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Eras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4"/>
          </w:tcPr>
          <w:p>
            <w:pPr>
              <w:ind w:left="60"/>
              <w:spacing w:after="0"/>
              <w:rPr>
                <w:sz w:val="20"/>
                <w:szCs w:val="20"/>
                <w:color w:val="auto"/>
              </w:rPr>
            </w:pPr>
            <w:r>
              <w:rPr>
                <w:rFonts w:ascii="Arial" w:cs="Arial" w:eastAsia="Arial" w:hAnsi="Arial"/>
                <w:sz w:val="17"/>
                <w:szCs w:val="17"/>
                <w:color w:val="0000FF"/>
              </w:rPr>
              <w:t>Common Shares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gridSpan w:val="3"/>
          </w:tcPr>
          <w:p>
            <w:pPr>
              <w:ind w:left="380"/>
              <w:spacing w:after="0"/>
              <w:rPr>
                <w:sz w:val="20"/>
                <w:szCs w:val="20"/>
                <w:color w:val="auto"/>
              </w:rPr>
            </w:pPr>
            <w:r>
              <w:rPr>
                <w:rFonts w:ascii="Arial" w:cs="Arial" w:eastAsia="Arial" w:hAnsi="Arial"/>
                <w:sz w:val="17"/>
                <w:szCs w:val="17"/>
                <w:color w:val="0000FF"/>
              </w:rPr>
              <w:t>09/30/2021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P</w:t>
            </w:r>
          </w:p>
        </w:tc>
        <w:tc>
          <w:tcPr>
            <w:tcW w:w="880" w:type="dxa"/>
            <w:vAlign w:val="bottom"/>
          </w:tcPr>
          <w:p>
            <w:pPr>
              <w:ind w:left="80"/>
              <w:spacing w:after="0"/>
              <w:rPr>
                <w:sz w:val="20"/>
                <w:szCs w:val="20"/>
                <w:color w:val="auto"/>
              </w:rPr>
            </w:pPr>
            <w:r>
              <w:rPr>
                <w:rFonts w:ascii="Arial" w:cs="Arial" w:eastAsia="Arial" w:hAnsi="Arial"/>
                <w:sz w:val="17"/>
                <w:szCs w:val="17"/>
                <w:color w:val="0000FF"/>
              </w:rPr>
              <w:t>2,250,110</w:t>
            </w:r>
          </w:p>
        </w:tc>
        <w:tc>
          <w:tcPr>
            <w:tcW w:w="420" w:type="dxa"/>
            <w:vAlign w:val="bottom"/>
          </w:tcPr>
          <w:p>
            <w:pPr>
              <w:ind w:left="160"/>
              <w:spacing w:after="0"/>
              <w:rPr>
                <w:sz w:val="20"/>
                <w:szCs w:val="20"/>
                <w:color w:val="auto"/>
              </w:rPr>
            </w:pPr>
            <w:r>
              <w:rPr>
                <w:rFonts w:ascii="Arial" w:cs="Arial" w:eastAsia="Arial" w:hAnsi="Arial"/>
                <w:sz w:val="17"/>
                <w:szCs w:val="17"/>
                <w:color w:val="0000FF"/>
              </w:rPr>
              <w:t>A</w:t>
            </w:r>
          </w:p>
        </w:tc>
        <w:tc>
          <w:tcPr>
            <w:tcW w:w="2060" w:type="dxa"/>
            <w:vAlign w:val="bottom"/>
            <w:gridSpan w:val="5"/>
          </w:tcPr>
          <w:p>
            <w:pPr>
              <w:ind w:left="120"/>
              <w:spacing w:after="0" w:line="213" w:lineRule="exact"/>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4.4442</w:t>
            </w:r>
            <w:r>
              <w:rPr>
                <w:rFonts w:ascii="Arial" w:cs="Arial" w:eastAsia="Arial" w:hAnsi="Arial"/>
                <w:sz w:val="22"/>
                <w:szCs w:val="22"/>
                <w:color w:val="008000"/>
                <w:vertAlign w:val="superscript"/>
              </w:rPr>
              <w:t>(2)</w:t>
            </w:r>
            <w:r>
              <w:rPr>
                <w:rFonts w:ascii="Arial" w:cs="Arial" w:eastAsia="Arial" w:hAnsi="Arial"/>
                <w:sz w:val="17"/>
                <w:szCs w:val="17"/>
                <w:color w:val="auto"/>
              </w:rPr>
              <w:t xml:space="preserve">     </w:t>
            </w:r>
            <w:r>
              <w:rPr>
                <w:rFonts w:ascii="Arial" w:cs="Arial" w:eastAsia="Arial" w:hAnsi="Arial"/>
                <w:sz w:val="17"/>
                <w:szCs w:val="17"/>
                <w:color w:val="0000FF"/>
              </w:rPr>
              <w:t>41,872,019</w:t>
            </w:r>
          </w:p>
        </w:tc>
        <w:tc>
          <w:tcPr>
            <w:tcW w:w="92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480" w:type="dxa"/>
            <w:vAlign w:val="bottom"/>
            <w:tcBorders>
              <w:top w:val="single" w:sz="8" w:color="2C2C2C"/>
            </w:tcBorders>
            <w:gridSpan w:val="4"/>
          </w:tcPr>
          <w:p>
            <w:pPr>
              <w:ind w:left="60"/>
              <w:spacing w:after="0"/>
              <w:rPr>
                <w:sz w:val="20"/>
                <w:szCs w:val="20"/>
                <w:color w:val="auto"/>
              </w:rPr>
            </w:pPr>
            <w:r>
              <w:rPr>
                <w:rFonts w:ascii="Arial" w:cs="Arial" w:eastAsia="Arial" w:hAnsi="Arial"/>
                <w:sz w:val="17"/>
                <w:szCs w:val="17"/>
                <w:color w:val="0000FF"/>
              </w:rPr>
              <w:t>Common Shares</w:t>
            </w:r>
          </w:p>
        </w:tc>
        <w:tc>
          <w:tcPr>
            <w:tcW w:w="300" w:type="dxa"/>
            <w:vAlign w:val="bottom"/>
            <w:tcBorders>
              <w:top w:val="single" w:sz="8" w:color="2C2C2C"/>
            </w:tcBorders>
          </w:tcPr>
          <w:p>
            <w:pPr>
              <w:spacing w:after="0"/>
              <w:rPr>
                <w:sz w:val="23"/>
                <w:szCs w:val="23"/>
                <w:color w:val="auto"/>
              </w:rPr>
            </w:pPr>
          </w:p>
        </w:tc>
        <w:tc>
          <w:tcPr>
            <w:tcW w:w="920" w:type="dxa"/>
            <w:vAlign w:val="bottom"/>
            <w:tcBorders>
              <w:top w:val="single" w:sz="8" w:color="2C2C2C"/>
            </w:tcBorders>
          </w:tcPr>
          <w:p>
            <w:pPr>
              <w:spacing w:after="0"/>
              <w:rPr>
                <w:sz w:val="23"/>
                <w:szCs w:val="23"/>
                <w:color w:val="auto"/>
              </w:rPr>
            </w:pPr>
          </w:p>
        </w:tc>
        <w:tc>
          <w:tcPr>
            <w:tcW w:w="106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88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ind w:left="20"/>
              <w:spacing w:after="0"/>
              <w:rPr>
                <w:sz w:val="20"/>
                <w:szCs w:val="20"/>
                <w:color w:val="auto"/>
              </w:rPr>
            </w:pPr>
            <w:r>
              <w:rPr>
                <w:rFonts w:ascii="Arial" w:cs="Arial" w:eastAsia="Arial" w:hAnsi="Arial"/>
                <w:sz w:val="17"/>
                <w:szCs w:val="17"/>
                <w:color w:val="0000FF"/>
              </w:rPr>
              <w:t>8,032</w:t>
            </w:r>
          </w:p>
        </w:tc>
        <w:tc>
          <w:tcPr>
            <w:tcW w:w="920" w:type="dxa"/>
            <w:vAlign w:val="bottom"/>
            <w:tcBorders>
              <w:top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8"/>
          </w:tcPr>
          <w:p>
            <w:pPr>
              <w:ind w:lef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20" w:type="dxa"/>
            <w:vAlign w:val="bottom"/>
            <w:gridSpan w:val="14"/>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Karkar Andrei</w:t>
              </w:r>
            </w:hyperlink>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Arial" w:cs="Arial" w:eastAsia="Arial" w:hAnsi="Arial"/>
                <w:sz w:val="17"/>
                <w:szCs w:val="17"/>
                <w:color w:val="0000FF"/>
              </w:rPr>
              <w:t>C/O TMC THE METALS COMPANY</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gridSpan w:val="7"/>
          </w:tcPr>
          <w:p>
            <w:pPr>
              <w:spacing w:after="0"/>
              <w:rPr>
                <w:sz w:val="20"/>
                <w:szCs w:val="20"/>
                <w:color w:val="auto"/>
              </w:rPr>
            </w:pPr>
            <w:r>
              <w:rPr>
                <w:rFonts w:ascii="Arial" w:cs="Arial" w:eastAsia="Arial" w:hAnsi="Arial"/>
                <w:sz w:val="17"/>
                <w:szCs w:val="17"/>
                <w:color w:val="0000FF"/>
              </w:rPr>
              <w:t>INC., 595 HOWE STREET, 10TH FLOOR</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7"/>
                <w:szCs w:val="17"/>
                <w:color w:val="0000FF"/>
              </w:rPr>
              <w:t>VANCOUVER</w:t>
            </w: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A1</w:t>
            </w:r>
          </w:p>
        </w:tc>
        <w:tc>
          <w:tcPr>
            <w:tcW w:w="1100" w:type="dxa"/>
            <w:vAlign w:val="bottom"/>
            <w:gridSpan w:val="2"/>
          </w:tcPr>
          <w:p>
            <w:pPr>
              <w:ind w:left="200"/>
              <w:spacing w:after="0"/>
              <w:rPr>
                <w:sz w:val="20"/>
                <w:szCs w:val="20"/>
                <w:color w:val="auto"/>
              </w:rPr>
            </w:pPr>
            <w:r>
              <w:rPr>
                <w:rFonts w:ascii="Arial" w:cs="Arial" w:eastAsia="Arial" w:hAnsi="Arial"/>
                <w:sz w:val="17"/>
                <w:szCs w:val="17"/>
                <w:color w:val="0000FF"/>
              </w:rPr>
              <w:t>V6C 2T5</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ERAS Capital LLC</w:t>
              </w:r>
            </w:hyperlink>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Arial" w:cs="Arial" w:eastAsia="Arial" w:hAnsi="Arial"/>
                <w:sz w:val="17"/>
                <w:szCs w:val="17"/>
                <w:color w:val="0000FF"/>
              </w:rPr>
              <w:t>C/O TMC THE METALS COMPANY INC.</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0000FF"/>
                <w:w w:val="94"/>
              </w:rPr>
              <w:t>595 HOWE STREET, 10TH FLOOR</w:t>
            </w: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7"/>
                <w:szCs w:val="17"/>
                <w:color w:val="0000FF"/>
              </w:rPr>
              <w:t>VANCOUVER</w:t>
            </w: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A1</w:t>
            </w:r>
          </w:p>
        </w:tc>
        <w:tc>
          <w:tcPr>
            <w:tcW w:w="1100" w:type="dxa"/>
            <w:vAlign w:val="bottom"/>
            <w:gridSpan w:val="2"/>
          </w:tcPr>
          <w:p>
            <w:pPr>
              <w:ind w:left="200"/>
              <w:spacing w:after="0"/>
              <w:rPr>
                <w:sz w:val="20"/>
                <w:szCs w:val="20"/>
                <w:color w:val="auto"/>
              </w:rPr>
            </w:pPr>
            <w:r>
              <w:rPr>
                <w:rFonts w:ascii="Arial" w:cs="Arial" w:eastAsia="Arial" w:hAnsi="Arial"/>
                <w:sz w:val="17"/>
                <w:szCs w:val="17"/>
                <w:color w:val="0000FF"/>
              </w:rPr>
              <w:t>V6C 2T5</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held directly by ERAS Capital LLC ("ERAS"). The Reporting Person is the managing member of ERAS and shares voting and dispositive power over and may be deemed to beneficially own such securities held by ERAS. The Reporting Person disclaims beneficial ownership over any securities owned by ERAS other than to the extent of any pecuniary interest he may have therein.</w:t>
      </w:r>
    </w:p>
    <w:p>
      <w:pPr>
        <w:sectPr>
          <w:pgSz w:w="11900" w:h="16838" w:orient="portrait"/>
          <w:cols w:equalWidth="0" w:num="1">
            <w:col w:w="11080"/>
          </w:cols>
          <w:pgMar w:left="460" w:top="225" w:right="359" w:bottom="0" w:gutter="0" w:footer="0" w:header="0"/>
          <w:type w:val="continuous"/>
        </w:sectPr>
      </w:pPr>
    </w:p>
    <w:bookmarkStart w:id="1" w:name="page2"/>
    <w:bookmarkEnd w:id="1"/>
    <w:p>
      <w:pPr>
        <w:ind w:firstLine="7"/>
        <w:spacing w:after="0" w:line="308"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reflects the average selling price of the common shares sold. These common shares were sold in multiple transactions at prices ranging from $4.12 to $4.61 per common share. The Reporting Person undertakes to provide, upon request by the SEC staff, the Issuer or a security holder of the Issuer, full information regarding the number of common shares sold at each price.</w:t>
      </w:r>
    </w:p>
    <w:p>
      <w:pPr>
        <w:spacing w:after="0" w:line="5"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Jaime Lee, Attorney-in-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10/01/2021</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3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874431" TargetMode="External"/><Relationship Id="rId13" Type="http://schemas.openxmlformats.org/officeDocument/2006/relationships/hyperlink" Target="http://www.sec.gov/cgi-bin/browse-edgar?action=getcompany&amp;CIK=0001798562" TargetMode="External"/><Relationship Id="rId14" Type="http://schemas.openxmlformats.org/officeDocument/2006/relationships/hyperlink" Target="http://www.sec.gov/cgi-bin/browse-edgar?action=getcompany&amp;CIK=00018819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2021-10-01T07:18:30Z</dcterms:created>
  <dcterms:modified xsi:type="dcterms:W3CDTF">2021-10-01T07:18:30Z</dcterms:modified>
</cp:coreProperties>
</file>