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Schultz, Esq.</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80" w:type="dxa"/>
            <w:vAlign w:val="bottom"/>
          </w:tcPr>
          <w:p>
            <w:pPr>
              <w:ind w:left="2640"/>
              <w:spacing w:after="0"/>
              <w:rPr>
                <w:sz w:val="20"/>
                <w:szCs w:val="20"/>
                <w:color w:val="auto"/>
              </w:rPr>
            </w:pPr>
            <w:r>
              <w:rPr>
                <w:rFonts w:ascii="Arial" w:cs="Arial" w:eastAsia="Arial" w:hAnsi="Arial"/>
                <w:sz w:val="18"/>
                <w:szCs w:val="18"/>
                <w:color w:val="auto"/>
              </w:rPr>
              <w:t>SCHEDULE 13D</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gridSpan w:val="5"/>
          </w:tcPr>
          <w:p>
            <w:pPr>
              <w:spacing w:after="0"/>
              <w:rPr>
                <w:sz w:val="20"/>
                <w:szCs w:val="20"/>
                <w:color w:val="auto"/>
              </w:rPr>
            </w:pPr>
            <w:r>
              <w:rPr>
                <w:rFonts w:ascii="Arial" w:cs="Arial" w:eastAsia="Arial" w:hAnsi="Arial"/>
                <w:sz w:val="18"/>
                <w:szCs w:val="18"/>
                <w:b w:val="1"/>
                <w:bCs w:val="1"/>
                <w:color w:val="auto"/>
              </w:rPr>
              <w:t>CUSIP NO. 87261Y 106</w:t>
            </w:r>
          </w:p>
        </w:tc>
        <w:tc>
          <w:tcPr>
            <w:tcW w:w="7580" w:type="dxa"/>
            <w:vAlign w:val="bottom"/>
          </w:tcPr>
          <w:p>
            <w:pPr>
              <w:ind w:left="3180"/>
              <w:spacing w:after="0"/>
              <w:rPr>
                <w:sz w:val="20"/>
                <w:szCs w:val="20"/>
                <w:color w:val="auto"/>
              </w:rPr>
            </w:pPr>
            <w:r>
              <w:rPr>
                <w:rFonts w:ascii="Arial" w:cs="Arial" w:eastAsia="Arial" w:hAnsi="Arial"/>
                <w:sz w:val="18"/>
                <w:szCs w:val="18"/>
                <w:b w:val="1"/>
                <w:bCs w:val="1"/>
                <w:color w:val="auto"/>
              </w:rPr>
              <w:t>13D</w:t>
            </w:r>
          </w:p>
        </w:tc>
        <w:tc>
          <w:tcPr>
            <w:tcW w:w="1320" w:type="dxa"/>
            <w:vAlign w:val="bottom"/>
          </w:tcPr>
          <w:p>
            <w:pPr>
              <w:ind w:left="500"/>
              <w:spacing w:after="0"/>
              <w:rPr>
                <w:sz w:val="20"/>
                <w:szCs w:val="20"/>
                <w:color w:val="auto"/>
              </w:rPr>
            </w:pPr>
            <w:r>
              <w:rPr>
                <w:rFonts w:ascii="Arial" w:cs="Arial" w:eastAsia="Arial" w:hAnsi="Arial"/>
                <w:sz w:val="18"/>
                <w:szCs w:val="18"/>
                <w:color w:val="auto"/>
                <w:w w:val="84"/>
              </w:rPr>
              <w:t>Page 2 of 5</w:t>
            </w:r>
          </w:p>
        </w:tc>
        <w:tc>
          <w:tcPr>
            <w:tcW w:w="0" w:type="dxa"/>
            <w:vAlign w:val="bottom"/>
          </w:tcPr>
          <w:p>
            <w:pPr>
              <w:spacing w:after="0"/>
              <w:rPr>
                <w:sz w:val="1"/>
                <w:szCs w:val="1"/>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40" w:type="dxa"/>
            <w:vAlign w:val="bottom"/>
            <w:tcBorders>
              <w:bottom w:val="single" w:sz="8" w:color="auto"/>
            </w:tcBorders>
            <w:gridSpan w:val="2"/>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52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Gerard Barron</w:t>
            </w:r>
          </w:p>
        </w:tc>
        <w:tc>
          <w:tcPr>
            <w:tcW w:w="75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52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20" w:type="dxa"/>
            <w:vAlign w:val="bottom"/>
            <w:tcBorders>
              <w:bottom w:val="single" w:sz="8" w:color="auto"/>
            </w:tcBorders>
            <w:gridSpan w:val="2"/>
          </w:tcPr>
          <w:p>
            <w:pPr>
              <w:ind w:left="16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75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auto"/>
            </w:tcBorders>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758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 w:type="dxa"/>
            <w:vAlign w:val="bottom"/>
            <w:tcBorders>
              <w:left w:val="single" w:sz="8" w:color="auto"/>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40" w:type="dxa"/>
            <w:vAlign w:val="bottom"/>
            <w:tcBorders>
              <w:bottom w:val="single" w:sz="8" w:color="auto"/>
            </w:tcBorders>
            <w:gridSpan w:val="2"/>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52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Arial" w:cs="Arial" w:eastAsia="Arial" w:hAnsi="Arial"/>
                <w:sz w:val="18"/>
                <w:szCs w:val="18"/>
                <w:color w:val="auto"/>
              </w:rPr>
              <w:t>SOURCE OF FUNDS</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PF</w:t>
            </w:r>
            <w:r>
              <w:rPr>
                <w:rFonts w:ascii="Arial" w:cs="Arial" w:eastAsia="Arial" w:hAnsi="Arial"/>
                <w:sz w:val="29"/>
                <w:szCs w:val="29"/>
                <w:color w:val="auto"/>
                <w:vertAlign w:val="superscript"/>
              </w:rPr>
              <w:t>1</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52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52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Australia</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20" w:type="dxa"/>
            <w:vAlign w:val="bottom"/>
            <w:tcBorders>
              <w:left w:val="single" w:sz="8" w:color="auto"/>
            </w:tcBorders>
          </w:tcPr>
          <w:p>
            <w:pPr>
              <w:spacing w:after="0"/>
              <w:rPr>
                <w:sz w:val="24"/>
                <w:szCs w:val="24"/>
                <w:color w:val="auto"/>
              </w:rPr>
            </w:pPr>
          </w:p>
        </w:tc>
        <w:tc>
          <w:tcPr>
            <w:tcW w:w="140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18,321,796 shares of Common Shares</w:t>
            </w:r>
            <w:r>
              <w:rPr>
                <w:rFonts w:ascii="Arial" w:cs="Arial" w:eastAsia="Arial" w:hAnsi="Arial"/>
                <w:sz w:val="29"/>
                <w:szCs w:val="29"/>
                <w:color w:val="auto"/>
                <w:vertAlign w:val="superscript"/>
              </w:rPr>
              <w:t>1</w:t>
            </w: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20" w:type="dxa"/>
            <w:vAlign w:val="bottom"/>
            <w:tcBorders>
              <w:left w:val="single" w:sz="8" w:color="auto"/>
            </w:tcBorders>
          </w:tcPr>
          <w:p>
            <w:pPr>
              <w:spacing w:after="0"/>
              <w:rPr>
                <w:sz w:val="9"/>
                <w:szCs w:val="9"/>
                <w:color w:val="auto"/>
              </w:rPr>
            </w:pPr>
          </w:p>
        </w:tc>
        <w:tc>
          <w:tcPr>
            <w:tcW w:w="1400" w:type="dxa"/>
            <w:vAlign w:val="bottom"/>
            <w:tcBorders>
              <w:right w:val="single" w:sz="8" w:color="auto"/>
            </w:tcBorders>
            <w:gridSpan w:val="2"/>
            <w:vMerge w:val="continue"/>
          </w:tcPr>
          <w:p>
            <w:pPr>
              <w:spacing w:after="0"/>
              <w:rPr>
                <w:sz w:val="9"/>
                <w:szCs w:val="9"/>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9"/>
                <w:szCs w:val="9"/>
                <w:color w:val="auto"/>
              </w:rPr>
            </w:pPr>
          </w:p>
        </w:tc>
        <w:tc>
          <w:tcPr>
            <w:tcW w:w="758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0" w:type="dxa"/>
            <w:vAlign w:val="bottom"/>
            <w:tcBorders>
              <w:left w:val="single" w:sz="8" w:color="auto"/>
            </w:tcBorders>
          </w:tcPr>
          <w:p>
            <w:pPr>
              <w:spacing w:after="0"/>
              <w:rPr>
                <w:sz w:val="10"/>
                <w:szCs w:val="10"/>
                <w:color w:val="auto"/>
              </w:rPr>
            </w:pPr>
          </w:p>
        </w:tc>
        <w:tc>
          <w:tcPr>
            <w:tcW w:w="14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4"/>
              </w:rPr>
              <w:t>SHARES</w:t>
            </w:r>
          </w:p>
        </w:tc>
        <w:tc>
          <w:tcPr>
            <w:tcW w:w="5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58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20" w:type="dxa"/>
            <w:vAlign w:val="bottom"/>
            <w:tcBorders>
              <w:left w:val="single" w:sz="8" w:color="auto"/>
            </w:tcBorders>
          </w:tcPr>
          <w:p>
            <w:pPr>
              <w:spacing w:after="0"/>
              <w:rPr>
                <w:sz w:val="8"/>
                <w:szCs w:val="8"/>
                <w:color w:val="auto"/>
              </w:rPr>
            </w:pPr>
          </w:p>
        </w:tc>
        <w:tc>
          <w:tcPr>
            <w:tcW w:w="1400" w:type="dxa"/>
            <w:vAlign w:val="bottom"/>
            <w:tcBorders>
              <w:right w:val="single" w:sz="8" w:color="auto"/>
            </w:tcBorders>
            <w:gridSpan w:val="2"/>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580" w:type="dxa"/>
            <w:vAlign w:val="bottom"/>
            <w:vMerge w:val="restart"/>
          </w:tcPr>
          <w:p>
            <w:pPr>
              <w:ind w:left="40"/>
              <w:spacing w:after="0"/>
              <w:rPr>
                <w:sz w:val="20"/>
                <w:szCs w:val="20"/>
                <w:color w:val="auto"/>
              </w:rPr>
            </w:pPr>
            <w:r>
              <w:rPr>
                <w:rFonts w:ascii="Arial" w:cs="Arial" w:eastAsia="Arial" w:hAnsi="Arial"/>
                <w:sz w:val="18"/>
                <w:szCs w:val="18"/>
                <w:color w:val="auto"/>
              </w:rPr>
              <w:t>N/A</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20" w:type="dxa"/>
            <w:vAlign w:val="bottom"/>
            <w:tcBorders>
              <w:left w:val="single" w:sz="8" w:color="auto"/>
            </w:tcBorders>
          </w:tcPr>
          <w:p>
            <w:pPr>
              <w:spacing w:after="0"/>
              <w:rPr>
                <w:sz w:val="10"/>
                <w:szCs w:val="10"/>
                <w:color w:val="auto"/>
              </w:rPr>
            </w:pPr>
          </w:p>
        </w:tc>
        <w:tc>
          <w:tcPr>
            <w:tcW w:w="140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580" w:type="dxa"/>
            <w:vAlign w:val="bottom"/>
            <w:tcBorders>
              <w:bottom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20" w:type="dxa"/>
            <w:vAlign w:val="bottom"/>
            <w:tcBorders>
              <w:left w:val="single" w:sz="8" w:color="auto"/>
            </w:tcBorders>
          </w:tcPr>
          <w:p>
            <w:pPr>
              <w:spacing w:after="0"/>
              <w:rPr>
                <w:sz w:val="6"/>
                <w:szCs w:val="6"/>
                <w:color w:val="auto"/>
              </w:rPr>
            </w:pPr>
          </w:p>
        </w:tc>
        <w:tc>
          <w:tcPr>
            <w:tcW w:w="1400" w:type="dxa"/>
            <w:vAlign w:val="bottom"/>
            <w:tcBorders>
              <w:right w:val="single" w:sz="8" w:color="auto"/>
            </w:tcBorders>
            <w:gridSpan w:val="2"/>
            <w:vMerge w:val="continue"/>
          </w:tcPr>
          <w:p>
            <w:pPr>
              <w:spacing w:after="0"/>
              <w:rPr>
                <w:sz w:val="6"/>
                <w:szCs w:val="6"/>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75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tcBorders>
          </w:tcPr>
          <w:p>
            <w:pPr>
              <w:spacing w:after="0"/>
              <w:rPr>
                <w:sz w:val="13"/>
                <w:szCs w:val="13"/>
                <w:color w:val="auto"/>
              </w:rPr>
            </w:pPr>
          </w:p>
        </w:tc>
        <w:tc>
          <w:tcPr>
            <w:tcW w:w="140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7580" w:type="dxa"/>
            <w:vAlign w:val="bottom"/>
            <w:vMerge w:val="continue"/>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20" w:type="dxa"/>
            <w:vAlign w:val="bottom"/>
            <w:tcBorders>
              <w:left w:val="single" w:sz="8" w:color="auto"/>
            </w:tcBorders>
          </w:tcPr>
          <w:p>
            <w:pPr>
              <w:spacing w:after="0"/>
              <w:rPr>
                <w:sz w:val="5"/>
                <w:szCs w:val="5"/>
                <w:color w:val="auto"/>
              </w:rPr>
            </w:pPr>
          </w:p>
        </w:tc>
        <w:tc>
          <w:tcPr>
            <w:tcW w:w="1400" w:type="dxa"/>
            <w:vAlign w:val="bottom"/>
            <w:tcBorders>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58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580" w:type="dxa"/>
            <w:vAlign w:val="bottom"/>
            <w:vMerge w:val="restart"/>
          </w:tcPr>
          <w:p>
            <w:pPr>
              <w:ind w:left="40"/>
              <w:spacing w:after="0"/>
              <w:rPr>
                <w:sz w:val="20"/>
                <w:szCs w:val="20"/>
                <w:color w:val="auto"/>
              </w:rPr>
            </w:pPr>
            <w:r>
              <w:rPr>
                <w:rFonts w:ascii="Arial" w:cs="Arial" w:eastAsia="Arial" w:hAnsi="Arial"/>
                <w:sz w:val="18"/>
                <w:szCs w:val="18"/>
                <w:color w:val="auto"/>
              </w:rPr>
              <w:t>18,321,796 shares of Common Shares</w:t>
            </w:r>
            <w:r>
              <w:rPr>
                <w:rFonts w:ascii="Arial" w:cs="Arial" w:eastAsia="Arial" w:hAnsi="Arial"/>
                <w:sz w:val="29"/>
                <w:szCs w:val="29"/>
                <w:color w:val="auto"/>
                <w:vertAlign w:val="superscript"/>
              </w:rPr>
              <w:t>1</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720" w:type="dxa"/>
            <w:vAlign w:val="bottom"/>
            <w:tcBorders>
              <w:left w:val="single" w:sz="8" w:color="auto"/>
              <w:right w:val="single" w:sz="8" w:color="auto"/>
            </w:tcBorders>
            <w:gridSpan w:val="3"/>
          </w:tcPr>
          <w:p>
            <w:pPr>
              <w:jc w:val="center"/>
              <w:spacing w:after="0" w:line="157" w:lineRule="exact"/>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58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11</w:t>
            </w:r>
          </w:p>
        </w:tc>
        <w:tc>
          <w:tcPr>
            <w:tcW w:w="520" w:type="dxa"/>
            <w:vAlign w:val="bottom"/>
            <w:tcBorders>
              <w:right w:val="single" w:sz="8" w:color="auto"/>
            </w:tcBorders>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764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18,321,796 shares of Common Shares</w:t>
            </w: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12</w:t>
            </w:r>
          </w:p>
        </w:tc>
        <w:tc>
          <w:tcPr>
            <w:tcW w:w="52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13</w:t>
            </w:r>
          </w:p>
        </w:tc>
        <w:tc>
          <w:tcPr>
            <w:tcW w:w="52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8.2% of the Common Shares</w:t>
            </w:r>
            <w:r>
              <w:rPr>
                <w:rFonts w:ascii="Arial" w:cs="Arial" w:eastAsia="Arial" w:hAnsi="Arial"/>
                <w:sz w:val="29"/>
                <w:szCs w:val="29"/>
                <w:color w:val="auto"/>
                <w:vertAlign w:val="superscript"/>
              </w:rPr>
              <w:t>2</w:t>
            </w: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14</w:t>
            </w:r>
          </w:p>
        </w:tc>
        <w:tc>
          <w:tcPr>
            <w:tcW w:w="520" w:type="dxa"/>
            <w:vAlign w:val="bottom"/>
            <w:tcBorders>
              <w:right w:val="single" w:sz="8" w:color="auto"/>
            </w:tcBorders>
          </w:tcPr>
          <w:p>
            <w:pPr>
              <w:spacing w:after="0"/>
              <w:rPr>
                <w:sz w:val="20"/>
                <w:szCs w:val="20"/>
                <w:color w:val="auto"/>
              </w:rPr>
            </w:pPr>
          </w:p>
        </w:tc>
        <w:tc>
          <w:tcPr>
            <w:tcW w:w="90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18"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Consists of (i) 14,243,752 Common Shares and (ii) 4,078,044 Common Shares underlying options that are exercisable within 60 days of September 30, 2021. Does not include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8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Calculated based on 224,385,324 Common Shares issued and outstanding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3 of 5</w:t>
      </w:r>
    </w:p>
    <w:p>
      <w:pPr>
        <w:spacing w:after="0" w:line="237" w:lineRule="exact"/>
        <w:rPr>
          <w:sz w:val="20"/>
          <w:szCs w:val="20"/>
          <w:color w:val="auto"/>
        </w:rPr>
      </w:pPr>
    </w:p>
    <w:p>
      <w:pPr>
        <w:sectPr>
          <w:pgSz w:w="11900" w:h="16838" w:orient="portrait"/>
          <w:cols w:equalWidth="0" w:num="3">
            <w:col w:w="4260" w:space="720"/>
            <w:col w:w="4720" w:space="720"/>
            <w:col w:w="820"/>
          </w:cols>
          <w:pgMar w:left="320" w:top="341" w:right="3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1 TO SCHEDULE 13D</w:t>
      </w:r>
    </w:p>
    <w:p>
      <w:pPr>
        <w:sectPr>
          <w:pgSz w:w="11900" w:h="16838" w:orient="portrait"/>
          <w:cols w:equalWidth="0" w:num="1">
            <w:col w:w="11240"/>
          </w:cols>
          <w:pgMar w:left="320" w:top="341" w:right="339" w:bottom="1440" w:gutter="0" w:footer="0" w:header="0"/>
          <w:type w:val="continuous"/>
        </w:sectPr>
      </w:pP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Amendment No. 1 to Schedule 13D (this “</w:t>
      </w:r>
      <w:r>
        <w:rPr>
          <w:rFonts w:ascii="Arial" w:cs="Arial" w:eastAsia="Arial" w:hAnsi="Arial"/>
          <w:sz w:val="18"/>
          <w:szCs w:val="18"/>
          <w:u w:val="single" w:color="auto"/>
          <w:color w:val="auto"/>
        </w:rPr>
        <w:t>Amendment</w:t>
      </w:r>
      <w:r>
        <w:rPr>
          <w:rFonts w:ascii="Arial" w:cs="Arial" w:eastAsia="Arial" w:hAnsi="Arial"/>
          <w:sz w:val="18"/>
          <w:szCs w:val="18"/>
          <w:color w:val="auto"/>
        </w:rPr>
        <w: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(the “Schedule 13D”), by Gerard Barron (the “Reporting Person”).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30, 2021, the Reporting Person acquired 34,000 Common Shares in multiple transactions at prices ranging from $4.33 to $4.54532 per Common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regarding the Business Combination set forth in Item 3 above is incorporated into this Item 4 by reference. As reported in this Amendment, 14,209,752 of the Issuer’s Common Shares beneficially owned by the Reporting Person were received in connection with the Business Combination, and 34,000 of the Issuer’s Common Shares beneficially owned by the Reporting Person were subsequently acquired by the Reporting Person on September 30, 2021.</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Reporting Person holds (i) 14,243,752 Common Shares of the Issuer and (ii) 4,078,044 Common Shares underlying options that are exercisable within 60 days of September 30, 2021. The Reporting Person also holds 2,275,334 Common Shares underlying options that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 Excludes the Special Shares held by the Reporting Person.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 w:name="page4"/>
    <w:bookmarkEnd w:id="3"/>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4 of 5</w:t>
      </w:r>
    </w:p>
    <w:p>
      <w:pPr>
        <w:spacing w:after="0" w:line="237" w:lineRule="exact"/>
        <w:rPr>
          <w:sz w:val="20"/>
          <w:szCs w:val="20"/>
          <w:color w:val="auto"/>
        </w:rPr>
      </w:pPr>
    </w:p>
    <w:p>
      <w:pPr>
        <w:sectPr>
          <w:pgSz w:w="11900" w:h="16838" w:orient="portrait"/>
          <w:cols w:equalWidth="0" w:num="3">
            <w:col w:w="4260" w:space="720"/>
            <w:col w:w="4720" w:space="720"/>
            <w:col w:w="820"/>
          </w:cols>
          <w:pgMar w:left="320" w:top="341" w:right="339" w:bottom="1440" w:gutter="0" w:footer="0" w:header="0"/>
        </w:sectPr>
      </w:pPr>
    </w:p>
    <w:p>
      <w:pPr>
        <w:spacing w:after="0" w:line="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TMC held by them during the lock-up periods described therein and</w:t>
      </w:r>
    </w:p>
    <w:p>
      <w:pPr>
        <w:spacing w:after="0" w:line="1" w:lineRule="exact"/>
        <w:rPr>
          <w:sz w:val="20"/>
          <w:szCs w:val="20"/>
          <w:color w:val="auto"/>
        </w:rPr>
      </w:pPr>
    </w:p>
    <w:p>
      <w:pPr>
        <w:jc w:val="both"/>
        <w:ind w:firstLine="8"/>
        <w:spacing w:after="0" w:line="271" w:lineRule="auto"/>
        <w:tabs>
          <w:tab w:leader="none" w:pos="257" w:val="left"/>
        </w:tabs>
        <w:numPr>
          <w:ilvl w:val="0"/>
          <w:numId w:val="4"/>
        </w:numPr>
        <w:rPr>
          <w:rFonts w:ascii="Arial" w:cs="Arial" w:eastAsia="Arial" w:hAnsi="Arial"/>
          <w:sz w:val="17"/>
          <w:szCs w:val="17"/>
          <w:color w:val="auto"/>
        </w:rPr>
      </w:pPr>
      <w:r>
        <w:rPr>
          <w:rFonts w:ascii="Arial" w:cs="Arial" w:eastAsia="Arial" w:hAnsi="Arial"/>
          <w:sz w:val="17"/>
          <w:szCs w:val="17"/>
          <w:color w:val="auto"/>
        </w:rPr>
        <w:t>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TMC will pay certain expenses relating to such registrations and indemnify the registration rights holders against (or make contributions in respect of) certain liabilities.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 w:name="page5"/>
    <w:bookmarkEnd w:id="4"/>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5 of 5</w:t>
      </w:r>
    </w:p>
    <w:p>
      <w:pPr>
        <w:spacing w:after="0" w:line="237" w:lineRule="exact"/>
        <w:rPr>
          <w:sz w:val="20"/>
          <w:szCs w:val="20"/>
          <w:color w:val="auto"/>
        </w:rPr>
      </w:pPr>
    </w:p>
    <w:p>
      <w:pPr>
        <w:sectPr>
          <w:pgSz w:w="11900" w:h="16838" w:orient="portrait"/>
          <w:cols w:equalWidth="0" w:num="3">
            <w:col w:w="4260" w:space="720"/>
            <w:col w:w="4720" w:space="720"/>
            <w:col w:w="820"/>
          </w:cols>
          <w:pgMar w:left="320" w:top="341" w:right="339" w:bottom="144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w:t>
      </w:r>
    </w:p>
    <w:p>
      <w:pPr>
        <w:sectPr>
          <w:pgSz w:w="11900" w:h="16838" w:orient="portrait"/>
          <w:cols w:equalWidth="0" w:num="1">
            <w:col w:w="11240"/>
          </w:cols>
          <w:pgMar w:left="320" w:top="341" w:right="339" w:bottom="1440" w:gutter="0" w:footer="0" w:header="0"/>
          <w:type w:val="continuous"/>
        </w:sect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p>
      <w:pPr>
        <w:ind w:left="340"/>
        <w:spacing w:after="0"/>
        <w:tabs>
          <w:tab w:leader="none" w:pos="6740" w:val="left"/>
        </w:tabs>
        <w:rPr>
          <w:sz w:val="20"/>
          <w:szCs w:val="20"/>
          <w:color w:val="auto"/>
        </w:rPr>
      </w:pPr>
      <w:r>
        <w:rPr>
          <w:rFonts w:ascii="Arial" w:cs="Arial" w:eastAsia="Arial" w:hAnsi="Arial"/>
          <w:sz w:val="18"/>
          <w:szCs w:val="18"/>
          <w:color w:val="auto"/>
        </w:rPr>
        <w:t>Dated: October 6, 2021</w:t>
      </w:r>
      <w:r>
        <w:rPr>
          <w:sz w:val="20"/>
          <w:szCs w:val="20"/>
          <w:color w:val="auto"/>
        </w:rPr>
        <w:tab/>
      </w:r>
      <w:r>
        <w:rPr>
          <w:rFonts w:ascii="Arial" w:cs="Arial" w:eastAsia="Arial" w:hAnsi="Arial"/>
          <w:sz w:val="16"/>
          <w:szCs w:val="16"/>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2021-10-07T05:11:07Z</dcterms:created>
  <dcterms:modified xsi:type="dcterms:W3CDTF">2021-10-07T05:11:07Z</dcterms:modified>
</cp:coreProperties>
</file>