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80"/>
        <w:spacing w:after="0"/>
        <w:rPr>
          <w:sz w:val="20"/>
          <w:szCs w:val="20"/>
          <w:color w:val="auto"/>
        </w:rPr>
      </w:pPr>
      <w:r>
        <w:rPr>
          <w:rFonts w:ascii="Arial" w:cs="Arial" w:eastAsia="Arial" w:hAnsi="Arial"/>
          <w:sz w:val="18"/>
          <w:szCs w:val="18"/>
          <w:b w:val="1"/>
          <w:bCs w:val="1"/>
          <w:color w:val="auto"/>
        </w:rPr>
        <w:t>As filed with the U.S. Securities and Exchange Commission on October 7, 2021</w:t>
      </w:r>
    </w:p>
    <w:p>
      <w:pPr>
        <w:spacing w:after="0" w:line="50" w:lineRule="exact"/>
        <w:rPr>
          <w:sz w:val="24"/>
          <w:szCs w:val="24"/>
          <w:color w:val="auto"/>
        </w:rPr>
      </w:pPr>
    </w:p>
    <w:p>
      <w:pPr>
        <w:ind w:left="58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60325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11"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2680" w:type="dxa"/>
            <w:vAlign w:val="bottom"/>
            <w:gridSpan w:val="2"/>
          </w:tcPr>
          <w:p>
            <w:pPr>
              <w:ind w:left="360"/>
              <w:spacing w:after="0"/>
              <w:rPr>
                <w:sz w:val="20"/>
                <w:szCs w:val="20"/>
                <w:color w:val="auto"/>
              </w:rPr>
            </w:pPr>
            <w:r>
              <w:rPr>
                <w:rFonts w:ascii="Arial" w:cs="Arial" w:eastAsia="Arial" w:hAnsi="Arial"/>
                <w:sz w:val="16"/>
                <w:szCs w:val="16"/>
                <w:b w:val="1"/>
                <w:bCs w:val="1"/>
                <w:color w:val="auto"/>
              </w:rPr>
              <w:t>British Columbia, Canada</w:t>
            </w:r>
          </w:p>
        </w:tc>
        <w:tc>
          <w:tcPr>
            <w:tcW w:w="2620" w:type="dxa"/>
            <w:vAlign w:val="bottom"/>
          </w:tcPr>
          <w:p>
            <w:pPr>
              <w:jc w:val="right"/>
              <w:ind w:right="1053"/>
              <w:spacing w:after="0"/>
              <w:rPr>
                <w:sz w:val="20"/>
                <w:szCs w:val="20"/>
                <w:color w:val="auto"/>
              </w:rPr>
            </w:pPr>
            <w:r>
              <w:rPr>
                <w:rFonts w:ascii="Arial" w:cs="Arial" w:eastAsia="Arial" w:hAnsi="Arial"/>
                <w:sz w:val="16"/>
                <w:szCs w:val="16"/>
                <w:b w:val="1"/>
                <w:bCs w:val="1"/>
                <w:color w:val="auto"/>
              </w:rPr>
              <w:t>1000</w:t>
            </w:r>
          </w:p>
        </w:tc>
        <w:tc>
          <w:tcPr>
            <w:tcW w:w="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2"/>
              </w:rPr>
              <w:t>Not Applicable</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20"/>
              <w:spacing w:after="0" w:line="195" w:lineRule="exact"/>
              <w:rPr>
                <w:sz w:val="20"/>
                <w:szCs w:val="20"/>
                <w:color w:val="auto"/>
              </w:rPr>
            </w:pPr>
            <w:r>
              <w:rPr>
                <w:rFonts w:ascii="Arial" w:cs="Arial" w:eastAsia="Arial" w:hAnsi="Arial"/>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ind w:left="260"/>
              <w:spacing w:after="0" w:line="195" w:lineRule="exact"/>
              <w:rPr>
                <w:sz w:val="20"/>
                <w:szCs w:val="20"/>
                <w:color w:val="auto"/>
              </w:rPr>
            </w:pPr>
            <w:r>
              <w:rPr>
                <w:rFonts w:ascii="Arial" w:cs="Arial" w:eastAsia="Arial" w:hAnsi="Arial"/>
                <w:sz w:val="18"/>
                <w:szCs w:val="18"/>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2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ind w:left="260"/>
              <w:spacing w:after="0"/>
              <w:rPr>
                <w:sz w:val="20"/>
                <w:szCs w:val="20"/>
                <w:color w:val="auto"/>
              </w:rPr>
            </w:pPr>
            <w:r>
              <w:rPr>
                <w:rFonts w:ascii="Arial" w:cs="Arial" w:eastAsia="Arial" w:hAnsi="Arial"/>
                <w:sz w:val="18"/>
                <w:szCs w:val="18"/>
                <w:color w:val="auto"/>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Floor</w:t>
      </w:r>
    </w:p>
    <w:p>
      <w:pPr>
        <w:spacing w:after="0" w:line="6"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Vancouver, British Columbia</w:t>
      </w:r>
    </w:p>
    <w:p>
      <w:pPr>
        <w:spacing w:after="0" w:line="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V6C 2T5</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Telephone: (574) 252-9333</w:t>
      </w:r>
    </w:p>
    <w:p>
      <w:pPr>
        <w:spacing w:after="0" w:line="9" w:lineRule="exact"/>
        <w:rPr>
          <w:sz w:val="24"/>
          <w:szCs w:val="24"/>
          <w:color w:val="auto"/>
        </w:rPr>
      </w:pPr>
    </w:p>
    <w:p>
      <w:pPr>
        <w:ind w:left="62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w:t>
      </w:r>
    </w:p>
    <w:p>
      <w:pPr>
        <w:spacing w:after="0" w:line="32"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offices)</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850 New Burton Road, Suite 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Dover, Delaware 19904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483-1140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73"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Michael L. Fantozzi, Esq.</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Jeffrey P. Schultz, Esq.</w:t>
      </w:r>
    </w:p>
    <w:p>
      <w:pPr>
        <w:spacing w:after="0" w:line="9"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Mintz, Levin, Cohn, Ferris,</w:t>
      </w:r>
    </w:p>
    <w:p>
      <w:pPr>
        <w:spacing w:after="0" w:line="9"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Glovsky and Popeo, P.C.</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Boston, Massachusetts 02111</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Telephone: (617) 542-6000</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45" w:lineRule="exact"/>
        <w:rPr>
          <w:sz w:val="24"/>
          <w:szCs w:val="24"/>
          <w:color w:val="auto"/>
        </w:rPr>
      </w:pPr>
    </w:p>
    <w:p>
      <w:pPr>
        <w:ind w:left="460" w:right="799" w:firstLine="432"/>
        <w:spacing w:after="0" w:line="282" w:lineRule="auto"/>
        <w:rPr>
          <w:sz w:val="20"/>
          <w:szCs w:val="20"/>
          <w:color w:val="auto"/>
        </w:rPr>
      </w:pPr>
      <w:r>
        <w:rPr>
          <w:rFonts w:ascii="Arial" w:cs="Arial" w:eastAsia="Arial" w:hAnsi="Arial"/>
          <w:sz w:val="18"/>
          <w:szCs w:val="18"/>
          <w:color w:val="auto"/>
        </w:rPr>
        <w:t xml:space="preserve">Approximate date of commencement of proposed sale to the public: </w:t>
      </w:r>
      <w:r>
        <w:rPr>
          <w:rFonts w:ascii="Arial" w:cs="Arial" w:eastAsia="Arial" w:hAnsi="Arial"/>
          <w:sz w:val="18"/>
          <w:szCs w:val="18"/>
          <w:b w:val="1"/>
          <w:bCs w:val="1"/>
          <w:color w:val="auto"/>
        </w:rPr>
        <w:t>As soon as practicable after the</w:t>
      </w:r>
      <w:r>
        <w:rPr>
          <w:rFonts w:ascii="Arial" w:cs="Arial" w:eastAsia="Arial" w:hAnsi="Arial"/>
          <w:sz w:val="18"/>
          <w:szCs w:val="18"/>
          <w:color w:val="auto"/>
        </w:rPr>
        <w:t xml:space="preserve"> </w:t>
      </w:r>
      <w:r>
        <w:rPr>
          <w:rFonts w:ascii="Arial" w:cs="Arial" w:eastAsia="Arial" w:hAnsi="Arial"/>
          <w:sz w:val="18"/>
          <w:szCs w:val="18"/>
          <w:b w:val="1"/>
          <w:bCs w:val="1"/>
          <w:color w:val="auto"/>
        </w:rPr>
        <w:t>effective date of this registration statement.</w:t>
      </w:r>
    </w:p>
    <w:p>
      <w:pPr>
        <w:spacing w:after="0" w:line="4" w:lineRule="exact"/>
        <w:rPr>
          <w:sz w:val="24"/>
          <w:szCs w:val="24"/>
          <w:color w:val="auto"/>
        </w:rPr>
      </w:pPr>
    </w:p>
    <w:p>
      <w:pPr>
        <w:ind w:left="460" w:right="739" w:firstLine="432"/>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20" w:lineRule="exact"/>
        <w:rPr>
          <w:sz w:val="24"/>
          <w:szCs w:val="24"/>
          <w:color w:val="auto"/>
        </w:rPr>
      </w:pPr>
    </w:p>
    <w:p>
      <w:pPr>
        <w:ind w:left="460" w:right="679" w:firstLine="432"/>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460" w:right="659" w:firstLine="432"/>
        <w:spacing w:after="0" w:line="227"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460" w:right="639" w:firstLine="432"/>
        <w:spacing w:after="0" w:line="227"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left="460" w:right="779" w:firstLine="432"/>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800" w:type="dxa"/>
        <w:tblCellMar>
          <w:top w:w="0" w:type="dxa"/>
          <w:left w:w="0" w:type="dxa"/>
          <w:bottom w:w="0" w:type="dxa"/>
          <w:right w:w="0" w:type="dxa"/>
        </w:tblCellMar>
      </w:tblPr>
      <w:tr>
        <w:trPr>
          <w:trHeight w:val="283"/>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11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540" w:type="dxa"/>
            <w:vAlign w:val="bottom"/>
          </w:tcPr>
          <w:p>
            <w:pPr>
              <w:ind w:left="9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11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4"/>
        </w:trPr>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222" w:lineRule="exact"/>
        <w:rPr>
          <w:sz w:val="24"/>
          <w:szCs w:val="24"/>
          <w:color w:val="auto"/>
        </w:rPr>
      </w:pPr>
    </w:p>
    <w:p>
      <w:pPr>
        <w:ind w:left="460" w:right="919" w:firstLine="432"/>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236855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53" w:right="1440" w:bottom="51" w:gutter="0" w:footer="0" w:header="0"/>
        </w:sectPr>
      </w:pPr>
    </w:p>
    <w:bookmarkStart w:id="1" w:name="page2"/>
    <w:bookmarkEnd w:id="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Proposed</w:t>
            </w:r>
          </w:p>
        </w:tc>
        <w:tc>
          <w:tcPr>
            <w:tcW w:w="140" w:type="dxa"/>
            <w:vAlign w:val="bottom"/>
          </w:tcPr>
          <w:p>
            <w:pPr>
              <w:spacing w:after="0"/>
              <w:rPr>
                <w:sz w:val="17"/>
                <w:szCs w:val="17"/>
                <w:color w:val="auto"/>
              </w:rPr>
            </w:pPr>
          </w:p>
        </w:tc>
        <w:tc>
          <w:tcPr>
            <w:tcW w:w="1400" w:type="dxa"/>
            <w:vAlign w:val="bottom"/>
          </w:tcPr>
          <w:p>
            <w:pPr>
              <w:jc w:val="center"/>
              <w:ind w:right="196"/>
              <w:spacing w:after="0"/>
              <w:rPr>
                <w:sz w:val="20"/>
                <w:szCs w:val="20"/>
                <w:color w:val="auto"/>
              </w:rPr>
            </w:pPr>
            <w:r>
              <w:rPr>
                <w:rFonts w:ascii="Arial" w:cs="Arial" w:eastAsia="Arial" w:hAnsi="Arial"/>
                <w:sz w:val="16"/>
                <w:szCs w:val="16"/>
                <w:b w:val="1"/>
                <w:bCs w:val="1"/>
                <w:color w:val="auto"/>
                <w:w w:val="86"/>
              </w:rPr>
              <w:t>Proposed</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Maximum</w:t>
            </w:r>
          </w:p>
        </w:tc>
        <w:tc>
          <w:tcPr>
            <w:tcW w:w="140" w:type="dxa"/>
            <w:vAlign w:val="bottom"/>
          </w:tcPr>
          <w:p>
            <w:pPr>
              <w:spacing w:after="0"/>
              <w:rPr>
                <w:sz w:val="17"/>
                <w:szCs w:val="17"/>
                <w:color w:val="auto"/>
              </w:rPr>
            </w:pPr>
          </w:p>
        </w:tc>
        <w:tc>
          <w:tcPr>
            <w:tcW w:w="1400" w:type="dxa"/>
            <w:vAlign w:val="bottom"/>
          </w:tcPr>
          <w:p>
            <w:pPr>
              <w:jc w:val="center"/>
              <w:ind w:right="196"/>
              <w:spacing w:after="0"/>
              <w:rPr>
                <w:sz w:val="20"/>
                <w:szCs w:val="20"/>
                <w:color w:val="auto"/>
              </w:rPr>
            </w:pPr>
            <w:r>
              <w:rPr>
                <w:rFonts w:ascii="Arial" w:cs="Arial" w:eastAsia="Arial" w:hAnsi="Arial"/>
                <w:sz w:val="16"/>
                <w:szCs w:val="16"/>
                <w:b w:val="1"/>
                <w:bCs w:val="1"/>
                <w:color w:val="auto"/>
                <w:w w:val="97"/>
              </w:rPr>
              <w:t>Maximum</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Offering</w:t>
            </w:r>
          </w:p>
        </w:tc>
        <w:tc>
          <w:tcPr>
            <w:tcW w:w="140" w:type="dxa"/>
            <w:vAlign w:val="bottom"/>
          </w:tcPr>
          <w:p>
            <w:pPr>
              <w:spacing w:after="0"/>
              <w:rPr>
                <w:sz w:val="17"/>
                <w:szCs w:val="17"/>
                <w:color w:val="auto"/>
              </w:rPr>
            </w:pPr>
          </w:p>
        </w:tc>
        <w:tc>
          <w:tcPr>
            <w:tcW w:w="1400" w:type="dxa"/>
            <w:vAlign w:val="bottom"/>
          </w:tcPr>
          <w:p>
            <w:pPr>
              <w:jc w:val="center"/>
              <w:ind w:right="196"/>
              <w:spacing w:after="0"/>
              <w:rPr>
                <w:sz w:val="20"/>
                <w:szCs w:val="20"/>
                <w:color w:val="auto"/>
              </w:rPr>
            </w:pPr>
            <w:r>
              <w:rPr>
                <w:rFonts w:ascii="Arial" w:cs="Arial" w:eastAsia="Arial" w:hAnsi="Arial"/>
                <w:sz w:val="16"/>
                <w:szCs w:val="16"/>
                <w:b w:val="1"/>
                <w:bCs w:val="1"/>
                <w:color w:val="auto"/>
                <w:w w:val="90"/>
              </w:rPr>
              <w:t>Aggregate</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Amount of</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Amount to be</w:t>
            </w:r>
          </w:p>
        </w:tc>
        <w:tc>
          <w:tcPr>
            <w:tcW w:w="9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Price per</w:t>
            </w:r>
          </w:p>
        </w:tc>
        <w:tc>
          <w:tcPr>
            <w:tcW w:w="140" w:type="dxa"/>
            <w:vAlign w:val="bottom"/>
          </w:tcPr>
          <w:p>
            <w:pPr>
              <w:spacing w:after="0"/>
              <w:rPr>
                <w:sz w:val="17"/>
                <w:szCs w:val="17"/>
                <w:color w:val="auto"/>
              </w:rPr>
            </w:pPr>
          </w:p>
        </w:tc>
        <w:tc>
          <w:tcPr>
            <w:tcW w:w="1400" w:type="dxa"/>
            <w:vAlign w:val="bottom"/>
          </w:tcPr>
          <w:p>
            <w:pPr>
              <w:jc w:val="center"/>
              <w:ind w:right="196"/>
              <w:spacing w:after="0"/>
              <w:rPr>
                <w:sz w:val="20"/>
                <w:szCs w:val="20"/>
                <w:color w:val="auto"/>
              </w:rPr>
            </w:pPr>
            <w:r>
              <w:rPr>
                <w:rFonts w:ascii="Arial" w:cs="Arial" w:eastAsia="Arial" w:hAnsi="Arial"/>
                <w:sz w:val="16"/>
                <w:szCs w:val="16"/>
                <w:b w:val="1"/>
                <w:bCs w:val="1"/>
                <w:color w:val="auto"/>
                <w:w w:val="96"/>
              </w:rPr>
              <w:t>Offering</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Registration</w:t>
            </w:r>
          </w:p>
        </w:tc>
        <w:tc>
          <w:tcPr>
            <w:tcW w:w="0" w:type="dxa"/>
            <w:vAlign w:val="bottom"/>
          </w:tcPr>
          <w:p>
            <w:pPr>
              <w:spacing w:after="0"/>
              <w:rPr>
                <w:sz w:val="1"/>
                <w:szCs w:val="1"/>
                <w:color w:val="auto"/>
              </w:rPr>
            </w:pPr>
          </w:p>
        </w:tc>
      </w:tr>
      <w:tr>
        <w:trPr>
          <w:trHeight w:val="253"/>
        </w:trPr>
        <w:tc>
          <w:tcPr>
            <w:tcW w:w="3400" w:type="dxa"/>
            <w:vAlign w:val="bottom"/>
            <w:gridSpan w:val="2"/>
          </w:tcPr>
          <w:p>
            <w:pPr>
              <w:spacing w:after="0"/>
              <w:rPr>
                <w:sz w:val="20"/>
                <w:szCs w:val="20"/>
                <w:color w:val="auto"/>
              </w:rPr>
            </w:pPr>
            <w:r>
              <w:rPr>
                <w:rFonts w:ascii="Arial" w:cs="Arial" w:eastAsia="Arial" w:hAnsi="Arial"/>
                <w:sz w:val="16"/>
                <w:szCs w:val="16"/>
                <w:b w:val="1"/>
                <w:bCs w:val="1"/>
                <w:color w:val="auto"/>
                <w:w w:val="94"/>
              </w:rPr>
              <w:t>Title of Each Class of Security to be Registered</w:t>
            </w: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Registered</w:t>
            </w:r>
            <w:r>
              <w:rPr>
                <w:rFonts w:ascii="Arial" w:cs="Arial" w:eastAsia="Arial" w:hAnsi="Arial"/>
                <w:sz w:val="18"/>
                <w:szCs w:val="18"/>
                <w:b w:val="1"/>
                <w:bCs w:val="1"/>
                <w:color w:val="auto"/>
                <w:w w:val="86"/>
                <w:vertAlign w:val="superscript"/>
              </w:rPr>
              <w:t>(1)</w:t>
            </w:r>
          </w:p>
        </w:tc>
        <w:tc>
          <w:tcPr>
            <w:tcW w:w="100" w:type="dxa"/>
            <w:vAlign w:val="bottom"/>
          </w:tcPr>
          <w:p>
            <w:pPr>
              <w:spacing w:after="0"/>
              <w:rPr>
                <w:sz w:val="21"/>
                <w:szCs w:val="21"/>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Security</w:t>
            </w:r>
          </w:p>
        </w:tc>
        <w:tc>
          <w:tcPr>
            <w:tcW w:w="140" w:type="dxa"/>
            <w:vAlign w:val="bottom"/>
          </w:tcPr>
          <w:p>
            <w:pPr>
              <w:spacing w:after="0"/>
              <w:rPr>
                <w:sz w:val="21"/>
                <w:szCs w:val="21"/>
                <w:color w:val="auto"/>
              </w:rPr>
            </w:pPr>
          </w:p>
        </w:tc>
        <w:tc>
          <w:tcPr>
            <w:tcW w:w="1400" w:type="dxa"/>
            <w:vAlign w:val="bottom"/>
          </w:tcPr>
          <w:p>
            <w:pPr>
              <w:jc w:val="center"/>
              <w:ind w:right="156"/>
              <w:spacing w:after="0"/>
              <w:rPr>
                <w:sz w:val="20"/>
                <w:szCs w:val="20"/>
                <w:color w:val="auto"/>
              </w:rPr>
            </w:pPr>
            <w:r>
              <w:rPr>
                <w:rFonts w:ascii="Arial" w:cs="Arial" w:eastAsia="Arial" w:hAnsi="Arial"/>
                <w:sz w:val="16"/>
                <w:szCs w:val="16"/>
                <w:b w:val="1"/>
                <w:bCs w:val="1"/>
                <w:color w:val="auto"/>
                <w:w w:val="91"/>
              </w:rPr>
              <w:t>Price</w:t>
            </w: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Fee</w:t>
            </w:r>
          </w:p>
        </w:tc>
        <w:tc>
          <w:tcPr>
            <w:tcW w:w="0" w:type="dxa"/>
            <w:vAlign w:val="bottom"/>
          </w:tcPr>
          <w:p>
            <w:pPr>
              <w:spacing w:after="0"/>
              <w:rPr>
                <w:sz w:val="1"/>
                <w:szCs w:val="1"/>
                <w:color w:val="auto"/>
              </w:rPr>
            </w:pPr>
          </w:p>
        </w:tc>
      </w:tr>
      <w:tr>
        <w:trPr>
          <w:trHeight w:val="268"/>
        </w:trPr>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 without par value</w:t>
            </w:r>
          </w:p>
        </w:tc>
        <w:tc>
          <w:tcPr>
            <w:tcW w:w="10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264,438,297</w:t>
            </w:r>
            <w:r>
              <w:rPr>
                <w:rFonts w:ascii="Arial" w:cs="Arial" w:eastAsia="Arial" w:hAnsi="Arial"/>
                <w:sz w:val="20"/>
                <w:szCs w:val="20"/>
                <w:color w:val="auto"/>
                <w:w w:val="85"/>
                <w:vertAlign w:val="superscript"/>
              </w:rPr>
              <w:t>(2)</w:t>
            </w: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r>
              <w:rPr>
                <w:rFonts w:ascii="Arial" w:cs="Arial" w:eastAsia="Arial" w:hAnsi="Arial"/>
                <w:sz w:val="20"/>
                <w:szCs w:val="20"/>
                <w:color w:val="auto"/>
                <w:vertAlign w:val="superscript"/>
              </w:rPr>
              <w:t>(3)</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1"/>
              </w:rPr>
              <w:t>1,094,774,549.58</w:t>
            </w:r>
          </w:p>
        </w:tc>
        <w:tc>
          <w:tcPr>
            <w:tcW w:w="11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$ 101,485.61</w:t>
            </w:r>
          </w:p>
        </w:tc>
        <w:tc>
          <w:tcPr>
            <w:tcW w:w="0" w:type="dxa"/>
            <w:vAlign w:val="bottom"/>
          </w:tcPr>
          <w:p>
            <w:pPr>
              <w:spacing w:after="0"/>
              <w:rPr>
                <w:sz w:val="1"/>
                <w:szCs w:val="1"/>
                <w:color w:val="auto"/>
              </w:rPr>
            </w:pPr>
          </w:p>
        </w:tc>
      </w:tr>
      <w:tr>
        <w:trPr>
          <w:trHeight w:val="284"/>
        </w:trPr>
        <w:tc>
          <w:tcPr>
            <w:tcW w:w="3400" w:type="dxa"/>
            <w:vAlign w:val="bottom"/>
            <w:gridSpan w:val="2"/>
          </w:tcPr>
          <w:p>
            <w:pPr>
              <w:spacing w:after="0"/>
              <w:rPr>
                <w:sz w:val="20"/>
                <w:szCs w:val="20"/>
                <w:color w:val="auto"/>
              </w:rPr>
            </w:pPr>
            <w:r>
              <w:rPr>
                <w:rFonts w:ascii="Arial" w:cs="Arial" w:eastAsia="Arial" w:hAnsi="Arial"/>
                <w:sz w:val="18"/>
                <w:szCs w:val="18"/>
                <w:color w:val="auto"/>
              </w:rPr>
              <w:t>Warrants to purchase Common Shares</w:t>
            </w:r>
          </w:p>
        </w:tc>
        <w:tc>
          <w:tcPr>
            <w:tcW w:w="1040" w:type="dxa"/>
            <w:vAlign w:val="bottom"/>
          </w:tcPr>
          <w:p>
            <w:pPr>
              <w:jc w:val="right"/>
              <w:spacing w:after="0"/>
              <w:rPr>
                <w:sz w:val="20"/>
                <w:szCs w:val="20"/>
                <w:color w:val="auto"/>
              </w:rPr>
            </w:pPr>
            <w:r>
              <w:rPr>
                <w:rFonts w:ascii="Arial" w:cs="Arial" w:eastAsia="Arial" w:hAnsi="Arial"/>
                <w:sz w:val="18"/>
                <w:szCs w:val="18"/>
                <w:color w:val="auto"/>
              </w:rPr>
              <w:t>9,500,000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tcBorders>
              <w:right w:val="single" w:sz="8" w:color="CCEEFF"/>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gridSpan w:val="2"/>
            <w:vMerge w:val="continue"/>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1"/>
              </w:rPr>
              <w:t>1,094,774,549.58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$ 101,485.61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79" w:hanging="426"/>
        <w:spacing w:after="0" w:line="265"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the registrant is also registering an indeterminate number of additional Common Shares that may become issuable as a result of any stock dividend, stock split, recapitalization or other similar transaction.</w:t>
      </w:r>
    </w:p>
    <w:p>
      <w:pPr>
        <w:spacing w:after="0" w:line="1" w:lineRule="exact"/>
        <w:rPr>
          <w:rFonts w:ascii="Arial" w:cs="Arial" w:eastAsia="Arial" w:hAnsi="Arial"/>
          <w:sz w:val="16"/>
          <w:szCs w:val="16"/>
          <w:color w:val="auto"/>
        </w:rPr>
      </w:pPr>
    </w:p>
    <w:p>
      <w:pPr>
        <w:ind w:left="880" w:right="559" w:hanging="426"/>
        <w:spacing w:after="0" w:line="301" w:lineRule="auto"/>
        <w:tabs>
          <w:tab w:leader="none" w:pos="880" w:val="left"/>
        </w:tabs>
        <w:numPr>
          <w:ilvl w:val="0"/>
          <w:numId w:val="1"/>
        </w:numPr>
        <w:rPr>
          <w:rFonts w:ascii="Arial" w:cs="Arial" w:eastAsia="Arial" w:hAnsi="Arial"/>
          <w:sz w:val="14"/>
          <w:szCs w:val="14"/>
          <w:color w:val="auto"/>
        </w:rPr>
      </w:pPr>
      <w:r>
        <w:rPr>
          <w:rFonts w:ascii="Arial" w:cs="Arial" w:eastAsia="Arial" w:hAnsi="Arial"/>
          <w:sz w:val="14"/>
          <w:szCs w:val="14"/>
          <w:color w:val="auto"/>
        </w:rPr>
        <w:t>Consists of (i) 239,938,297 Common Shares, without par value, of the Registrant (the “Common Shares”) registered for sale by the selling securityholders named in this registration statement (the “Selling Securityholders”) (including 78,518,244 Common Shares issuable upon conversion of issued and outstanding Special Shares (as defined in this Registration Statement) and up to 11,578,620 shares issuable upon the exercise of the Allseas Warrant (as defined in this Registration Statement) and the Common Shares referred to in the following clause (ii)), (ii) 9,500,000 Common Shares issuable upon the exercise of 9,500,000 Private Placement Warrants (as defined herein), and (iii) 15,000,000 Common Shares issuable upon the exercise of 15,000,000 Public Warrants (as defined herein).</w:t>
      </w:r>
    </w:p>
    <w:p>
      <w:pPr>
        <w:spacing w:after="0" w:line="4" w:lineRule="exact"/>
        <w:rPr>
          <w:rFonts w:ascii="Arial" w:cs="Arial" w:eastAsia="Arial" w:hAnsi="Arial"/>
          <w:sz w:val="14"/>
          <w:szCs w:val="14"/>
          <w:color w:val="auto"/>
        </w:rPr>
      </w:pPr>
    </w:p>
    <w:p>
      <w:pPr>
        <w:ind w:left="880" w:right="53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457(c) under the Securities Act, and solely for the purpose of calculating the registration fee, the proposed maximum offering price per share is $4.14, which is the average of the high and low prices of the Common Shares on October 6, 2021 on The Nasdaq Stock Market (the “Nasdaq”).</w:t>
      </w:r>
    </w:p>
    <w:p>
      <w:pPr>
        <w:ind w:left="880" w:right="65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the potential resale of 9,500,000 Private Placement Warrants held by the Selling Securityholders, which represent warrants to acquire 9,500,000 Common Shares.</w:t>
      </w:r>
    </w:p>
    <w:p>
      <w:pPr>
        <w:ind w:left="880" w:right="939" w:hanging="426"/>
        <w:spacing w:after="0" w:line="363" w:lineRule="auto"/>
        <w:tabs>
          <w:tab w:leader="none" w:pos="88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 457(i), the entire registration fee for the Private Placement Warrants is allocated to the Common Shares underlying such warrants, and no separate fee is payable for the Private Placement Warrants.</w:t>
      </w:r>
    </w:p>
    <w:p>
      <w:pPr>
        <w:spacing w:after="0" w:line="41" w:lineRule="exact"/>
        <w:rPr>
          <w:sz w:val="20"/>
          <w:szCs w:val="20"/>
          <w:color w:val="auto"/>
        </w:rPr>
      </w:pPr>
    </w:p>
    <w:p>
      <w:pPr>
        <w:ind w:left="460" w:right="479" w:firstLine="432"/>
        <w:spacing w:after="0" w:line="322"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13970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57150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331470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p>
      <w:pPr>
        <w:jc w:val="both"/>
        <w:ind w:left="460" w:right="459"/>
        <w:spacing w:after="0" w:line="299" w:lineRule="auto"/>
        <w:rPr>
          <w:sz w:val="20"/>
          <w:szCs w:val="20"/>
          <w:color w:val="auto"/>
        </w:rPr>
      </w:pPr>
      <w:r>
        <w:rPr>
          <w:rFonts w:ascii="Arial" w:cs="Arial" w:eastAsia="Arial" w:hAnsi="Arial"/>
          <w:sz w:val="15"/>
          <w:szCs w:val="15"/>
          <w:b w:val="1"/>
          <w:bCs w:val="1"/>
          <w:color w:val="D2232A"/>
        </w:rPr>
        <w:t>The information in this preliminary prospectus is not complete and may be changed. Neither we nor the selling securityholders may sell these securities until the registration statement filed with the Securities and Exchange Commission becomes effective. This preliminary prospectus is not an offer to sell these securities and it is not soliciting an offer to buy these securities in any state or other jurisdiction where the offer or sale is not permitted.</w:t>
      </w:r>
    </w:p>
    <w:p>
      <w:pPr>
        <w:spacing w:after="0" w:line="162"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D2232A"/>
        </w:rPr>
        <w:t>SUBJECT TO COMPLETION, DATED OCTOBER 7, 2021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154305</wp:posOffset>
            </wp:positionV>
            <wp:extent cx="1645920"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Up to 264,438,297 Common Shares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Up to 9,500,000 Warrants</w:t>
      </w:r>
    </w:p>
    <w:p>
      <w:pPr>
        <w:spacing w:after="0" w:line="72"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________________</w:t>
      </w:r>
    </w:p>
    <w:p>
      <w:pPr>
        <w:spacing w:after="0" w:line="12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This prospectus relates to the issuance by us of up to an aggregate of 24,500,000 of our common shares, without par value (“Common Shares”), which consists of (i) up to 9,500,000 of Common Shares that are issuable upon the exercise of private placement warrants (the “Private Placement Warrants”) originally issued in a private placement in connection with the initial public offering of our predecessor company, Sustainable Opportunities Acquisition Corp. (“SOAC”), at an exercise price of $11.50 per Common Share, and (ii) up to 15,000,000 Common Shares that are issuable upon the exercise of 15,000,000 warrants issued in connection with the initial public offering of SOAC (the “Public Warrants,” and together with the Private Placement Warrants, the “Warrants”).</w:t>
      </w:r>
    </w:p>
    <w:p>
      <w:pPr>
        <w:spacing w:after="0" w:line="30" w:lineRule="exact"/>
        <w:rPr>
          <w:sz w:val="20"/>
          <w:szCs w:val="20"/>
          <w:color w:val="auto"/>
        </w:rPr>
      </w:pPr>
    </w:p>
    <w:p>
      <w:pPr>
        <w:ind w:left="460" w:right="539" w:firstLine="432"/>
        <w:spacing w:after="0" w:line="283" w:lineRule="auto"/>
        <w:rPr>
          <w:sz w:val="20"/>
          <w:szCs w:val="20"/>
          <w:color w:val="auto"/>
        </w:rPr>
      </w:pPr>
      <w:r>
        <w:rPr>
          <w:rFonts w:ascii="Arial" w:cs="Arial" w:eastAsia="Arial" w:hAnsi="Arial"/>
          <w:sz w:val="16"/>
          <w:szCs w:val="16"/>
          <w:color w:val="auto"/>
        </w:rPr>
        <w:t>This prospectus also relates to the resale from time to time by the Selling Securityholders named in this prospectus (the “Selling Securityholders”) of up to (i) 9,500,000 Private Placement Warrants, (ii) 9,500,000 Common Shares that may be issued upon exercise of the Private Placement Warrants, (iii) 11,578,620 Common Shares that may be issued upon exercise of the Allseas Warrant (as defined below), (iv) 6,759,000 Common Shares held by SOAC’s sponsor, Sustainable Opportunities Holdings LLC (the “Sponsor”), SOAC’s former directors and certain of their transferees (collectively, the “Founder Shares”), (v) 11,030,000 Common Shares issued in the PIPE Financing (as defined below), (vi) 131,178,480 Common Shares issued to certain shareholders of DeepGreen (as defined below) pursuant to the Business Combination Agreement (as defined below), (vi) 77,277,244 Common Shares issuable to certain shareholders of DeepGreen upon the conversion of DeepGreen Earnout Shares (as defined below) pursuant to the Business Combination Agreement,</w:t>
      </w:r>
    </w:p>
    <w:p>
      <w:pPr>
        <w:spacing w:after="0" w:line="5" w:lineRule="exact"/>
        <w:rPr>
          <w:sz w:val="20"/>
          <w:szCs w:val="20"/>
          <w:color w:val="auto"/>
        </w:rPr>
      </w:pPr>
    </w:p>
    <w:p>
      <w:pPr>
        <w:jc w:val="both"/>
        <w:ind w:left="460" w:right="839" w:hanging="6"/>
        <w:spacing w:after="0" w:line="255"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1,241,000 Common Shares issuable to the Sponsor and its transferees upon the conversion of Sponsor Earnout Shares (as defined below) and (viii) 873,953 Common Shares issued to certain service providers to DeepGreen.</w:t>
      </w:r>
    </w:p>
    <w:p>
      <w:pPr>
        <w:spacing w:after="0" w:line="28"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30"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We will not receive any proceeds from the sale of Common Shares or Private Placement Warrants by the Selling Securityholders or of Common Shares by us pursuant to this prospectus, except with respect to amounts received by us upon exercise of the Warrants.</w:t>
      </w:r>
    </w:p>
    <w:p>
      <w:pPr>
        <w:spacing w:after="0" w:line="22"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However, we will pay the expenses, other than any underwriting discounts and commissions, associated with the sale of securities pursuant to this prospectus.</w:t>
      </w:r>
    </w:p>
    <w:p>
      <w:pPr>
        <w:spacing w:after="0" w:line="8"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are registering certain of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or Warrants in the section entitled “Plan of Distribution.”</w:t>
      </w:r>
    </w:p>
    <w:p>
      <w:pPr>
        <w:spacing w:after="0" w:line="2"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8" w:lineRule="exact"/>
        <w:rPr>
          <w:sz w:val="20"/>
          <w:szCs w:val="20"/>
          <w:color w:val="auto"/>
        </w:rPr>
      </w:pPr>
    </w:p>
    <w:p>
      <w:pPr>
        <w:ind w:left="460" w:right="879" w:firstLine="432"/>
        <w:spacing w:after="0" w:line="263" w:lineRule="auto"/>
        <w:rPr>
          <w:sz w:val="20"/>
          <w:szCs w:val="20"/>
          <w:color w:val="auto"/>
        </w:rPr>
      </w:pPr>
      <w:r>
        <w:rPr>
          <w:rFonts w:ascii="Arial" w:cs="Arial" w:eastAsia="Arial" w:hAnsi="Arial"/>
          <w:sz w:val="18"/>
          <w:szCs w:val="18"/>
          <w:color w:val="auto"/>
        </w:rPr>
        <w:t>Our Common Shares and Public Warrants are listed on Nasdaq under the symbols “TMC” and “TMCWW,” respectively. On October 6, 2021, the closing price of our Common Shares was $4.14 and the closing price for our Public Warrants was $1.01.</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________________</w:t>
      </w:r>
    </w:p>
    <w:p>
      <w:pPr>
        <w:spacing w:after="0" w:line="68" w:lineRule="exact"/>
        <w:rPr>
          <w:sz w:val="20"/>
          <w:szCs w:val="20"/>
          <w:color w:val="auto"/>
        </w:rPr>
      </w:pPr>
    </w:p>
    <w:p>
      <w:pPr>
        <w:ind w:left="460" w:right="659" w:firstLine="432"/>
        <w:spacing w:after="0" w:line="316" w:lineRule="auto"/>
        <w:rPr>
          <w:sz w:val="20"/>
          <w:szCs w:val="20"/>
          <w:color w:val="auto"/>
        </w:rPr>
      </w:pPr>
      <w:r>
        <w:rPr>
          <w:rFonts w:ascii="Arial" w:cs="Arial" w:eastAsia="Arial" w:hAnsi="Arial"/>
          <w:sz w:val="16"/>
          <w:szCs w:val="16"/>
          <w:b w:val="1"/>
          <w:bCs w:val="1"/>
          <w:color w:val="auto"/>
        </w:rPr>
        <w:t>Investing in our securities involves a high degree of risk. See “Risk Factors” beginning on page 13 of this prospectus and in the other documents that are incorporated by reference in this prospectus.</w:t>
      </w:r>
    </w:p>
    <w:p>
      <w:pPr>
        <w:spacing w:after="0" w:line="2"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 w:lineRule="exact"/>
        <w:rPr>
          <w:sz w:val="20"/>
          <w:szCs w:val="20"/>
          <w:color w:val="auto"/>
        </w:rPr>
      </w:pPr>
    </w:p>
    <w:tbl>
      <w:tblPr>
        <w:tblLayout w:type="fixed"/>
        <w:tblInd w:w="300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w w:val="96"/>
              </w:rPr>
              <w:t>The date of this prospectus is</w:t>
            </w:r>
          </w:p>
        </w:tc>
        <w:tc>
          <w:tcPr>
            <w:tcW w:w="70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9019"/>
          </w:cols>
          <w:pgMar w:left="1440" w:top="274" w:right="1440" w:bottom="0" w:gutter="0" w:footer="0" w:header="0"/>
        </w:sectPr>
      </w:pPr>
    </w:p>
    <w:bookmarkStart w:id="3" w:name="page4"/>
    <w:bookmarkEnd w:id="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83"/>
        </w:trPr>
        <w:tc>
          <w:tcPr>
            <w:tcW w:w="7480" w:type="dxa"/>
            <w:vAlign w:val="bottom"/>
            <w:gridSpan w:val="27"/>
            <w:shd w:val="clear" w:color="auto" w:fill="CCEEFF"/>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CERTAIN DEFINED TERMS</w:t>
              </w:r>
            </w:hyperlink>
          </w:p>
        </w:tc>
        <w:tc>
          <w:tcPr>
            <w:tcW w:w="6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CAUTIONARY NOTE REGARDING FORWARD-LOOKING STATEMENTS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SUMMARY OF THE PROSPECTUS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THE OFFERING</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11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USE OF PROCEEDS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39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DETERMINATION OF OFFERING PRICE</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MARKET PRICE, TICKER SYMBOL AND DIVIDEND INFORMATION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UNAUDITED PRO FORMA CONDENSED COMBINED FINANCIAL INFORMATION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BUSINESS OF TMC</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51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175"/>
        </w:trPr>
        <w:tc>
          <w:tcPr>
            <w:tcW w:w="668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8"/>
              </w:rPr>
            </w:pPr>
            <w:hyperlink w:anchor="page109">
              <w:r>
                <w:rPr>
                  <w:rFonts w:ascii="Arial" w:cs="Arial" w:eastAsia="Arial" w:hAnsi="Arial"/>
                  <w:sz w:val="18"/>
                  <w:szCs w:val="18"/>
                  <w:color w:val="0000EE"/>
                  <w:w w:val="98"/>
                </w:rPr>
                <w:t>MANAGEMENT’S DISCUSSION AND ANALYSIS OF FINANCIAL CONDITION AND</w:t>
              </w:r>
            </w:hyperlink>
          </w:p>
        </w:tc>
        <w:tc>
          <w:tcPr>
            <w:tcW w:w="8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00" w:type="dxa"/>
            <w:vAlign w:val="bottom"/>
            <w:gridSpan w:val="26"/>
            <w:shd w:val="clear" w:color="auto" w:fill="CCEEFF"/>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RESULTS OF OPERATIONS</w:t>
              </w:r>
            </w:hyperlink>
          </w:p>
        </w:tc>
        <w:tc>
          <w:tcPr>
            <w:tcW w:w="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104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DESCRIPTION OF SECURITIES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6"/>
              </w:rPr>
              <w:t>117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SECURITIES ACT RESTRICTIONS ON RESALE OF COMMON SHARES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129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35">
              <w:r>
                <w:rPr>
                  <w:rFonts w:ascii="Arial" w:cs="Arial" w:eastAsia="Arial" w:hAnsi="Arial"/>
                  <w:sz w:val="18"/>
                  <w:szCs w:val="18"/>
                  <w:color w:val="0000EE"/>
                </w:rPr>
                <w:t>BENEFICIAL OWNERSHIP OF SECURITIES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130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37">
              <w:r>
                <w:rPr>
                  <w:rFonts w:ascii="Arial" w:cs="Arial" w:eastAsia="Arial" w:hAnsi="Arial"/>
                  <w:sz w:val="18"/>
                  <w:szCs w:val="18"/>
                  <w:color w:val="0000EE"/>
                </w:rPr>
                <w:t>SELLING SECURITYHOLDERS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132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MANAGEMENT</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138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51">
              <w:r>
                <w:rPr>
                  <w:rFonts w:ascii="Arial" w:cs="Arial" w:eastAsia="Arial" w:hAnsi="Arial"/>
                  <w:sz w:val="18"/>
                  <w:szCs w:val="18"/>
                  <w:color w:val="0000EE"/>
                </w:rPr>
                <w:t>EXECUTIVE AND DIRECTOR COMPENSATION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145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2"/>
        </w:trPr>
        <w:tc>
          <w:tcPr>
            <w:tcW w:w="7480" w:type="dxa"/>
            <w:vAlign w:val="bottom"/>
            <w:gridSpan w:val="27"/>
          </w:tcPr>
          <w:p>
            <w:pPr>
              <w:spacing w:after="0" w:line="202" w:lineRule="exact"/>
              <w:rPr>
                <w:rFonts w:ascii="Arial" w:cs="Arial" w:eastAsia="Arial" w:hAnsi="Arial"/>
                <w:sz w:val="18"/>
                <w:szCs w:val="18"/>
                <w:color w:val="0000EE"/>
              </w:rPr>
            </w:pPr>
            <w:hyperlink w:anchor="page160">
              <w:r>
                <w:rPr>
                  <w:rFonts w:ascii="Arial" w:cs="Arial" w:eastAsia="Arial" w:hAnsi="Arial"/>
                  <w:sz w:val="18"/>
                  <w:szCs w:val="18"/>
                  <w:color w:val="0000EE"/>
                </w:rPr>
                <w:t>CERTAIN RELATIONSHIPS AND RELATED PARTY TRANSACTIONS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154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65">
              <w:r>
                <w:rPr>
                  <w:rFonts w:ascii="Arial" w:cs="Arial" w:eastAsia="Arial" w:hAnsi="Arial"/>
                  <w:sz w:val="18"/>
                  <w:szCs w:val="18"/>
                  <w:color w:val="0000EE"/>
                </w:rPr>
                <w:t>U.S. FEDERAL INCOME TAX CONSIDERATIONS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159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72">
              <w:r>
                <w:rPr>
                  <w:rFonts w:ascii="Arial" w:cs="Arial" w:eastAsia="Arial" w:hAnsi="Arial"/>
                  <w:sz w:val="18"/>
                  <w:szCs w:val="18"/>
                  <w:color w:val="0000EE"/>
                </w:rPr>
                <w:t>CANADIAN FEDERAL INCOME TAX CONSIDERATIONS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166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74">
              <w:r>
                <w:rPr>
                  <w:rFonts w:ascii="Arial" w:cs="Arial" w:eastAsia="Arial" w:hAnsi="Arial"/>
                  <w:sz w:val="18"/>
                  <w:szCs w:val="18"/>
                  <w:color w:val="0000EE"/>
                </w:rPr>
                <w:t>PLAN OF DISTRIBUTION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168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77">
              <w:r>
                <w:rPr>
                  <w:rFonts w:ascii="Arial" w:cs="Arial" w:eastAsia="Arial" w:hAnsi="Arial"/>
                  <w:sz w:val="18"/>
                  <w:szCs w:val="18"/>
                  <w:color w:val="0000EE"/>
                </w:rPr>
                <w:t>LEGAL MATTERS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171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77">
              <w:r>
                <w:rPr>
                  <w:rFonts w:ascii="Arial" w:cs="Arial" w:eastAsia="Arial" w:hAnsi="Arial"/>
                  <w:sz w:val="18"/>
                  <w:szCs w:val="18"/>
                  <w:color w:val="0000EE"/>
                </w:rPr>
                <w:t>EXPERTS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171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7"/>
          </w:tcPr>
          <w:p>
            <w:pPr>
              <w:spacing w:after="0" w:line="202" w:lineRule="exact"/>
              <w:rPr>
                <w:rFonts w:ascii="Arial" w:cs="Arial" w:eastAsia="Arial" w:hAnsi="Arial"/>
                <w:sz w:val="18"/>
                <w:szCs w:val="18"/>
                <w:color w:val="0000EE"/>
              </w:rPr>
            </w:pPr>
            <w:hyperlink w:anchor="page178">
              <w:r>
                <w:rPr>
                  <w:rFonts w:ascii="Arial" w:cs="Arial" w:eastAsia="Arial" w:hAnsi="Arial"/>
                  <w:sz w:val="18"/>
                  <w:szCs w:val="18"/>
                  <w:color w:val="0000EE"/>
                </w:rPr>
                <w:t>WHERE YOU CAN FIND MORE INFORMATION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3"/>
              </w:rPr>
              <w:t>172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7"/>
            <w:shd w:val="clear" w:color="auto" w:fill="CCEEFF"/>
          </w:tcPr>
          <w:p>
            <w:pPr>
              <w:spacing w:after="0" w:line="202" w:lineRule="exact"/>
              <w:rPr>
                <w:rFonts w:ascii="Arial" w:cs="Arial" w:eastAsia="Arial" w:hAnsi="Arial"/>
                <w:sz w:val="18"/>
                <w:szCs w:val="18"/>
                <w:color w:val="0000EE"/>
              </w:rPr>
            </w:pPr>
            <w:hyperlink w:anchor="page179">
              <w:r>
                <w:rPr>
                  <w:rFonts w:ascii="Arial" w:cs="Arial" w:eastAsia="Arial" w:hAnsi="Arial"/>
                  <w:sz w:val="18"/>
                  <w:szCs w:val="18"/>
                  <w:color w:val="0000EE"/>
                </w:rPr>
                <w:t>INDEX TO FINANCIAL STATEMENTS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ind w:left="460" w:right="479" w:firstLine="432"/>
        <w:spacing w:after="0" w:line="281" w:lineRule="auto"/>
        <w:rPr>
          <w:sz w:val="20"/>
          <w:szCs w:val="20"/>
          <w:color w:val="auto"/>
        </w:rPr>
      </w:pPr>
      <w:r>
        <w:rPr>
          <w:rFonts w:ascii="Arial" w:cs="Arial" w:eastAsia="Arial" w:hAnsi="Arial"/>
          <w:sz w:val="17"/>
          <w:szCs w:val="17"/>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97" w:lineRule="exact"/>
        <w:rPr>
          <w:sz w:val="20"/>
          <w:szCs w:val="20"/>
          <w:color w:val="auto"/>
        </w:rPr>
      </w:pPr>
    </w:p>
    <w:p>
      <w:pPr>
        <w:ind w:left="460" w:right="499" w:firstLine="432"/>
        <w:spacing w:after="0" w:line="261"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We have not done anything that would permit this offering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DEFINED TERMS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this document: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Allseas</w:t>
      </w:r>
      <w:r>
        <w:rPr>
          <w:rFonts w:ascii="Arial" w:cs="Arial" w:eastAsia="Arial" w:hAnsi="Arial"/>
          <w:sz w:val="18"/>
          <w:szCs w:val="18"/>
          <w:color w:val="auto"/>
        </w:rPr>
        <w:t>” means Allseas Group S.A.</w:t>
      </w:r>
    </w:p>
    <w:p>
      <w:pPr>
        <w:spacing w:after="0" w:line="158"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Allseas Warrant</w:t>
      </w:r>
      <w:r>
        <w:rPr>
          <w:rFonts w:ascii="Arial" w:cs="Arial" w:eastAsia="Arial" w:hAnsi="Arial"/>
          <w:sz w:val="18"/>
          <w:szCs w:val="18"/>
          <w:color w:val="auto"/>
        </w:rPr>
        <w:t>” means the warrant held by Allseas to purchase up to 11,578,620 Common Shares, which shall vest upon certain milestones into such number of Common Shares that is based on the formula described therein, and which was assumed by TMC upon the consummation of the Business Combination, in accordance with its terms;</w:t>
      </w:r>
    </w:p>
    <w:p>
      <w:pPr>
        <w:spacing w:after="0" w:line="106"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Arrangement</w:t>
      </w:r>
      <w:r>
        <w:rPr>
          <w:rFonts w:ascii="Arial" w:cs="Arial" w:eastAsia="Arial" w:hAnsi="Arial"/>
          <w:sz w:val="18"/>
          <w:szCs w:val="18"/>
          <w:color w:val="auto"/>
        </w:rPr>
        <w:t>” means the arrangement under Part 9, Division 5 of the BCBCA on the terms and subject to the conditions set forth in the Plan of Arrangement;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BCBCA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15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w:t>
      </w:r>
      <w:r>
        <w:rPr>
          <w:rFonts w:ascii="Arial" w:cs="Arial" w:eastAsia="Arial" w:hAnsi="Arial"/>
          <w:sz w:val="17"/>
          <w:szCs w:val="17"/>
          <w:color w:val="auto"/>
        </w:rPr>
        <w:t>” means the transactions contemplated by the Business Combination Agreement which were consummated on September 9, 2021, including the migration and continuance of SOAC from the Cayman Islands to British Columbia, Canada and the acquisition by SOAC of all of the issued and outstanding common shares in the capital of DeepGreen in exchange for Common Shares and Special Shares, whereby DeepGreen became a wholly-owned subsidiary of the Company; and DeepGreen and NewCo Sub amalgamated to continue as one unlimited liability company existing under the laws of British Columbia, Canada, pursuant to a court-approved plan of arrangement under the BCBCA.</w:t>
      </w:r>
    </w:p>
    <w:p>
      <w:pPr>
        <w:spacing w:after="0" w:line="96"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 means that Business Combination Agreement, dated as of March 4, 2021, by and among SOAC, NewCo Sub and DeepGreen.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Business Combination.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Date</w:t>
      </w:r>
      <w:r>
        <w:rPr>
          <w:rFonts w:ascii="Arial" w:cs="Arial" w:eastAsia="Arial" w:hAnsi="Arial"/>
          <w:sz w:val="17"/>
          <w:szCs w:val="17"/>
          <w:color w:val="auto"/>
        </w:rPr>
        <w:t>” means the closing date of the Business Combination, which occurred on September 9,</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2021.</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Shares</w:t>
      </w:r>
      <w:r>
        <w:rPr>
          <w:rFonts w:ascii="Arial" w:cs="Arial" w:eastAsia="Arial" w:hAnsi="Arial"/>
          <w:sz w:val="18"/>
          <w:szCs w:val="18"/>
          <w:color w:val="auto"/>
        </w:rPr>
        <w:t>” means the Common Shares, without par value, of TMC.</w:t>
      </w:r>
    </w:p>
    <w:p>
      <w:pPr>
        <w:spacing w:after="0" w:line="158" w:lineRule="exact"/>
        <w:rPr>
          <w:sz w:val="20"/>
          <w:szCs w:val="20"/>
          <w:color w:val="auto"/>
        </w:rPr>
      </w:pPr>
    </w:p>
    <w:p>
      <w:pPr>
        <w:ind w:left="460" w:right="819"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DeepGreen</w:t>
      </w:r>
      <w:r>
        <w:rPr>
          <w:rFonts w:ascii="Arial" w:cs="Arial" w:eastAsia="Arial" w:hAnsi="Arial"/>
          <w:sz w:val="17"/>
          <w:szCs w:val="17"/>
          <w:color w:val="auto"/>
        </w:rPr>
        <w:t>” means DeepGreen Metals Inc., a company existing under the laws of British Columbia, Canada, prior to the consummation of the Arrangement and the Business Combination.</w:t>
      </w:r>
    </w:p>
    <w:p>
      <w:pPr>
        <w:spacing w:after="0" w:line="65"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DeepGreen capital stock</w:t>
      </w:r>
      <w:r>
        <w:rPr>
          <w:rFonts w:ascii="Arial" w:cs="Arial" w:eastAsia="Arial" w:hAnsi="Arial"/>
          <w:sz w:val="18"/>
          <w:szCs w:val="18"/>
          <w:color w:val="auto"/>
        </w:rPr>
        <w:t>” means the shares of DeepGreen capital stock outstanding prior to the Business Combination.</w:t>
      </w:r>
    </w:p>
    <w:p>
      <w:pPr>
        <w:spacing w:after="0" w:line="103" w:lineRule="exact"/>
        <w:rPr>
          <w:sz w:val="20"/>
          <w:szCs w:val="20"/>
          <w:color w:val="auto"/>
        </w:rPr>
      </w:pPr>
    </w:p>
    <w:p>
      <w:pPr>
        <w:ind w:left="460" w:right="759" w:firstLine="432"/>
        <w:spacing w:after="0" w:line="30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DeepGreen Earnout Shares</w:t>
      </w:r>
      <w:r>
        <w:rPr>
          <w:rFonts w:ascii="Arial" w:cs="Arial" w:eastAsia="Arial" w:hAnsi="Arial"/>
          <w:sz w:val="15"/>
          <w:szCs w:val="15"/>
          <w:color w:val="auto"/>
        </w:rPr>
        <w:t>” means the (a) 4,999,973 Class A Special Shares, (b) 9,999,853 Class B Special Shares, (c) 9,999,853 Class C Special Shares, (d) 19,999,855 Class D Special Shares, (e) 19,999,855 Class E Special Shares, (f) 19,999,855 Class F Special Shares, (g) 24,999,860 Class G Special Shares, and</w:t>
      </w:r>
    </w:p>
    <w:p>
      <w:pPr>
        <w:ind w:left="460" w:right="519" w:hanging="6"/>
        <w:spacing w:after="0" w:line="277" w:lineRule="auto"/>
        <w:tabs>
          <w:tab w:leader="none" w:pos="715" w:val="left"/>
        </w:tabs>
        <w:numPr>
          <w:ilvl w:val="0"/>
          <w:numId w:val="3"/>
        </w:numPr>
        <w:rPr>
          <w:rFonts w:ascii="Arial" w:cs="Arial" w:eastAsia="Arial" w:hAnsi="Arial"/>
          <w:sz w:val="17"/>
          <w:szCs w:val="17"/>
          <w:color w:val="auto"/>
        </w:rPr>
      </w:pPr>
      <w:r>
        <w:rPr>
          <w:rFonts w:ascii="Arial" w:cs="Arial" w:eastAsia="Arial" w:hAnsi="Arial"/>
          <w:sz w:val="17"/>
          <w:szCs w:val="17"/>
          <w:color w:val="auto"/>
        </w:rPr>
        <w:t>24,999,860 Class H Special Shares, in each case in the capital of TMC, each of which is automatically convertible into Common Shares on a one for one basis (unless adjusted as described herein) if certain price per Common Share thresholds are met as described in “Description of Securities — Special Shares.”</w:t>
      </w:r>
    </w:p>
    <w:p>
      <w:pPr>
        <w:spacing w:after="0" w:line="105" w:lineRule="exact"/>
        <w:rPr>
          <w:sz w:val="20"/>
          <w:szCs w:val="20"/>
          <w:color w:val="auto"/>
        </w:rPr>
      </w:pPr>
    </w:p>
    <w:p>
      <w:pPr>
        <w:ind w:left="460" w:right="12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DeepGreen Option</w:t>
      </w:r>
      <w:r>
        <w:rPr>
          <w:rFonts w:ascii="Arial" w:cs="Arial" w:eastAsia="Arial" w:hAnsi="Arial"/>
          <w:sz w:val="18"/>
          <w:szCs w:val="18"/>
          <w:color w:val="auto"/>
        </w:rPr>
        <w:t>” means each option to purchase common shares of DeepGreen granted to a DeepGreen employee, director, or consultant.</w:t>
      </w:r>
    </w:p>
    <w:p>
      <w:pPr>
        <w:spacing w:after="0" w:line="89"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DeepGreen shareholder</w:t>
      </w:r>
      <w:r>
        <w:rPr>
          <w:rFonts w:ascii="Arial" w:cs="Arial" w:eastAsia="Arial" w:hAnsi="Arial"/>
          <w:sz w:val="18"/>
          <w:szCs w:val="18"/>
          <w:color w:val="auto"/>
        </w:rPr>
        <w:t>” means each holder of DeepGreen capital stock as of any determination time prior to the Effective Time.</w:t>
      </w:r>
    </w:p>
    <w:p>
      <w:pPr>
        <w:spacing w:after="0" w:line="103"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means, with respect to the Business Combination, the time on the Closing Date that the Arrangement became effective.</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FASB</w:t>
      </w:r>
      <w:r>
        <w:rPr>
          <w:rFonts w:ascii="Arial" w:cs="Arial" w:eastAsia="Arial" w:hAnsi="Arial"/>
          <w:sz w:val="18"/>
          <w:szCs w:val="18"/>
          <w:color w:val="auto"/>
        </w:rPr>
        <w:t>” means the Financial Accounting Standards Board.</w:t>
      </w:r>
    </w:p>
    <w:p>
      <w:pPr>
        <w:spacing w:after="0" w:line="158"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means the aggregate of 6,759,000 Common Shares held by the Sponsor, Rick Gaenzle, Isaac Barchas and Justin Kelly and their respective transferees.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Shareholders</w:t>
      </w:r>
      <w:r>
        <w:rPr>
          <w:rFonts w:ascii="Arial" w:cs="Arial" w:eastAsia="Arial" w:hAnsi="Arial"/>
          <w:sz w:val="18"/>
          <w:szCs w:val="18"/>
          <w:color w:val="auto"/>
        </w:rPr>
        <w:t>” means the Sponsor and SOAC’s independent directors.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158"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public offering</w:t>
      </w:r>
      <w:r>
        <w:rPr>
          <w:rFonts w:ascii="Arial" w:cs="Arial" w:eastAsia="Arial" w:hAnsi="Arial"/>
          <w:sz w:val="18"/>
          <w:szCs w:val="18"/>
          <w:color w:val="auto"/>
        </w:rPr>
        <w:t>” means SOAC’s initial public offering, consummated on May 8, 2020, through the sale of an aggregate of 30,000,000 units at $10.00 per unit.</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15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NewCo Sub</w:t>
      </w:r>
      <w:r>
        <w:rPr>
          <w:rFonts w:ascii="Arial" w:cs="Arial" w:eastAsia="Arial" w:hAnsi="Arial"/>
          <w:sz w:val="18"/>
          <w:szCs w:val="18"/>
          <w:color w:val="auto"/>
        </w:rPr>
        <w:t>” means 1291924 B.C. Unlimited Liability Company, an unlimited liability company existing under the laws of British Columbia, Canada and a wholly owned subsidiary of SOAC.</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NORI-D</w:t>
      </w:r>
      <w:r>
        <w:rPr>
          <w:rFonts w:ascii="Arial" w:cs="Arial" w:eastAsia="Arial" w:hAnsi="Arial"/>
          <w:sz w:val="17"/>
          <w:szCs w:val="17"/>
          <w:color w:val="auto"/>
        </w:rPr>
        <w:t>” means the commercialization project of the estimated resources located in NORI Area D.</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and Articles</w:t>
      </w:r>
      <w:r>
        <w:rPr>
          <w:rFonts w:ascii="Arial" w:cs="Arial" w:eastAsia="Arial" w:hAnsi="Arial"/>
          <w:sz w:val="18"/>
          <w:szCs w:val="18"/>
          <w:color w:val="auto"/>
        </w:rPr>
        <w:t>” means the notice of articles and articles of TMC upon the Continuance.</w:t>
      </w:r>
    </w:p>
    <w:p>
      <w:pPr>
        <w:spacing w:after="0" w:line="158"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Financing</w:t>
      </w:r>
      <w:r>
        <w:rPr>
          <w:rFonts w:ascii="Arial" w:cs="Arial" w:eastAsia="Arial" w:hAnsi="Arial"/>
          <w:sz w:val="18"/>
          <w:szCs w:val="18"/>
          <w:color w:val="auto"/>
        </w:rPr>
        <w:t>” means the issuance of an aggregate of 11,030,000 shares of Common Shares pursuant to the Subscription Agreements to the PIPE Investors immediately prior to the Closing, at a purchase price of $10.00 per share.</w:t>
      </w:r>
    </w:p>
    <w:p>
      <w:pPr>
        <w:spacing w:after="0" w:line="103"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the certain institutional and accredited investors who are party to the Subscription Agreements.</w:t>
      </w:r>
    </w:p>
    <w:p>
      <w:pPr>
        <w:spacing w:after="0" w:line="103" w:lineRule="exact"/>
        <w:rPr>
          <w:sz w:val="20"/>
          <w:szCs w:val="20"/>
          <w:color w:val="auto"/>
        </w:rPr>
      </w:pPr>
    </w:p>
    <w:p>
      <w:pPr>
        <w:jc w:val="both"/>
        <w:ind w:left="460" w:right="539" w:firstLine="432"/>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PIPE Investor Subscription Agreements</w:t>
      </w:r>
      <w:r>
        <w:rPr>
          <w:rFonts w:ascii="Arial" w:cs="Arial" w:eastAsia="Arial" w:hAnsi="Arial"/>
          <w:sz w:val="16"/>
          <w:szCs w:val="16"/>
          <w:color w:val="auto"/>
        </w:rPr>
        <w:t>” means the subscription agreements, each dated as of March 4, 2021, by and between TMC and the PIPE Investors, pursuant to which TMC issued an aggregate of 11,030,000 Common Shares to the PIPE Investors immediately prior to the Closing at a purchase price of $10.00 per share.</w:t>
      </w:r>
    </w:p>
    <w:p>
      <w:pPr>
        <w:spacing w:after="0" w:line="81" w:lineRule="exact"/>
        <w:rPr>
          <w:sz w:val="20"/>
          <w:szCs w:val="20"/>
          <w:color w:val="auto"/>
        </w:rPr>
      </w:pPr>
    </w:p>
    <w:p>
      <w:pPr>
        <w:ind w:left="460" w:right="839"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Private Placement Warrants</w:t>
      </w:r>
      <w:r>
        <w:rPr>
          <w:rFonts w:ascii="Arial" w:cs="Arial" w:eastAsia="Arial" w:hAnsi="Arial"/>
          <w:sz w:val="17"/>
          <w:szCs w:val="17"/>
          <w:color w:val="auto"/>
        </w:rPr>
        <w:t>” means the 9,500,000 warrants issued to the Sponsor concurrently with SOAC’s initial public offering, each of which is exercisable for one Common Share.</w:t>
      </w:r>
    </w:p>
    <w:p>
      <w:pPr>
        <w:spacing w:after="0" w:line="65"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SOAC Common Shares included in the units issued in SOAC’s initial public offering.</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shareholders</w:t>
      </w:r>
      <w:r>
        <w:rPr>
          <w:rFonts w:ascii="Arial" w:cs="Arial" w:eastAsia="Arial" w:hAnsi="Arial"/>
          <w:sz w:val="18"/>
          <w:szCs w:val="18"/>
          <w:color w:val="auto"/>
        </w:rPr>
        <w:t>” means holders of public shares.</w:t>
      </w:r>
    </w:p>
    <w:p>
      <w:pPr>
        <w:spacing w:after="0" w:line="15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means the warrants included in the units issued in SOAC’s initial public offering, each of which is exercisable for one Common Share, in accordance with its terms.</w:t>
      </w:r>
    </w:p>
    <w:p>
      <w:pPr>
        <w:spacing w:after="0" w:line="89" w:lineRule="exact"/>
        <w:rPr>
          <w:sz w:val="20"/>
          <w:szCs w:val="20"/>
          <w:color w:val="auto"/>
        </w:rPr>
      </w:pPr>
    </w:p>
    <w:p>
      <w:pPr>
        <w:ind w:left="460" w:right="959"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SOAC</w:t>
      </w:r>
      <w:r>
        <w:rPr>
          <w:rFonts w:ascii="Arial" w:cs="Arial" w:eastAsia="Arial" w:hAnsi="Arial"/>
          <w:sz w:val="17"/>
          <w:szCs w:val="17"/>
          <w:color w:val="auto"/>
        </w:rPr>
        <w:t>” means Sustainable Opportunities Acquisition Corp., a Cayman Islands exempted company limited by shares (which, after the Closing is known as TMC the metals company Inc.).</w:t>
      </w:r>
    </w:p>
    <w:p>
      <w:pPr>
        <w:spacing w:after="0" w:line="79"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SOAC Ordinary Shares</w:t>
      </w:r>
      <w:r>
        <w:rPr>
          <w:rFonts w:ascii="Arial" w:cs="Arial" w:eastAsia="Arial" w:hAnsi="Arial"/>
          <w:sz w:val="18"/>
          <w:szCs w:val="18"/>
          <w:color w:val="auto"/>
        </w:rPr>
        <w:t>” means the Class A ordinary shares of SOAC, which were redesignated as Common Shares as a result and upon the consummation of the Continuance;</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SOAC Class B ordinary shares</w:t>
      </w:r>
      <w:r>
        <w:rPr>
          <w:rFonts w:ascii="Arial" w:cs="Arial" w:eastAsia="Arial" w:hAnsi="Arial"/>
          <w:sz w:val="18"/>
          <w:szCs w:val="18"/>
          <w:color w:val="auto"/>
        </w:rPr>
        <w:t>” means the shares of Class B ordinary shares of SOAC.</w:t>
      </w:r>
    </w:p>
    <w:p>
      <w:pPr>
        <w:spacing w:after="0" w:line="158"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TMC</w:t>
      </w:r>
      <w:r>
        <w:rPr>
          <w:rFonts w:ascii="Arial" w:cs="Arial" w:eastAsia="Arial" w:hAnsi="Arial"/>
          <w:sz w:val="17"/>
          <w:szCs w:val="17"/>
          <w:color w:val="auto"/>
        </w:rPr>
        <w:t>” means TMC the metals company Inc., a British Columbia, Canada corporation (which, prior to consummation of the Business Combination, was known as Sustainable Opportunities Acquisition Corp. (“</w:t>
      </w:r>
      <w:r>
        <w:rPr>
          <w:rFonts w:ascii="Arial" w:cs="Arial" w:eastAsia="Arial" w:hAnsi="Arial"/>
          <w:sz w:val="17"/>
          <w:szCs w:val="17"/>
          <w:u w:val="single" w:color="auto"/>
          <w:color w:val="auto"/>
        </w:rPr>
        <w:t>SOAC</w:t>
      </w:r>
      <w:r>
        <w:rPr>
          <w:rFonts w:ascii="Arial" w:cs="Arial" w:eastAsia="Arial" w:hAnsi="Arial"/>
          <w:sz w:val="17"/>
          <w:szCs w:val="17"/>
          <w:color w:val="auto"/>
        </w:rPr>
        <w:t>” herein)) and, where applicable, its direct and indirect wholly-owned subsidiaries.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TMC Incentive Equity Plan</w:t>
      </w:r>
      <w:r>
        <w:rPr>
          <w:rFonts w:ascii="Arial" w:cs="Arial" w:eastAsia="Arial" w:hAnsi="Arial"/>
          <w:sz w:val="17"/>
          <w:szCs w:val="17"/>
          <w:color w:val="auto"/>
        </w:rPr>
        <w:t>” means the TMC the metals company Inc. 2021 Incentive Equity Plan.</w:t>
      </w:r>
    </w:p>
    <w:p>
      <w:pPr>
        <w:spacing w:after="0" w:line="156"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amended and restated registration rights agreement entered into as of the Closing by and among TMC, the Sponsor, certain affiliates of the Sponsor, and certain securityholders of Legacy DeepGreen.</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Sarbanes-Oxley Act</w:t>
      </w:r>
      <w:r>
        <w:rPr>
          <w:rFonts w:ascii="Arial" w:cs="Arial" w:eastAsia="Arial" w:hAnsi="Arial"/>
          <w:sz w:val="18"/>
          <w:szCs w:val="18"/>
          <w:color w:val="auto"/>
        </w:rPr>
        <w:t>” means the Sarbanes-Oxley Act of 2002.</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Shares</w:t>
      </w:r>
      <w:r>
        <w:rPr>
          <w:rFonts w:ascii="Arial" w:cs="Arial" w:eastAsia="Arial" w:hAnsi="Arial"/>
          <w:sz w:val="18"/>
          <w:szCs w:val="18"/>
          <w:color w:val="auto"/>
        </w:rPr>
        <w:t>” means the DeepGreen Earnout Shares and the Sponsor Earnout Shares.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Sponsor</w:t>
      </w:r>
      <w:r>
        <w:rPr>
          <w:rFonts w:ascii="Arial" w:cs="Arial" w:eastAsia="Arial" w:hAnsi="Arial"/>
          <w:sz w:val="17"/>
          <w:szCs w:val="17"/>
          <w:color w:val="auto"/>
        </w:rPr>
        <w:t>” means Sustainable Opportunities Holdings LLC, a Delaware limited liability company.</w:t>
      </w:r>
    </w:p>
    <w:p>
      <w:pPr>
        <w:spacing w:after="0" w:line="169"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Earnout Shares</w:t>
      </w:r>
      <w:r>
        <w:rPr>
          <w:rFonts w:ascii="Arial" w:cs="Arial" w:eastAsia="Arial" w:hAnsi="Arial"/>
          <w:sz w:val="18"/>
          <w:szCs w:val="18"/>
          <w:color w:val="auto"/>
        </w:rPr>
        <w:t>” means the 500,000 Class I Special Shares and 741,000 Class J Special Shares in the capital of TMC, each of which is automatically convertible into Common Shares on a one for one basis (unless adjusted as described herein) if certain Common Share price thresholds are met as described in “Description of Securities — Special Shares.”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15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means the Trust Account of SOAC that held the proceeds from SOAC’s initial public offering and the private placement of the Private Placement Warrants.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Continental Stock Transfer &amp; Trust Company.</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GAAP</w:t>
      </w:r>
      <w:r>
        <w:rPr>
          <w:rFonts w:ascii="Arial" w:cs="Arial" w:eastAsia="Arial" w:hAnsi="Arial"/>
          <w:sz w:val="18"/>
          <w:szCs w:val="18"/>
          <w:color w:val="auto"/>
        </w:rPr>
        <w:t>” means United States generally accepted accounting principles.</w:t>
      </w:r>
    </w:p>
    <w:p>
      <w:pPr>
        <w:spacing w:after="0" w:line="158"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Units</w:t>
      </w:r>
      <w:r>
        <w:rPr>
          <w:rFonts w:ascii="Arial" w:cs="Arial" w:eastAsia="Arial" w:hAnsi="Arial"/>
          <w:sz w:val="18"/>
          <w:szCs w:val="18"/>
          <w:color w:val="auto"/>
        </w:rPr>
        <w:t>” means the units of SOAC, each consisting of one share of SOAC ordinary shares and one-half (1/2) of one Public Warrant of SOAC.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This prospectus includes forward-looking statements regarding, among other things, our plans, strategies and prospects, both business and financial. These statements are based on the beliefs and assumptions of our management.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 Forward-looking statements contained in this prospectus include, but are not limited to, statements about:</w:t>
      </w:r>
    </w:p>
    <w:p>
      <w:pPr>
        <w:spacing w:after="0" w:line="114" w:lineRule="exact"/>
        <w:rPr>
          <w:sz w:val="20"/>
          <w:szCs w:val="20"/>
          <w:color w:val="auto"/>
        </w:rPr>
      </w:pPr>
    </w:p>
    <w:p>
      <w:pPr>
        <w:ind w:left="1320" w:right="479" w:hanging="434"/>
        <w:spacing w:after="0" w:line="263" w:lineRule="auto"/>
        <w:tabs>
          <w:tab w:leader="none" w:pos="1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the commercial and technical feasibility of seafloor polymetallic nodule collection and processing;</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supply and demand for battery metals and manganese alloys;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prices of battery metal and manganese alloys;</w:t>
      </w:r>
    </w:p>
    <w:p>
      <w:pPr>
        <w:spacing w:after="0" w:line="157"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content of International Seabed Authority’s exploitation regulations that will create the legal and technical framework for exploitation of polymetallic nodules in the Clarion Clipperton Zone of the Pacific Ocean;</w:t>
      </w:r>
    </w:p>
    <w:p>
      <w:pPr>
        <w:spacing w:after="0" w:line="116" w:lineRule="exact"/>
        <w:rPr>
          <w:rFonts w:ascii="Arial" w:cs="Arial" w:eastAsia="Arial" w:hAnsi="Arial"/>
          <w:sz w:val="18"/>
          <w:szCs w:val="18"/>
          <w:color w:val="auto"/>
        </w:rPr>
      </w:pPr>
    </w:p>
    <w:p>
      <w:pPr>
        <w:ind w:left="1320" w:right="1259" w:hanging="434"/>
        <w:spacing w:after="0" w:line="277" w:lineRule="auto"/>
        <w:tabs>
          <w:tab w:leader="none" w:pos="1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 of deep seabed mining operations and changes in mining laws and regulations;</w:t>
      </w:r>
    </w:p>
    <w:p>
      <w:pPr>
        <w:spacing w:after="0" w:line="89" w:lineRule="exact"/>
        <w:rPr>
          <w:rFonts w:ascii="Arial" w:cs="Arial" w:eastAsia="Arial" w:hAnsi="Arial"/>
          <w:sz w:val="18"/>
          <w:szCs w:val="18"/>
          <w:color w:val="auto"/>
        </w:rPr>
      </w:pPr>
    </w:p>
    <w:p>
      <w:pPr>
        <w:ind w:left="1320" w:right="719" w:hanging="434"/>
        <w:spacing w:after="0" w:line="277" w:lineRule="auto"/>
        <w:tabs>
          <w:tab w:leader="none" w:pos="1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developing and deploying equipment for operations to collect polymetallic nodules at sea and to process such nodules on land;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risks;</w:t>
      </w:r>
    </w:p>
    <w:p>
      <w:pPr>
        <w:spacing w:after="0" w:line="157"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amount of estimated future production, costs of production, capital expenditures and requirements for additional capital;</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and negotiating of key strategic relationships;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reclamation expenses;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in mineral resource estimates;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financial risks posed by our material weaknesses in our internal control over financial reporting;</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uncertainty in geological, hydrological, metallurgical and geotechnical studies and opinions;</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downturns and political and market conditions beyond our control could adversely affect our business, financial condition and results of operations;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detailed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 w:name="page10"/>
    <w:bookmarkEnd w:id="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These forward-looking statements are based on information available as of the date of this prospectus, and current expectations, forecasts and assumptions, and involve a number of judgments, risks and uncertainties. Important factors could cause actual results to differ materially from those indicated or implied by forward-looking statements such as those contained in documents we have filed with the SEC.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11"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As a result of a number of known and unknown risks and uncertainties, our actual results or performance may be materially different from those expressed or implied by these forward-looking statements. For a discussion of the risks involved in our business and investing in our Common Shares, see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19" w:lineRule="exact"/>
        <w:rPr>
          <w:sz w:val="20"/>
          <w:szCs w:val="20"/>
          <w:color w:val="auto"/>
        </w:rPr>
      </w:pPr>
    </w:p>
    <w:p>
      <w:pPr>
        <w:ind w:left="460" w:right="739" w:firstLine="432"/>
        <w:spacing w:after="0" w:line="311" w:lineRule="auto"/>
        <w:rPr>
          <w:sz w:val="20"/>
          <w:szCs w:val="20"/>
          <w:color w:val="auto"/>
        </w:rPr>
      </w:pPr>
      <w:r>
        <w:rPr>
          <w:rFonts w:ascii="Arial" w:cs="Arial" w:eastAsia="Arial" w:hAnsi="Arial"/>
          <w:sz w:val="16"/>
          <w:szCs w:val="16"/>
          <w:color w:val="auto"/>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24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PROSPECTUS</w:t>
      </w:r>
    </w:p>
    <w:p>
      <w:pPr>
        <w:spacing w:after="0" w:line="162" w:lineRule="exact"/>
        <w:rPr>
          <w:sz w:val="20"/>
          <w:szCs w:val="20"/>
          <w:color w:val="auto"/>
        </w:rPr>
      </w:pPr>
    </w:p>
    <w:p>
      <w:pPr>
        <w:ind w:left="540" w:right="639" w:firstLine="432"/>
        <w:spacing w:after="0" w:line="293" w:lineRule="auto"/>
        <w:rPr>
          <w:sz w:val="20"/>
          <w:szCs w:val="20"/>
          <w:color w:val="auto"/>
        </w:rPr>
      </w:pPr>
      <w:r>
        <w:rPr>
          <w:rFonts w:ascii="Arial" w:cs="Arial" w:eastAsia="Arial" w:hAnsi="Arial"/>
          <w:sz w:val="16"/>
          <w:szCs w:val="16"/>
          <w:i w:val="1"/>
          <w:iCs w:val="1"/>
          <w:color w:val="auto"/>
        </w:rPr>
        <w:t>This summary highlights selected information included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“Management’s Discussion and Analysis of Financial Condition and Results of Operations” and the financial statements included elsewhere in this prospectus.</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Company</w:t>
      </w:r>
    </w:p>
    <w:p>
      <w:pPr>
        <w:spacing w:after="0" w:line="162" w:lineRule="exact"/>
        <w:rPr>
          <w:sz w:val="20"/>
          <w:szCs w:val="20"/>
          <w:color w:val="auto"/>
        </w:rPr>
      </w:pPr>
    </w:p>
    <w:p>
      <w:pPr>
        <w:ind w:left="540" w:right="579" w:firstLine="432"/>
        <w:spacing w:after="0" w:line="267" w:lineRule="auto"/>
        <w:rPr>
          <w:sz w:val="20"/>
          <w:szCs w:val="20"/>
          <w:color w:val="auto"/>
        </w:rPr>
      </w:pPr>
      <w:r>
        <w:rPr>
          <w:rFonts w:ascii="Arial" w:cs="Arial" w:eastAsia="Arial" w:hAnsi="Arial"/>
          <w:sz w:val="17"/>
          <w:szCs w:val="17"/>
          <w:color w:val="auto"/>
        </w:rPr>
        <w:t>We are a deep-sea minerals exploration company focused on the collection, processing and refining of polymetallic nodules found on the seafloor of the Clarion Clipperton Zone of the Pacific Ocean (the “CCZ”). The CCZ is a zone of abyssal plains and other formations in the Eastern Pacific Ocean, with a length of around 4,500 miles (7,240 km) that spans approximately 4,500,000 square kilometers (1,700,000 sq mi). Polymetallic nodules sit unattached to the seafloor and are located in significant quantities on the seafloor of the CCZ, have high concentrations of nickel, manganese, cobalt and copper in a single rock. Our subsidiaries Nauru Ocean Resources Inc. (“NORI”) and Tonga Offshore Mining Limited (“TOML”) possess the exclusive exploration rights to regions within the CCZ and operate under the effective supervision, regulation and sponsorship of the Republic of Nauru (“Nauru”) and the Kingdom of Tonga (“Tonga”), respectively. These metals are the main raw material inputs into lithium NMC (nickel-manganese-cobalt) battery cathodes and electric wiring often used in electric vehicles (“EV”) and energy storage. We have identified the potential to recover metals from polymetallic nodules to support increasing demand from battery and electric vehicle production through the development of a process that produces metals from the polymetallic nodules with near-zero solid processing waste. We have a dual mission: (1) to supply metals for the clean energy transition with low environmental and social impact; and (2) to accelerate the transition to a circular metal economy. The primary application of our mission is to solve the primary metal supply problem required for the manufacture of EV batteries.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Background and Business Combination</w:t>
      </w:r>
    </w:p>
    <w:p>
      <w:pPr>
        <w:spacing w:after="0" w:line="148" w:lineRule="exact"/>
        <w:rPr>
          <w:sz w:val="20"/>
          <w:szCs w:val="20"/>
          <w:color w:val="auto"/>
        </w:rPr>
      </w:pPr>
    </w:p>
    <w:p>
      <w:pPr>
        <w:ind w:left="540" w:right="679" w:firstLine="432"/>
        <w:spacing w:after="0" w:line="254" w:lineRule="auto"/>
        <w:rPr>
          <w:sz w:val="20"/>
          <w:szCs w:val="20"/>
          <w:color w:val="auto"/>
        </w:rPr>
      </w:pPr>
      <w:r>
        <w:rPr>
          <w:rFonts w:ascii="Arial" w:cs="Arial" w:eastAsia="Arial" w:hAnsi="Arial"/>
          <w:sz w:val="18"/>
          <w:szCs w:val="18"/>
          <w:color w:val="auto"/>
        </w:rPr>
        <w:t>The Company was originally known as Sustainable Opportunities Acquisition Corp. (“SOAC”). On September 9, 2021 (the “</w:t>
      </w:r>
      <w:r>
        <w:rPr>
          <w:rFonts w:ascii="Arial" w:cs="Arial" w:eastAsia="Arial" w:hAnsi="Arial"/>
          <w:sz w:val="18"/>
          <w:szCs w:val="18"/>
          <w:u w:val="single" w:color="auto"/>
          <w:color w:val="auto"/>
        </w:rPr>
        <w:t>Closing Date</w:t>
      </w:r>
      <w:r>
        <w:rPr>
          <w:rFonts w:ascii="Arial" w:cs="Arial" w:eastAsia="Arial" w:hAnsi="Arial"/>
          <w:sz w:val="18"/>
          <w:szCs w:val="18"/>
          <w:color w:val="auto"/>
        </w:rPr>
        <w:t>”), we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(“Legacy DeepGreen”). In connection with the Business Combination, SOAC changed its name to “TMC the metals company Inc.” (“TMC”).</w:t>
      </w:r>
    </w:p>
    <w:p>
      <w:pPr>
        <w:spacing w:after="0" w:line="124" w:lineRule="exact"/>
        <w:rPr>
          <w:sz w:val="20"/>
          <w:szCs w:val="20"/>
          <w:color w:val="auto"/>
        </w:rPr>
      </w:pPr>
    </w:p>
    <w:p>
      <w:pPr>
        <w:ind w:left="540" w:right="559" w:firstLine="432"/>
        <w:spacing w:after="0" w:line="285" w:lineRule="auto"/>
        <w:rPr>
          <w:sz w:val="20"/>
          <w:szCs w:val="20"/>
          <w:color w:val="auto"/>
        </w:rPr>
      </w:pPr>
      <w:r>
        <w:rPr>
          <w:rFonts w:ascii="Arial" w:cs="Arial" w:eastAsia="Arial" w:hAnsi="Arial"/>
          <w:sz w:val="16"/>
          <w:szCs w:val="16"/>
          <w:color w:val="auto"/>
        </w:rPr>
        <w:t>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Business Corporations Act (British Columbia)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of the Company (the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in the notice of articles and articles of the Company;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SOAC warrant agreement; (v) the notice of articles and articles of TMC became the governing documents of the Company; and (vi) SOAC’s name changed to “TMC the metals company Inc.”</w:t>
      </w:r>
    </w:p>
    <w:p>
      <w:pPr>
        <w:spacing w:after="0" w:line="109" w:lineRule="exact"/>
        <w:rPr>
          <w:sz w:val="20"/>
          <w:szCs w:val="20"/>
          <w:color w:val="auto"/>
        </w:rPr>
      </w:pPr>
    </w:p>
    <w:p>
      <w:pPr>
        <w:ind w:left="540" w:right="759" w:firstLine="432"/>
        <w:spacing w:after="0" w:line="259" w:lineRule="auto"/>
        <w:rPr>
          <w:sz w:val="20"/>
          <w:szCs w:val="20"/>
          <w:color w:val="auto"/>
        </w:rPr>
      </w:pPr>
      <w:r>
        <w:rPr>
          <w:rFonts w:ascii="Arial" w:cs="Arial" w:eastAsia="Arial" w:hAnsi="Arial"/>
          <w:sz w:val="18"/>
          <w:szCs w:val="18"/>
          <w:color w:val="auto"/>
        </w:rPr>
        <w:t>On the Closing Date, promptly following the Continuance, pursuant to a court-approved plan of arrangement (the “Plan of Arrangement,” and the arrangement pursuant to such Plan of Arrangement, the “Arrangement”) under the BCBCA, (i) SOAC acquired all of the issued and outstanding common shares in the capital of DeepGreen</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13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79"/>
        <w:spacing w:after="0" w:line="284" w:lineRule="auto"/>
        <w:rPr>
          <w:sz w:val="20"/>
          <w:szCs w:val="20"/>
          <w:color w:val="auto"/>
        </w:rPr>
      </w:pPr>
      <w:r>
        <w:rPr>
          <w:rFonts w:ascii="Arial" w:cs="Arial" w:eastAsia="Arial" w:hAnsi="Arial"/>
          <w:sz w:val="16"/>
          <w:szCs w:val="16"/>
          <w:color w:val="auto"/>
        </w:rPr>
        <w:t>(the “DeepGreen Common Shares”); (ii) the shareholders and the optionholders of DeepGreen became entitled to receive at the Effective Time, in exchange for their DeepGreen Common Shares and options to purchase DeepGreen Common Shares, as applicable, an aggregate of (a) 229,162,651 Common Shares (which includes Common Shares underlying options) based on an Adjusted Equity Value (as defined in the Business Combination Agreement) immediately prior to the Effective Time of $2,291,628,539, (b) 4,999,973 Class A Special Shares (which includes Class A Special Shares underlying options), (c) 9,999,853 Class B Special Shares (which includes Class B Special Shares underlying options), (d) 9,999,853 Class C Special Shares (which includes Class C Special Shares underlying options ), (e) 19,999,855 Class D Special Shares (which includes Class D Special Shares underlying options), (f) 19,999,855 Class E Special Shares (which includes Class E Special Shares underlying options), (g) 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Common Shares on a one-for-one basis (unless adjusted as described herein) if certain Common Share price thresholds are met as described herein (collectively, the “DeepGreen Earnout Shares”); (iii) DeepGreen became a wholly-owned subsidiary of the Company; and (iv) DeepGreen and NewCo Sub amalgamated to continue as one unlimited liability company existing under the laws of British Columbia, Canada. In addition, we assumed the Allseas Warrant which became a warrant to purchase our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equal to the number of DeepGreen Common Shares subject to such option immediately prior to the Effective Time multiplied by the Per Share Consideration (as defined in the Business Combination Agreement), rounded down to the nearest whole number of shares, at an exercise price per share equal to the exercise price per share of such option immediately prior to the Effective Time divided by the Per Share Consideration, rounded up to the nearest whole cent. The time that the Arrangement became effective is referred to as the “Effective Time.”</w:t>
      </w:r>
    </w:p>
    <w:p>
      <w:pPr>
        <w:spacing w:after="0" w:line="318" w:lineRule="exact"/>
        <w:rPr>
          <w:sz w:val="20"/>
          <w:szCs w:val="20"/>
          <w:color w:val="auto"/>
        </w:rPr>
      </w:pPr>
    </w:p>
    <w:p>
      <w:pPr>
        <w:ind w:left="540" w:right="639" w:firstLine="432"/>
        <w:spacing w:after="0" w:line="291" w:lineRule="auto"/>
        <w:rPr>
          <w:sz w:val="20"/>
          <w:szCs w:val="20"/>
          <w:color w:val="auto"/>
        </w:rPr>
      </w:pPr>
      <w:r>
        <w:rPr>
          <w:rFonts w:ascii="Arial" w:cs="Arial" w:eastAsia="Arial" w:hAnsi="Arial"/>
          <w:sz w:val="16"/>
          <w:szCs w:val="16"/>
          <w:color w:val="auto"/>
        </w:rPr>
        <w:t>Immediately following the Continuance and prior to the Effective Time, Sustainable Opportunities Holdings LLC, a Delaware limited liability company (the “Sponsor”), exchanged 741,000 Common Shares (which consisted of the SOAC Class B ordinary shares prior to the Continuance) for 500,000 Class I Special Shares (the “Class I Special Shares”) and 741,000 Class J Special Shares, each of which is automatically convertible into Common Shares on a one-for-one basis if certain Common Share price thresholds are met as described herein (the “Class J Special Shares” and, together with the Class I Special Shares, the “Sponsor Earnout Shares” and, collectively with the DeepGreen Earnout Shares, the “Special Shares”).</w:t>
      </w:r>
    </w:p>
    <w:p>
      <w:pPr>
        <w:spacing w:after="0" w:line="85" w:lineRule="exact"/>
        <w:rPr>
          <w:sz w:val="20"/>
          <w:szCs w:val="20"/>
          <w:color w:val="auto"/>
        </w:rPr>
      </w:pPr>
    </w:p>
    <w:p>
      <w:pPr>
        <w:ind w:left="540" w:right="779" w:firstLine="432"/>
        <w:spacing w:after="0" w:line="289" w:lineRule="auto"/>
        <w:rPr>
          <w:sz w:val="20"/>
          <w:szCs w:val="20"/>
          <w:color w:val="auto"/>
        </w:rPr>
      </w:pPr>
      <w:r>
        <w:rPr>
          <w:rFonts w:ascii="Arial" w:cs="Arial" w:eastAsia="Arial" w:hAnsi="Arial"/>
          <w:sz w:val="16"/>
          <w:szCs w:val="16"/>
          <w:color w:val="auto"/>
        </w:rPr>
        <w:t>In connection with the foregoing and concurrently with the execution of the Business Combination Agreement, SOAC entered into Subscription Agreements (the “Subscription Agreements”) with certain investors (the “PIPE Investors”), pursuant to which the PIPE Investors agreed to purchase an aggregate of 11,030,000 Common Shares at a purchase price of $10.00 per share, for aggregate gross proceeds of $110,300,000 (the “PIPE Financing”). The PIPE Financing closed concurrently with the Business Combination. SOAC also entered into Subscription Agreements for an aggregate of 22,000,000 Common Shares, for a purchase price of $10.00 per share and an aggregate purchase price of $220,000,000 with two investors who defaulted on the Closing Date under the Subscription Agreements. The Company is aggressively pursuing its available remedies with respect to both investors.</w:t>
      </w:r>
    </w:p>
    <w:p>
      <w:pPr>
        <w:spacing w:after="0" w:line="99" w:lineRule="exact"/>
        <w:rPr>
          <w:sz w:val="20"/>
          <w:szCs w:val="20"/>
          <w:color w:val="auto"/>
        </w:rPr>
      </w:pPr>
    </w:p>
    <w:p>
      <w:pPr>
        <w:ind w:left="540" w:right="699" w:firstLine="432"/>
        <w:spacing w:after="0" w:line="291" w:lineRule="auto"/>
        <w:rPr>
          <w:sz w:val="20"/>
          <w:szCs w:val="20"/>
          <w:color w:val="auto"/>
        </w:rPr>
      </w:pPr>
      <w:r>
        <w:rPr>
          <w:rFonts w:ascii="Arial" w:cs="Arial" w:eastAsia="Arial" w:hAnsi="Arial"/>
          <w:sz w:val="16"/>
          <w:szCs w:val="16"/>
          <w:color w:val="auto"/>
        </w:rPr>
        <w:t>The total number of Common Shares outstanding immediately following the Closing was approximately 224,385,324 comprising (i) 203,874,981 Common Shares issued to DeepGreen shareholders,</w:t>
      </w:r>
    </w:p>
    <w:p>
      <w:pPr>
        <w:ind w:left="540" w:right="579" w:firstLine="4"/>
        <w:spacing w:after="0" w:line="295" w:lineRule="auto"/>
        <w:tabs>
          <w:tab w:leader="none" w:pos="805" w:val="left"/>
        </w:tabs>
        <w:numPr>
          <w:ilvl w:val="0"/>
          <w:numId w:val="5"/>
        </w:numPr>
        <w:rPr>
          <w:rFonts w:ascii="Arial" w:cs="Arial" w:eastAsia="Arial" w:hAnsi="Arial"/>
          <w:sz w:val="16"/>
          <w:szCs w:val="16"/>
          <w:color w:val="auto"/>
        </w:rPr>
      </w:pPr>
      <w:r>
        <w:rPr>
          <w:rFonts w:ascii="Arial" w:cs="Arial" w:eastAsia="Arial" w:hAnsi="Arial"/>
          <w:sz w:val="16"/>
          <w:szCs w:val="16"/>
          <w:color w:val="auto"/>
        </w:rPr>
        <w:t>11,030,000 Common Shares issued in connection with the Closing to the PIPE Investors pursuant to the PIPE Financing, (iii) 6,759,000 Common Shares held by the initial shareholders (which includes the Sponsor, Rick Gaenzle, Isaac Barchas and Justin Kelly, the “initial shareholders”) and (iv) 2,721,343 Common Shares held by public shareholders, reflecting redemptions of 27,278,657 Class A ordinary shares.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Exchange Listing</w:t>
      </w:r>
    </w:p>
    <w:p>
      <w:pPr>
        <w:spacing w:after="0" w:line="162" w:lineRule="exact"/>
        <w:rPr>
          <w:sz w:val="20"/>
          <w:szCs w:val="20"/>
          <w:color w:val="auto"/>
        </w:rPr>
      </w:pPr>
    </w:p>
    <w:p>
      <w:pPr>
        <w:ind w:left="540" w:right="759" w:firstLine="432"/>
        <w:spacing w:after="0" w:line="277" w:lineRule="auto"/>
        <w:rPr>
          <w:sz w:val="20"/>
          <w:szCs w:val="20"/>
          <w:color w:val="auto"/>
        </w:rPr>
      </w:pPr>
      <w:r>
        <w:rPr>
          <w:rFonts w:ascii="Arial" w:cs="Arial" w:eastAsia="Arial" w:hAnsi="Arial"/>
          <w:sz w:val="18"/>
          <w:szCs w:val="18"/>
          <w:color w:val="auto"/>
        </w:rPr>
        <w:t>Common Shares and Public Warrants are listed for trading on Nasdaq under the symbols “TMC” and “TMCWW”, respectively.</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62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jc w:val="both"/>
        <w:ind w:left="540" w:right="839" w:firstLine="432"/>
        <w:spacing w:after="0" w:line="301" w:lineRule="auto"/>
        <w:rPr>
          <w:sz w:val="20"/>
          <w:szCs w:val="20"/>
          <w:color w:val="auto"/>
        </w:rPr>
      </w:pPr>
      <w:r>
        <w:rPr>
          <w:rFonts w:ascii="Arial" w:cs="Arial" w:eastAsia="Arial" w:hAnsi="Arial"/>
          <w:sz w:val="16"/>
          <w:szCs w:val="16"/>
          <w:color w:val="auto"/>
        </w:rPr>
        <w:t>Investing in our securities involves risks. You should carefully consider the risks described in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beginning on page 13 before making a decision to invest in our Common Shares. If any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risks actually occurs, our business, financial condition and results of operations would likely be materially adversely affected. Some of the risks related our business and industry are summarized below.</w:t>
      </w:r>
    </w:p>
    <w:p>
      <w:pPr>
        <w:spacing w:after="0" w:line="90" w:lineRule="exact"/>
        <w:rPr>
          <w:sz w:val="20"/>
          <w:szCs w:val="20"/>
          <w:color w:val="auto"/>
        </w:rPr>
      </w:pPr>
    </w:p>
    <w:p>
      <w:pPr>
        <w:ind w:left="540" w:right="1099" w:firstLine="432"/>
        <w:spacing w:after="0" w:line="277" w:lineRule="auto"/>
        <w:rPr>
          <w:sz w:val="20"/>
          <w:szCs w:val="20"/>
          <w:color w:val="auto"/>
        </w:rPr>
      </w:pPr>
      <w:r>
        <w:rPr>
          <w:rFonts w:ascii="Arial" w:cs="Arial" w:eastAsia="Arial" w:hAnsi="Arial"/>
          <w:sz w:val="18"/>
          <w:szCs w:val="18"/>
          <w:color w:val="auto"/>
        </w:rPr>
        <w:t>References in the summary below to “we”, “us”, “our” and “the Company” refer to TMC and its subsidiaries.</w:t>
      </w:r>
    </w:p>
    <w:p>
      <w:pPr>
        <w:spacing w:after="0" w:line="89" w:lineRule="exact"/>
        <w:rPr>
          <w:sz w:val="20"/>
          <w:szCs w:val="20"/>
          <w:color w:val="auto"/>
        </w:rPr>
      </w:pPr>
    </w:p>
    <w:p>
      <w:pPr>
        <w:ind w:left="1400" w:right="679" w:hanging="424"/>
        <w:spacing w:after="0" w:line="272"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key exploration activities are, and our development activities are expected to be, undertaken primarily by our subsidiaries NORI and TOML, which are sponsored by Nauru and Tonga, respectively, and which require the continued sponsorship of those countries for such subsidiaries’ business operations. If either country ceases such sponsorship, NORI or TOML would need to seek sponsorship elsewhere, which could impact our operations as a group. Furthermore, changes in government regulation and political instability within these areas could impact our mineral exploration and future prospects in the CCZ.</w:t>
      </w:r>
    </w:p>
    <w:p>
      <w:pPr>
        <w:spacing w:after="0" w:line="109" w:lineRule="exact"/>
        <w:rPr>
          <w:rFonts w:ascii="Arial" w:cs="Arial" w:eastAsia="Arial" w:hAnsi="Arial"/>
          <w:sz w:val="17"/>
          <w:szCs w:val="17"/>
          <w:color w:val="auto"/>
        </w:rPr>
      </w:pPr>
    </w:p>
    <w:p>
      <w:pPr>
        <w:ind w:left="1400" w:right="619" w:hanging="424"/>
        <w:spacing w:after="0" w:line="259"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relies on the ability of NORI and TOML, as applicable, to obtain approval for necessary contracts to collect polymetallic nodules granted by the International Seabed Authority (“ISA”), among other regulators. The failure to obtain such approvals could disrupt or prohibit our operations.</w:t>
      </w:r>
    </w:p>
    <w:p>
      <w:pPr>
        <w:spacing w:after="0" w:line="119" w:lineRule="exact"/>
        <w:rPr>
          <w:rFonts w:ascii="Arial" w:cs="Arial" w:eastAsia="Arial" w:hAnsi="Arial"/>
          <w:sz w:val="18"/>
          <w:szCs w:val="18"/>
          <w:color w:val="auto"/>
        </w:rPr>
      </w:pPr>
    </w:p>
    <w:p>
      <w:pPr>
        <w:ind w:left="1400" w:right="599" w:hanging="424"/>
        <w:spacing w:after="0" w:line="270"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success will depend on our ability to attract skilled operators, maintenance technicians, engineers and other personnel required to operate our business. In the event that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 Our exploration, collecting, and processing activities are subject to laws, rules, regulations, environmental requirements, taxation and other policies that are subject to change and that may significantly impact our business, financial condition, liquidity and viability of operations.</w:t>
      </w:r>
    </w:p>
    <w:p>
      <w:pPr>
        <w:spacing w:after="0" w:line="99" w:lineRule="exact"/>
        <w:rPr>
          <w:rFonts w:ascii="Arial" w:cs="Arial" w:eastAsia="Arial" w:hAnsi="Arial"/>
          <w:sz w:val="17"/>
          <w:szCs w:val="17"/>
          <w:color w:val="auto"/>
        </w:rPr>
      </w:pPr>
    </w:p>
    <w:p>
      <w:pPr>
        <w:ind w:left="1400" w:right="739" w:hanging="424"/>
        <w:spacing w:after="0" w:line="259"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potential risks and liabilities associated with pollution of the environment that could occur as a result of exploration, development, production and processing activities. Such liabilities may impact the performance of our business or may require us to suspend our operations.</w:t>
      </w:r>
    </w:p>
    <w:p>
      <w:pPr>
        <w:spacing w:after="0" w:line="119" w:lineRule="exact"/>
        <w:rPr>
          <w:rFonts w:ascii="Arial" w:cs="Arial" w:eastAsia="Arial" w:hAnsi="Arial"/>
          <w:sz w:val="18"/>
          <w:szCs w:val="18"/>
          <w:color w:val="auto"/>
        </w:rPr>
      </w:pPr>
    </w:p>
    <w:p>
      <w:pPr>
        <w:ind w:left="1400" w:right="699" w:hanging="424"/>
        <w:spacing w:after="0" w:line="279"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Seafloor polymetallic nodules have never been commercially exploited. Mineral resource exploration is highly speculative and characterized by a number of significant risks including suitable equipment and favorable sea and climate conditions. We cannot guarantee that minerals will be discovered in sufficient grade or quantities to be commercially viable.</w:t>
      </w:r>
    </w:p>
    <w:p>
      <w:pPr>
        <w:spacing w:after="0" w:line="103" w:lineRule="exact"/>
        <w:rPr>
          <w:rFonts w:ascii="Arial" w:cs="Arial" w:eastAsia="Arial" w:hAnsi="Arial"/>
          <w:sz w:val="17"/>
          <w:szCs w:val="17"/>
          <w:color w:val="auto"/>
        </w:rPr>
      </w:pPr>
    </w:p>
    <w:p>
      <w:pPr>
        <w:ind w:left="1400" w:right="699" w:hanging="424"/>
        <w:spacing w:after="0" w:line="275"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Until mineral reserves and mineral resources are actually collected and processed, we must rely upon estimated calculations for the mineral resources and grades of mineralization in contract areas and estimated equipment production rates and collection efficiency, which might prove to be materially inaccurate and thus have an adverse impact on projections for our future revenues, cash flows, royalties, and development and operating expenditures.</w:t>
      </w:r>
    </w:p>
    <w:p>
      <w:pPr>
        <w:spacing w:after="0" w:line="95" w:lineRule="exact"/>
        <w:rPr>
          <w:rFonts w:ascii="Arial" w:cs="Arial" w:eastAsia="Arial" w:hAnsi="Arial"/>
          <w:sz w:val="17"/>
          <w:szCs w:val="17"/>
          <w:color w:val="auto"/>
        </w:rPr>
      </w:pPr>
    </w:p>
    <w:p>
      <w:pPr>
        <w:ind w:left="1400" w:right="659" w:hanging="424"/>
        <w:spacing w:after="0" w:line="25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polymetallic nodules that we recover will require specialized treatment and processing on high value equipment, which we may not be able to develop or which may not provide the projected metal recovery rates at the estimated project capital and operating costs, which could impact projections for our future revenues, cash flows, royalties, and development and operating expenditures.</w:t>
      </w:r>
    </w:p>
    <w:p>
      <w:pPr>
        <w:spacing w:after="0" w:line="120" w:lineRule="exact"/>
        <w:rPr>
          <w:rFonts w:ascii="Arial" w:cs="Arial" w:eastAsia="Arial" w:hAnsi="Arial"/>
          <w:sz w:val="18"/>
          <w:szCs w:val="18"/>
          <w:color w:val="auto"/>
        </w:rPr>
      </w:pPr>
    </w:p>
    <w:p>
      <w:pPr>
        <w:ind w:left="1400" w:right="839" w:hanging="424"/>
        <w:spacing w:after="0" w:line="275"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exploring, project development and future collecting, processing and refining operations involve many hazards and uncertainties which could result in damage to, or destruction of, production facilities, personal injury or death, environmental damage, delays in processing, increased production costs, asset write downs, monetary losses and legal liability, all of which could have an adverse effect on our business.</w:t>
      </w:r>
    </w:p>
    <w:p>
      <w:pPr>
        <w:spacing w:after="0" w:line="108" w:lineRule="exact"/>
        <w:rPr>
          <w:rFonts w:ascii="Arial" w:cs="Arial" w:eastAsia="Arial" w:hAnsi="Arial"/>
          <w:sz w:val="17"/>
          <w:szCs w:val="17"/>
          <w:color w:val="auto"/>
        </w:rPr>
      </w:pPr>
    </w:p>
    <w:p>
      <w:pPr>
        <w:jc w:val="both"/>
        <w:ind w:left="1400" w:right="81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and cannot provide assurance of profitability in the future. Our actual operating costs on a commercial scale may differ significantly from those that have been anticipated.</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13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61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existing and future strategic relationships to successfully explore, collect, process and refine polymetallic nodules. There can be no assurance that we will be able to continue to maintain and develop such relationships.</w:t>
      </w:r>
    </w:p>
    <w:p>
      <w:pPr>
        <w:spacing w:after="0" w:line="116" w:lineRule="exact"/>
        <w:rPr>
          <w:rFonts w:ascii="Arial" w:cs="Arial" w:eastAsia="Arial" w:hAnsi="Arial"/>
          <w:sz w:val="18"/>
          <w:szCs w:val="18"/>
          <w:color w:val="auto"/>
        </w:rPr>
      </w:pPr>
    </w:p>
    <w:p>
      <w:pPr>
        <w:ind w:left="1400" w:right="59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profitability of our nodule collecting and processing will be significantly affected by changes to the market price, demand and taxation of battery metals and manganese as well as the cost of power, petroleum fuels, and oil.</w:t>
      </w:r>
    </w:p>
    <w:p>
      <w:pPr>
        <w:spacing w:after="0" w:line="102" w:lineRule="exact"/>
        <w:rPr>
          <w:rFonts w:ascii="Arial" w:cs="Arial" w:eastAsia="Arial" w:hAnsi="Arial"/>
          <w:sz w:val="18"/>
          <w:szCs w:val="18"/>
          <w:color w:val="auto"/>
        </w:rPr>
      </w:pPr>
    </w:p>
    <w:p>
      <w:pPr>
        <w:ind w:left="1400" w:right="93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become subject to legal proceedings as well as pressure and lobbying from non-governmental organizations, particularly with respect to environmental concerns, which may cause significant disruption to our business.</w:t>
      </w:r>
    </w:p>
    <w:p>
      <w:pPr>
        <w:spacing w:after="0" w:line="116" w:lineRule="exact"/>
        <w:rPr>
          <w:rFonts w:ascii="Arial" w:cs="Arial" w:eastAsia="Arial" w:hAnsi="Arial"/>
          <w:sz w:val="18"/>
          <w:szCs w:val="18"/>
          <w:color w:val="auto"/>
        </w:rPr>
      </w:pPr>
    </w:p>
    <w:p>
      <w:pPr>
        <w:jc w:val="both"/>
        <w:ind w:left="1400" w:right="63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Offshore operations could be interrupted by non-governmental organizations or subject to piracy, which in the absence of strong enforcement by regulators, could negatively impact our ability to operate.</w:t>
      </w:r>
    </w:p>
    <w:p>
      <w:pPr>
        <w:spacing w:after="0" w:line="116" w:lineRule="exact"/>
        <w:rPr>
          <w:rFonts w:ascii="Arial" w:cs="Arial" w:eastAsia="Arial" w:hAnsi="Arial"/>
          <w:sz w:val="18"/>
          <w:szCs w:val="18"/>
          <w:color w:val="auto"/>
        </w:rPr>
      </w:pPr>
    </w:p>
    <w:p>
      <w:pPr>
        <w:jc w:val="both"/>
        <w:ind w:left="1400" w:right="69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which, if not corrected, could affect the reliability of our consolidated financial statements and have other adverse consequences.</w:t>
      </w:r>
    </w:p>
    <w:p>
      <w:pPr>
        <w:spacing w:after="0" w:line="102" w:lineRule="exact"/>
        <w:rPr>
          <w:rFonts w:ascii="Arial" w:cs="Arial" w:eastAsia="Arial" w:hAnsi="Arial"/>
          <w:sz w:val="18"/>
          <w:szCs w:val="18"/>
          <w:color w:val="auto"/>
        </w:rPr>
      </w:pPr>
    </w:p>
    <w:p>
      <w:pPr>
        <w:ind w:left="1400" w:right="65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subject to a variety of risks, some of which may not be covered by existing or future insurance policies, which may reduce or eliminate any future profitability and a decline in the value of our securities.</w:t>
      </w:r>
    </w:p>
    <w:p>
      <w:pPr>
        <w:spacing w:after="0" w:line="116" w:lineRule="exact"/>
        <w:rPr>
          <w:rFonts w:ascii="Arial" w:cs="Arial" w:eastAsia="Arial" w:hAnsi="Arial"/>
          <w:sz w:val="18"/>
          <w:szCs w:val="18"/>
          <w:color w:val="auto"/>
        </w:rPr>
      </w:pPr>
    </w:p>
    <w:p>
      <w:pPr>
        <w:ind w:left="1400" w:right="619" w:hanging="424"/>
        <w:spacing w:after="0" w:line="25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has and could continue to materially impact aspects of our business, including increasing the cost of operations and reducing employee productivity, limiting travel of personnel, adversely affecting the health and welfare of personnel, or preventing or delaying important third-party service providers from performing normal and contracted activities crucial to the operation of our business.</w:t>
      </w:r>
    </w:p>
    <w:p>
      <w:pPr>
        <w:spacing w:after="0" w:line="120" w:lineRule="exact"/>
        <w:rPr>
          <w:rFonts w:ascii="Arial" w:cs="Arial" w:eastAsia="Arial" w:hAnsi="Arial"/>
          <w:sz w:val="18"/>
          <w:szCs w:val="18"/>
          <w:color w:val="auto"/>
        </w:rPr>
      </w:pPr>
    </w:p>
    <w:p>
      <w:pPr>
        <w:ind w:left="1400" w:right="63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revenue will be diminished if we are unable to compete with substitutions for the minerals that we intend to process.</w:t>
      </w:r>
    </w:p>
    <w:p>
      <w:pPr>
        <w:spacing w:after="0" w:line="89" w:lineRule="exact"/>
        <w:rPr>
          <w:rFonts w:ascii="Arial" w:cs="Arial" w:eastAsia="Arial" w:hAnsi="Arial"/>
          <w:sz w:val="18"/>
          <w:szCs w:val="18"/>
          <w:color w:val="auto"/>
        </w:rPr>
      </w:pPr>
    </w:p>
    <w:p>
      <w:pPr>
        <w:ind w:left="1400" w:right="85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 parties to conduct independent analyses with respect to our business, and any inaccuracies in such analyses could have a material adverse effect on our collecting and development objectives.</w:t>
      </w:r>
    </w:p>
    <w:p>
      <w:pPr>
        <w:spacing w:after="0" w:line="116" w:lineRule="exact"/>
        <w:rPr>
          <w:rFonts w:ascii="Arial" w:cs="Arial" w:eastAsia="Arial" w:hAnsi="Arial"/>
          <w:sz w:val="18"/>
          <w:szCs w:val="18"/>
          <w:color w:val="auto"/>
        </w:rPr>
      </w:pPr>
    </w:p>
    <w:p>
      <w:pPr>
        <w:ind w:left="1400" w:right="579" w:hanging="424"/>
        <w:spacing w:after="0" w:line="275"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metals contained in the minerals that we intend to collect, process and refine are contemplated to be used in batteries for electric vehicles and energy storage; wiring, steel and manganese alloys. While we may identify other uses for the minerals we collect, the immediate growth of our business is correlated with the demand for electric vehicles, energy storage, wiring, steel and manganese alloys, which may not develop as expected.</w:t>
      </w:r>
    </w:p>
    <w:p>
      <w:pPr>
        <w:spacing w:after="0" w:line="108" w:lineRule="exact"/>
        <w:rPr>
          <w:rFonts w:ascii="Arial" w:cs="Arial" w:eastAsia="Arial" w:hAnsi="Arial"/>
          <w:sz w:val="17"/>
          <w:szCs w:val="17"/>
          <w:color w:val="auto"/>
        </w:rPr>
      </w:pPr>
    </w:p>
    <w:p>
      <w:pPr>
        <w:ind w:left="1400" w:right="619" w:hanging="424"/>
        <w:spacing w:after="0" w:line="259"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continuing exploration is capital intensive and may depend on our ability to obtain necessary financing or cause the business to incur debt. There is no assurance that we will be successful in obtaining the required financing for our operations or be able to satisfy any resulting debt obligations.</w:t>
      </w:r>
    </w:p>
    <w:p>
      <w:pPr>
        <w:spacing w:after="0" w:line="105" w:lineRule="exact"/>
        <w:rPr>
          <w:rFonts w:ascii="Arial" w:cs="Arial" w:eastAsia="Arial" w:hAnsi="Arial"/>
          <w:sz w:val="18"/>
          <w:szCs w:val="18"/>
          <w:color w:val="auto"/>
        </w:rPr>
      </w:pPr>
    </w:p>
    <w:p>
      <w:pPr>
        <w:ind w:left="1400" w:right="859" w:hanging="424"/>
        <w:spacing w:after="0" w:line="279"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There exist certain negative perceptions related to acquiring metals produced from deep-sea minerals. Some market proponents have recently expressed opposition to acquiring deep-sea derived metals, and if this position gains broad traction in the marketplace for EV and Battery metals, it could have a material impact on our business and operations.</w:t>
      </w:r>
    </w:p>
    <w:p>
      <w:pPr>
        <w:spacing w:after="0" w:line="103" w:lineRule="exact"/>
        <w:rPr>
          <w:rFonts w:ascii="Arial" w:cs="Arial" w:eastAsia="Arial" w:hAnsi="Arial"/>
          <w:sz w:val="17"/>
          <w:szCs w:val="17"/>
          <w:color w:val="auto"/>
        </w:rPr>
      </w:pPr>
    </w:p>
    <w:p>
      <w:pPr>
        <w:ind w:left="1400" w:right="59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capital intensive, and we may be required to raise additional funds in the future to accomplish our objectives.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540" w:right="819" w:firstLine="432"/>
        <w:spacing w:after="0" w:line="311" w:lineRule="auto"/>
        <w:rPr>
          <w:sz w:val="20"/>
          <w:szCs w:val="20"/>
          <w:color w:val="auto"/>
        </w:rPr>
      </w:pPr>
      <w:r>
        <w:rPr>
          <w:rFonts w:ascii="Arial" w:cs="Arial" w:eastAsia="Arial" w:hAnsi="Arial"/>
          <w:sz w:val="16"/>
          <w:szCs w:val="16"/>
          <w:color w:val="auto"/>
        </w:rPr>
        <w:t>SOAC was incorporated on December 18, 2019 as a Cayman Islands exempted company limited by shares and formed for the purpose of effecting a merger, share exchange, asset acquisition, share purchase, reorganization or similar business combination with one or more businesses.</w:t>
      </w:r>
    </w:p>
    <w:p>
      <w:pPr>
        <w:sectPr>
          <w:pgSz w:w="11900" w:h="16838" w:orient="portrait"/>
          <w:cols w:equalWidth="0" w:num="1">
            <w:col w:w="9019"/>
          </w:cols>
          <w:pgMar w:left="1440" w:top="274" w:right="1440" w:bottom="1440" w:gutter="0" w:footer="0" w:header="0"/>
          <w:type w:val="continuous"/>
        </w:sect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287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6287770"/>
                    </a:xfrm>
                    <a:prstGeom prst="rect">
                      <a:avLst/>
                    </a:prstGeom>
                    <a:noFill/>
                  </pic:spPr>
                </pic:pic>
              </a:graphicData>
            </a:graphic>
          </wp:anchor>
        </w:drawing>
      </w:r>
    </w:p>
    <w:p>
      <w:pPr>
        <w:spacing w:after="0" w:line="327" w:lineRule="exact"/>
        <w:rPr>
          <w:sz w:val="20"/>
          <w:szCs w:val="20"/>
          <w:color w:val="auto"/>
        </w:rPr>
      </w:pPr>
    </w:p>
    <w:p>
      <w:pPr>
        <w:ind w:left="540" w:right="599" w:firstLine="432"/>
        <w:spacing w:after="0" w:line="263" w:lineRule="auto"/>
        <w:rPr>
          <w:sz w:val="20"/>
          <w:szCs w:val="20"/>
          <w:color w:val="auto"/>
        </w:rPr>
      </w:pPr>
      <w:r>
        <w:rPr>
          <w:rFonts w:ascii="Arial" w:cs="Arial" w:eastAsia="Arial" w:hAnsi="Arial"/>
          <w:sz w:val="18"/>
          <w:szCs w:val="18"/>
          <w:color w:val="auto"/>
        </w:rPr>
        <w:t>On May 8, 2020, SOAC consummated an initial public offering of 30,000,000 units at an offering price of $10.00 per unit, and a private placement with Sponsor of 9,500,000 Private Placement Warrants at an offering price of $1.00 per warrant.</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DeepGreen was incorporated under the laws of the Province of British Columbia, Canada in 2011.</w:t>
      </w:r>
    </w:p>
    <w:p>
      <w:pPr>
        <w:spacing w:after="0" w:line="156" w:lineRule="exact"/>
        <w:rPr>
          <w:sz w:val="20"/>
          <w:szCs w:val="20"/>
          <w:color w:val="auto"/>
        </w:rPr>
      </w:pPr>
    </w:p>
    <w:p>
      <w:pPr>
        <w:ind w:left="540" w:right="739" w:firstLine="432"/>
        <w:spacing w:after="0" w:line="270" w:lineRule="auto"/>
        <w:rPr>
          <w:sz w:val="20"/>
          <w:szCs w:val="20"/>
          <w:color w:val="auto"/>
        </w:rPr>
      </w:pPr>
      <w:r>
        <w:rPr>
          <w:rFonts w:ascii="Arial" w:cs="Arial" w:eastAsia="Arial" w:hAnsi="Arial"/>
          <w:sz w:val="17"/>
          <w:szCs w:val="17"/>
          <w:color w:val="auto"/>
        </w:rPr>
        <w:t>On September 9, 2021, SOAC and DeepGreen completed the Business Combination, which included the migration and continuance of SOAC from the Cayman Islands to British Columbia, Canada and the acquisition by SOAC of all of the issued and outstanding common shares in the capital of DeepGreen in exchange for Common Shares and Special Shares, whereby DeepGreen became a wholly-owned subsidiary of the Company; and DeepGreen and NewCo Sub amalgamated to continue as one unlimited liability company existing under the laws of British Columbia, Canada, pursuant to a court-approved plan of arrangement under the BCBCA. As a result, DeepGreen became a wholly owned subsidiary of SOAC, SOAC’s corporate name was changed to TMC the metals company Inc. and the business of DeepGreen became the business of the Company.</w:t>
      </w:r>
    </w:p>
    <w:p>
      <w:pPr>
        <w:spacing w:after="0" w:line="113" w:lineRule="exact"/>
        <w:rPr>
          <w:sz w:val="20"/>
          <w:szCs w:val="20"/>
          <w:color w:val="auto"/>
        </w:rPr>
      </w:pPr>
    </w:p>
    <w:p>
      <w:pPr>
        <w:ind w:left="540" w:right="699" w:firstLine="432"/>
        <w:spacing w:after="0" w:line="268" w:lineRule="auto"/>
        <w:rPr>
          <w:sz w:val="20"/>
          <w:szCs w:val="20"/>
          <w:color w:val="auto"/>
        </w:rPr>
      </w:pPr>
      <w:r>
        <w:rPr>
          <w:rFonts w:ascii="Arial" w:cs="Arial" w:eastAsia="Arial" w:hAnsi="Arial"/>
          <w:sz w:val="17"/>
          <w:szCs w:val="17"/>
          <w:color w:val="auto"/>
        </w:rPr>
        <w:t>TMC’s principal executive offices are located at 595 Howe Street, 10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Floor, Vancouver, British Columbia V6C 2T5, and its telephone number is (574) 252-9333. TMC does not have a physical office in Vancouver, British Columbia, its directors and executive officers work remotely in various countries around the world, and the Vancouver, British Columbia address disclosed as its principal executive office has been provided because it is TMC’s records office required under the BCBCA.</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ind w:left="540" w:right="579" w:firstLine="432"/>
        <w:spacing w:after="0" w:line="286" w:lineRule="auto"/>
        <w:rPr>
          <w:sz w:val="20"/>
          <w:szCs w:val="20"/>
          <w:color w:val="auto"/>
        </w:rPr>
      </w:pPr>
      <w:r>
        <w:rPr>
          <w:rFonts w:ascii="Arial" w:cs="Arial" w:eastAsia="Arial" w:hAnsi="Arial"/>
          <w:sz w:val="16"/>
          <w:szCs w:val="16"/>
          <w:color w:val="auto"/>
        </w:rPr>
        <w:t>Section 102(b)(1) of the Jumpstart Our Business Startups Act of 2012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those of another public company that is not an emerging growth company or is an emerging growth company that has opted out of using the extended transition period, difficult or impossible because of the potential differences in accounting standards used.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540" w:right="599" w:firstLine="4"/>
        <w:spacing w:after="0" w:line="270" w:lineRule="auto"/>
        <w:tabs>
          <w:tab w:leader="none" w:pos="785" w:val="left"/>
        </w:tabs>
        <w:numPr>
          <w:ilvl w:val="0"/>
          <w:numId w:val="8"/>
        </w:numPr>
        <w:rPr>
          <w:rFonts w:ascii="Arial" w:cs="Arial" w:eastAsia="Arial" w:hAnsi="Arial"/>
          <w:sz w:val="17"/>
          <w:szCs w:val="17"/>
          <w:color w:val="auto"/>
        </w:rPr>
      </w:pPr>
      <w:r>
        <w:rPr>
          <w:rFonts w:ascii="Arial" w:cs="Arial" w:eastAsia="Arial" w:hAnsi="Arial"/>
          <w:sz w:val="17"/>
          <w:szCs w:val="17"/>
          <w:color w:val="auto"/>
        </w:rPr>
        <w:t>following the fifth anniversary of the closing of SOAC’s initial public offering, (b) in which we have total annual gross revenue of at least $1.07 billion, or (c) in which we are deemed to be a large accelerated filer, which means the market value of our common equity that is held by non-affiliates is $700 million or more as of the end of that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 w:name="page16"/>
    <w:bookmarkEnd w:id="1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73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84734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ind w:left="540"/>
        <w:spacing w:after="0"/>
        <w:tabs>
          <w:tab w:leader="none" w:pos="4480" w:val="left"/>
        </w:tabs>
        <w:rPr>
          <w:sz w:val="20"/>
          <w:szCs w:val="20"/>
          <w:color w:val="auto"/>
        </w:rPr>
      </w:pPr>
      <w:r>
        <w:rPr>
          <w:rFonts w:ascii="Arial" w:cs="Arial" w:eastAsia="Arial" w:hAnsi="Arial"/>
          <w:sz w:val="16"/>
          <w:szCs w:val="16"/>
          <w:color w:val="auto"/>
        </w:rPr>
        <w:t>Issuer</w:t>
      </w:r>
      <w:r>
        <w:rPr>
          <w:sz w:val="20"/>
          <w:szCs w:val="20"/>
          <w:color w:val="auto"/>
        </w:rPr>
        <w:tab/>
      </w:r>
      <w:r>
        <w:rPr>
          <w:rFonts w:ascii="Arial" w:cs="Arial" w:eastAsia="Arial" w:hAnsi="Arial"/>
          <w:sz w:val="16"/>
          <w:szCs w:val="16"/>
          <w:color w:val="auto"/>
        </w:rPr>
        <w:t>TMC the metals company Inc.</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Issuance of Common Shares</w:t>
      </w:r>
    </w:p>
    <w:p>
      <w:pPr>
        <w:sectPr>
          <w:pgSz w:w="11900" w:h="16838" w:orient="portrait"/>
          <w:cols w:equalWidth="0" w:num="1">
            <w:col w:w="9019"/>
          </w:cols>
          <w:pgMar w:left="1440" w:top="274" w:right="1440" w:bottom="1440" w:gutter="0" w:footer="0" w:header="0"/>
          <w:type w:val="continuous"/>
        </w:sectPr>
      </w:pPr>
    </w:p>
    <w:p>
      <w:pPr>
        <w:spacing w:after="0" w:line="202" w:lineRule="exact"/>
        <w:rPr>
          <w:sz w:val="20"/>
          <w:szCs w:val="20"/>
          <w:color w:val="auto"/>
        </w:rPr>
      </w:pPr>
    </w:p>
    <w:p>
      <w:pPr>
        <w:ind w:left="720" w:right="180" w:hanging="179"/>
        <w:spacing w:after="0" w:line="342" w:lineRule="auto"/>
        <w:rPr>
          <w:sz w:val="20"/>
          <w:szCs w:val="20"/>
          <w:color w:val="auto"/>
        </w:rPr>
      </w:pPr>
      <w:r>
        <w:rPr>
          <w:rFonts w:ascii="Arial" w:cs="Arial" w:eastAsia="Arial" w:hAnsi="Arial"/>
          <w:sz w:val="16"/>
          <w:szCs w:val="16"/>
          <w:color w:val="auto"/>
        </w:rPr>
        <w:t>Common Shares to be issued upon exercise of all Private Placement Warrants and Public Warrants</w:t>
      </w:r>
    </w:p>
    <w:p>
      <w:pPr>
        <w:spacing w:after="0" w:line="97" w:lineRule="exact"/>
        <w:rPr>
          <w:sz w:val="20"/>
          <w:szCs w:val="20"/>
          <w:color w:val="auto"/>
        </w:rPr>
      </w:pPr>
    </w:p>
    <w:p>
      <w:pPr>
        <w:ind w:left="720" w:right="140" w:hanging="179"/>
        <w:spacing w:after="0" w:line="277" w:lineRule="auto"/>
        <w:rPr>
          <w:sz w:val="20"/>
          <w:szCs w:val="20"/>
          <w:color w:val="auto"/>
        </w:rPr>
      </w:pPr>
      <w:r>
        <w:rPr>
          <w:rFonts w:ascii="Arial" w:cs="Arial" w:eastAsia="Arial" w:hAnsi="Arial"/>
          <w:sz w:val="18"/>
          <w:szCs w:val="18"/>
          <w:color w:val="auto"/>
        </w:rPr>
        <w:t>Common Shares outstanding prior to exercise of all warrants</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Resale of Common Shares and warrants</w:t>
      </w:r>
    </w:p>
    <w:p>
      <w:pPr>
        <w:spacing w:after="0" w:line="202" w:lineRule="exact"/>
        <w:rPr>
          <w:sz w:val="20"/>
          <w:szCs w:val="20"/>
          <w:color w:val="auto"/>
        </w:rPr>
      </w:pPr>
    </w:p>
    <w:p>
      <w:pPr>
        <w:ind w:left="720" w:hanging="179"/>
        <w:spacing w:after="0" w:line="286" w:lineRule="auto"/>
        <w:rPr>
          <w:sz w:val="20"/>
          <w:szCs w:val="20"/>
          <w:color w:val="auto"/>
        </w:rPr>
      </w:pPr>
      <w:r>
        <w:rPr>
          <w:rFonts w:ascii="Arial" w:cs="Arial" w:eastAsia="Arial" w:hAnsi="Arial"/>
          <w:sz w:val="16"/>
          <w:szCs w:val="16"/>
          <w:color w:val="auto"/>
        </w:rPr>
        <w:t>Common Shares offered by the Selling Securityholders (representing the Founder Shares, Common Shares that may be issued upon exercise of the Private Placement Warrants, Common Shares issued in the PIPE Financing, Common Shares issued or issuable to certain shareholders of DeepGreen pursuant to the Business Combination Agreement, including Common Shares that may be issued upon the conversion of DeepGreen Earnout Shares, Common Shares issuable upon the conversion of Sponsor Earnout Shares and Common Shares issued to certain service providers to Legacy DeepGreen)</w:t>
      </w:r>
    </w:p>
    <w:p>
      <w:pPr>
        <w:spacing w:after="0" w:line="147" w:lineRule="exact"/>
        <w:rPr>
          <w:sz w:val="20"/>
          <w:szCs w:val="20"/>
          <w:color w:val="auto"/>
        </w:rPr>
      </w:pPr>
    </w:p>
    <w:p>
      <w:pPr>
        <w:ind w:left="720" w:right="360" w:hanging="179"/>
        <w:spacing w:after="0" w:line="342" w:lineRule="auto"/>
        <w:rPr>
          <w:sz w:val="20"/>
          <w:szCs w:val="20"/>
          <w:color w:val="auto"/>
        </w:rPr>
      </w:pPr>
      <w:r>
        <w:rPr>
          <w:rFonts w:ascii="Arial" w:cs="Arial" w:eastAsia="Arial" w:hAnsi="Arial"/>
          <w:sz w:val="16"/>
          <w:szCs w:val="16"/>
          <w:color w:val="auto"/>
        </w:rPr>
        <w:t>Warrants offered by the Selling Securityholders (representing the Private Placement Warrants)</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Exercise price</w:t>
      </w: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Redemption</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24,500,000 shares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224,385,324 shares</w:t>
      </w:r>
      <w:r>
        <w:rPr>
          <w:rFonts w:ascii="Arial" w:cs="Arial" w:eastAsia="Arial" w:hAnsi="Arial"/>
          <w:sz w:val="20"/>
          <w:szCs w:val="20"/>
          <w:color w:val="auto"/>
          <w:vertAlign w:val="superscript"/>
        </w:rPr>
        <w:t>(1)</w:t>
      </w:r>
    </w:p>
    <w:p>
      <w:pPr>
        <w:spacing w:after="0" w:line="175" w:lineRule="exact"/>
        <w:rPr>
          <w:sz w:val="20"/>
          <w:szCs w:val="20"/>
          <w:color w:val="auto"/>
        </w:rPr>
      </w:pPr>
    </w:p>
    <w:p>
      <w:pPr>
        <w:ind w:right="739"/>
        <w:spacing w:after="0" w:line="259" w:lineRule="auto"/>
        <w:rPr>
          <w:sz w:val="20"/>
          <w:szCs w:val="20"/>
          <w:color w:val="auto"/>
        </w:rPr>
      </w:pPr>
      <w:r>
        <w:rPr>
          <w:rFonts w:ascii="Arial" w:cs="Arial" w:eastAsia="Arial" w:hAnsi="Arial"/>
          <w:sz w:val="18"/>
          <w:szCs w:val="18"/>
          <w:color w:val="auto"/>
        </w:rPr>
        <w:t>We will receive up to an aggregate of approximately $281,750,000 from the exercise of all 24,500,000 Warrants, assuming the exercise in full of such Warrants for cash.</w:t>
      </w:r>
    </w:p>
    <w:p>
      <w:pPr>
        <w:spacing w:after="0" w:line="119" w:lineRule="exact"/>
        <w:rPr>
          <w:sz w:val="20"/>
          <w:szCs w:val="20"/>
          <w:color w:val="auto"/>
        </w:rPr>
      </w:pPr>
    </w:p>
    <w:p>
      <w:pPr>
        <w:ind w:right="819"/>
        <w:spacing w:after="0" w:line="279" w:lineRule="auto"/>
        <w:rPr>
          <w:sz w:val="20"/>
          <w:szCs w:val="20"/>
          <w:color w:val="auto"/>
        </w:rPr>
      </w:pPr>
      <w:r>
        <w:rPr>
          <w:rFonts w:ascii="Arial" w:cs="Arial" w:eastAsia="Arial" w:hAnsi="Arial"/>
          <w:sz w:val="17"/>
          <w:szCs w:val="17"/>
          <w:color w:val="auto"/>
        </w:rPr>
        <w:t>Unless we inform you otherwise in a prospectus supplement or free writing prospectus, we intend to use the net proceeds from the exercise of such warrants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264,438,297 Common Shares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9,500,000 Private Placement Warrants</w:t>
      </w:r>
    </w:p>
    <w:p>
      <w:pPr>
        <w:spacing w:after="0" w:line="198" w:lineRule="exact"/>
        <w:rPr>
          <w:sz w:val="20"/>
          <w:szCs w:val="20"/>
          <w:color w:val="auto"/>
        </w:rPr>
      </w:pPr>
    </w:p>
    <w:p>
      <w:pPr>
        <w:ind w:right="779"/>
        <w:spacing w:after="0" w:line="277" w:lineRule="auto"/>
        <w:rPr>
          <w:sz w:val="20"/>
          <w:szCs w:val="20"/>
          <w:color w:val="auto"/>
        </w:rPr>
      </w:pPr>
      <w:r>
        <w:rPr>
          <w:rFonts w:ascii="Arial" w:cs="Arial" w:eastAsia="Arial" w:hAnsi="Arial"/>
          <w:sz w:val="18"/>
          <w:szCs w:val="18"/>
          <w:color w:val="auto"/>
        </w:rPr>
        <w:t>$11.50 per share, subject to adjustment as described herein</w:t>
      </w:r>
    </w:p>
    <w:p>
      <w:pPr>
        <w:spacing w:after="0" w:line="143" w:lineRule="exact"/>
        <w:rPr>
          <w:sz w:val="20"/>
          <w:szCs w:val="20"/>
          <w:color w:val="auto"/>
        </w:rPr>
      </w:pPr>
    </w:p>
    <w:p>
      <w:pPr>
        <w:ind w:right="579"/>
        <w:spacing w:after="0" w:line="263" w:lineRule="auto"/>
        <w:rPr>
          <w:sz w:val="20"/>
          <w:szCs w:val="20"/>
          <w:color w:val="auto"/>
        </w:rPr>
      </w:pPr>
      <w:r>
        <w:rPr>
          <w:rFonts w:ascii="Arial" w:cs="Arial" w:eastAsia="Arial" w:hAnsi="Arial"/>
          <w:sz w:val="18"/>
          <w:szCs w:val="18"/>
          <w:color w:val="auto"/>
        </w:rPr>
        <w:t>The Warrants are redeemable in certain circumstances. See “</w:t>
      </w:r>
      <w:r>
        <w:rPr>
          <w:rFonts w:ascii="Arial" w:cs="Arial" w:eastAsia="Arial" w:hAnsi="Arial"/>
          <w:sz w:val="18"/>
          <w:szCs w:val="18"/>
          <w:i w:val="1"/>
          <w:iCs w:val="1"/>
          <w:color w:val="auto"/>
        </w:rPr>
        <w:t>Description of Securities — Warrants</w:t>
      </w:r>
      <w:r>
        <w:rPr>
          <w:rFonts w:ascii="Arial" w:cs="Arial" w:eastAsia="Arial" w:hAnsi="Arial"/>
          <w:sz w:val="18"/>
          <w:szCs w:val="18"/>
          <w:color w:val="auto"/>
        </w:rPr>
        <w:t>” for further discussion.</w:t>
      </w:r>
    </w:p>
    <w:p>
      <w:pPr>
        <w:spacing w:after="0" w:line="157" w:lineRule="exact"/>
        <w:rPr>
          <w:sz w:val="20"/>
          <w:szCs w:val="20"/>
          <w:color w:val="auto"/>
        </w:rPr>
      </w:pPr>
    </w:p>
    <w:p>
      <w:pPr>
        <w:sectPr>
          <w:pgSz w:w="11900" w:h="16838" w:orient="portrait"/>
          <w:cols w:equalWidth="0" w:num="2">
            <w:col w:w="4400" w:space="100"/>
            <w:col w:w="4519"/>
          </w:cols>
          <w:pgMar w:left="1440" w:top="274" w:right="1440" w:bottom="1440" w:gutter="0" w:footer="0" w:header="0"/>
          <w:type w:val="continuous"/>
        </w:sectPr>
      </w:pPr>
    </w:p>
    <w:p>
      <w:pPr>
        <w:ind w:left="540"/>
        <w:spacing w:after="0"/>
        <w:tabs>
          <w:tab w:leader="none" w:pos="44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will not receive any proceeds from the sale of the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Common Shares and Warrants to be offered by the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Selling Securityholders. With respect to Common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Shares underlying the Warrants, we will not receive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any proceeds from such shares except with respect to</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amounts received by us upon exercise of such</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Warrants to the extent such Warrants are exercised</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for cash.</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80" w:right="619" w:hanging="436"/>
        <w:spacing w:after="0" w:line="278"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number of Common Shares outstanding as of September 9, 2021. The number of issued and outstanding Common Shares does not include the Common Shares reserved for issuance under the TMC Incentive Equity Plan or reserved for issuance upon conversion of the Special Shares.</w:t>
      </w:r>
    </w:p>
    <w:p>
      <w:pPr>
        <w:sectPr>
          <w:pgSz w:w="11900" w:h="16838" w:orient="portrait"/>
          <w:cols w:equalWidth="0" w:num="1">
            <w:col w:w="9019"/>
          </w:cols>
          <w:pgMar w:left="1440" w:top="274" w:right="1440" w:bottom="1440" w:gutter="0" w:footer="0" w:header="0"/>
          <w:type w:val="continuous"/>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p>
    <w:tbl>
      <w:tblPr>
        <w:tblLayout w:type="fixed"/>
        <w:tblInd w:w="470" w:type="dxa"/>
        <w:tblCellMar>
          <w:top w:w="0" w:type="dxa"/>
          <w:left w:w="0" w:type="dxa"/>
          <w:bottom w:w="0" w:type="dxa"/>
          <w:right w:w="0" w:type="dxa"/>
        </w:tblCellMar>
      </w:tblPr>
      <w:tr>
        <w:trPr>
          <w:trHeight w:val="563"/>
        </w:trPr>
        <w:tc>
          <w:tcPr>
            <w:tcW w:w="276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Lock-up agreements</w:t>
            </w:r>
          </w:p>
        </w:tc>
        <w:tc>
          <w:tcPr>
            <w:tcW w:w="534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8"/>
                <w:szCs w:val="18"/>
                <w:color w:val="auto"/>
              </w:rPr>
              <w:t>Certain of our stockholders are subject to certain</w:t>
            </w:r>
          </w:p>
        </w:tc>
      </w:tr>
      <w:tr>
        <w:trPr>
          <w:trHeight w:val="216"/>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restrictions on transfer until the termination of</w:t>
            </w:r>
          </w:p>
        </w:tc>
      </w:tr>
      <w:tr>
        <w:trPr>
          <w:trHeight w:val="216"/>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applicable lock-up periods. See “</w:t>
            </w:r>
            <w:r>
              <w:rPr>
                <w:rFonts w:ascii="Arial" w:cs="Arial" w:eastAsia="Arial" w:hAnsi="Arial"/>
                <w:sz w:val="18"/>
                <w:szCs w:val="18"/>
                <w:i w:val="1"/>
                <w:iCs w:val="1"/>
                <w:color w:val="auto"/>
              </w:rPr>
              <w:t>Plan of</w:t>
            </w:r>
          </w:p>
        </w:tc>
      </w:tr>
      <w:tr>
        <w:trPr>
          <w:trHeight w:val="216"/>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280"/>
              <w:spacing w:after="0"/>
              <w:rPr>
                <w:sz w:val="20"/>
                <w:szCs w:val="20"/>
                <w:color w:val="auto"/>
              </w:rPr>
            </w:pPr>
            <w:r>
              <w:rPr>
                <w:rFonts w:ascii="Arial" w:cs="Arial" w:eastAsia="Arial" w:hAnsi="Arial"/>
                <w:sz w:val="18"/>
                <w:szCs w:val="18"/>
                <w:i w:val="1"/>
                <w:iCs w:val="1"/>
                <w:color w:val="auto"/>
                <w:w w:val="98"/>
              </w:rPr>
              <w:t>Distribution — Amended and Restated Registration</w:t>
            </w:r>
          </w:p>
        </w:tc>
      </w:tr>
      <w:tr>
        <w:trPr>
          <w:trHeight w:val="230"/>
        </w:trPr>
        <w:tc>
          <w:tcPr>
            <w:tcW w:w="276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ind w:left="1280"/>
              <w:spacing w:after="0"/>
              <w:rPr>
                <w:sz w:val="20"/>
                <w:szCs w:val="20"/>
                <w:color w:val="auto"/>
              </w:rPr>
            </w:pPr>
            <w:r>
              <w:rPr>
                <w:rFonts w:ascii="Arial" w:cs="Arial" w:eastAsia="Arial" w:hAnsi="Arial"/>
                <w:sz w:val="18"/>
                <w:szCs w:val="18"/>
                <w:i w:val="1"/>
                <w:iCs w:val="1"/>
                <w:color w:val="auto"/>
              </w:rPr>
              <w:t>Rights Agreement</w:t>
            </w:r>
            <w:r>
              <w:rPr>
                <w:rFonts w:ascii="Arial" w:cs="Arial" w:eastAsia="Arial" w:hAnsi="Arial"/>
                <w:sz w:val="18"/>
                <w:szCs w:val="18"/>
                <w:color w:val="auto"/>
              </w:rPr>
              <w:t>” for further discussion.</w:t>
            </w:r>
          </w:p>
        </w:tc>
      </w:tr>
      <w:tr>
        <w:trPr>
          <w:trHeight w:val="377"/>
        </w:trPr>
        <w:tc>
          <w:tcPr>
            <w:tcW w:w="27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Ticker symbols</w:t>
            </w:r>
          </w:p>
        </w:tc>
        <w:tc>
          <w:tcPr>
            <w:tcW w:w="5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8"/>
              </w:rPr>
              <w:t>“TMC” and “TMCWW” for the Common Shares and</w:t>
            </w:r>
          </w:p>
        </w:tc>
      </w:tr>
      <w:tr>
        <w:trPr>
          <w:trHeight w:val="230"/>
        </w:trPr>
        <w:tc>
          <w:tcPr>
            <w:tcW w:w="276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Public Warrants, respectively.</w:t>
            </w:r>
          </w:p>
        </w:tc>
      </w:tr>
      <w:tr>
        <w:trPr>
          <w:trHeight w:val="415"/>
        </w:trPr>
        <w:tc>
          <w:tcPr>
            <w:tcW w:w="2760" w:type="dxa"/>
            <w:vAlign w:val="bottom"/>
            <w:tcBorders>
              <w:left w:val="single" w:sz="8" w:color="auto"/>
              <w:bottom w:val="single" w:sz="8" w:color="auto"/>
            </w:tcBorders>
          </w:tcPr>
          <w:p>
            <w:pPr>
              <w:spacing w:after="0"/>
              <w:rPr>
                <w:sz w:val="24"/>
                <w:szCs w:val="24"/>
                <w:color w:val="auto"/>
              </w:rPr>
            </w:pPr>
          </w:p>
        </w:tc>
        <w:tc>
          <w:tcPr>
            <w:tcW w:w="5340" w:type="dxa"/>
            <w:vAlign w:val="bottom"/>
            <w:tcBorders>
              <w:bottom w:val="single" w:sz="8" w:color="auto"/>
              <w:right w:val="single" w:sz="8" w:color="auto"/>
            </w:tcBorders>
          </w:tcPr>
          <w:p>
            <w:pPr>
              <w:spacing w:after="0"/>
              <w:rPr>
                <w:sz w:val="24"/>
                <w:szCs w:val="24"/>
                <w:color w:val="auto"/>
              </w:rPr>
            </w:pPr>
          </w:p>
        </w:tc>
      </w:tr>
      <w:tr>
        <w:trPr>
          <w:trHeight w:val="388"/>
        </w:trPr>
        <w:tc>
          <w:tcPr>
            <w:tcW w:w="27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739" w:firstLine="432"/>
        <w:spacing w:after="0" w:line="275" w:lineRule="auto"/>
        <w:rPr>
          <w:sz w:val="20"/>
          <w:szCs w:val="20"/>
          <w:color w:val="auto"/>
        </w:rPr>
      </w:pPr>
      <w:r>
        <w:rPr>
          <w:rFonts w:ascii="Arial" w:cs="Arial" w:eastAsia="Arial" w:hAnsi="Arial"/>
          <w:sz w:val="17"/>
          <w:szCs w:val="17"/>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prospectus. The trading price of our securities could decline due to any of these risks, and, as a result, you may lose all or part of your investment.</w:t>
      </w:r>
    </w:p>
    <w:p>
      <w:pPr>
        <w:spacing w:after="0" w:line="10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section to “we,” “us,” “our” and the “Company” refer to TMC the metals company Inc. and its subsidiaries following the Business Combination, or to DeepGreen or SOAC prior to the Business Combination, as the case may be.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Laws, Rules, Regulations and Policies</w:t>
      </w:r>
    </w:p>
    <w:p>
      <w:pPr>
        <w:spacing w:after="0" w:line="229"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Our business is subject to numerous regulatory uncertainties which, if not resolved in our favor, would have a material adverse impact on our business.</w:t>
      </w:r>
    </w:p>
    <w:p>
      <w:pPr>
        <w:spacing w:after="0" w:line="103"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To date, no commercial-scale collection (also referred to as “mining,” “exploitation” or “harvesting”) of nodules has occurred in the area of the high seas beyond national jurisdiction (the “Area”), which includes the CCZ. Moreover, despite the release by the International Seabed Authority (the “ISA”) of the Draft Regulations on Exploitation of Mineral Resources (the “Draft Regulations”), finalization of such regulations remains subject to approval and adoption by the ISA. The ISA was intending to have these regulations finalized by July 2020, but the COVID-19 pandemic disrupted ISA meetings and discussions. Once adopted, these regulations will create the legal and technical framework for exploitation of the polymetallic nodules in the NORI, TOML and Marawa Contract Areas.</w:t>
      </w:r>
    </w:p>
    <w:p>
      <w:pPr>
        <w:spacing w:after="0" w:line="97"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Section 1, paragraph 15 of the 1994 Agreement relating to the Implementation of Part XI of the United Nations Convention on the Law of the Sea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90"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 June 25, 2021, the Republic of Nauru submitted its notice to the ISA requesting that it complete,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 scale polymetallic nodule collection.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99"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We expect the final regulations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07"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will be required to complete baseline studies and an environmental and social impact assessment (“ESIA”), culminating in an Environmental Impact Statement (“EIS”), prior to collecting nodules.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11"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 order to collect the mineral resources and commercialize our projects, our wholly-owned subsidiaries Nauru Ocean Resources Inc. (“NORI”) and Tonga Offshore Mining Limited (“TOML”) will each need to obtain an ISA Exploitation Contract, as will our partner Marawa Research and Exploration Limited (“Marawa”), in addition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5" w:lineRule="auto"/>
        <w:rPr>
          <w:sz w:val="20"/>
          <w:szCs w:val="20"/>
          <w:color w:val="auto"/>
        </w:rPr>
      </w:pPr>
      <w:r>
        <w:rPr>
          <w:rFonts w:ascii="Arial" w:cs="Arial" w:eastAsia="Arial" w:hAnsi="Arial"/>
          <w:sz w:val="17"/>
          <w:szCs w:val="17"/>
          <w:color w:val="auto"/>
        </w:rPr>
        <w:t>to related permits that may be required by our commercial partners. There can be no assurance that the ISA will evaluate any exploration contract application by our subsidiaries in a timely manner. Even if the ISA timely evaluates such applications(s), our subsidiaries may be required to submit a supplementary EIS before obtaining approval. As such, there is a risk that an ISA Exploitation Contract may not be granted by the ISA, may not be granted on a timely basis, or may be granted on uneconomic terms.</w:t>
      </w:r>
    </w:p>
    <w:p>
      <w:pPr>
        <w:spacing w:after="0" w:line="109"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Similarly, with respect to sponsor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 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arrangements between our subsidiaries NORI and TOML and each of their host sponsoring nations, the Kingdom of Tonga and the Republic of Nauru, respectively. Each subsidiary has been registered and incorporated within such host nation and each nation has maintained effective supervision, regulation, and sponsorship over the conduct of such subsidiary. While we have beneficial ownership over such subsidiaries, we operate under the regulation and sponsorship of the Republic of Nauru and the Kingdom of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0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While the rates of payments are yet to be set by the ISA, the 1994 Agreement relating to the Implementation of Part XI of the UNCLOS of 10 December 1982 (the “1994 Implementation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Area.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resource activities are subject to changes in government regulation and political instability.</w:t>
      </w:r>
    </w:p>
    <w:p>
      <w:pPr>
        <w:spacing w:after="0" w:line="15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Parties carrying out exploration and collection operations in the Area must be sponsored by a State that is a member of the ISA. The sponsoring States of our subsidiaries NORI and TOML are Nauru and Tonga, respectively. If either country ceases such sponsorship, NORI or TOML would need to seek sponsorship elsewhere, which could impact our operations as a group.</w:t>
      </w:r>
    </w:p>
    <w:p>
      <w:pPr>
        <w:spacing w:after="0" w:line="119"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In addition, our subsidiary, DeepGreen Engineering Pte Ltd. (“DGE”), has an exclusive contract with Marawa, which is sponsored by the Republic of Kiribati that permits DGE to conduct activities in connection with the exploration contract held by Marawa with the ISA. 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Area.</w:t>
      </w:r>
    </w:p>
    <w:p>
      <w:pPr>
        <w:spacing w:after="0" w:line="127" w:lineRule="exact"/>
        <w:rPr>
          <w:sz w:val="20"/>
          <w:szCs w:val="20"/>
          <w:color w:val="auto"/>
        </w:rPr>
      </w:pPr>
    </w:p>
    <w:p>
      <w:pPr>
        <w:ind w:left="460" w:right="639" w:firstLine="432"/>
        <w:spacing w:after="0" w:line="270" w:lineRule="auto"/>
        <w:rPr>
          <w:sz w:val="20"/>
          <w:szCs w:val="20"/>
          <w:color w:val="auto"/>
        </w:rPr>
      </w:pPr>
      <w:r>
        <w:rPr>
          <w:rFonts w:ascii="Arial" w:cs="Arial" w:eastAsia="Arial" w:hAnsi="Arial"/>
          <w:sz w:val="17"/>
          <w:szCs w:val="17"/>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Area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72"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Changes to any of the laws, rules, regulations or policies to which we are subject could have a significant impact on our business.</w:t>
      </w:r>
    </w:p>
    <w:p>
      <w:pPr>
        <w:spacing w:after="0" w:line="103" w:lineRule="exact"/>
        <w:rPr>
          <w:sz w:val="20"/>
          <w:szCs w:val="20"/>
          <w:color w:val="auto"/>
        </w:rPr>
      </w:pPr>
    </w:p>
    <w:p>
      <w:pPr>
        <w:ind w:left="460" w:right="639" w:firstLine="432"/>
        <w:spacing w:after="0" w:line="291" w:lineRule="auto"/>
        <w:rPr>
          <w:sz w:val="20"/>
          <w:szCs w:val="20"/>
          <w:color w:val="auto"/>
        </w:rPr>
      </w:pPr>
      <w:r>
        <w:rPr>
          <w:rFonts w:ascii="Arial" w:cs="Arial" w:eastAsia="Arial" w:hAnsi="Arial"/>
          <w:sz w:val="16"/>
          <w:szCs w:val="16"/>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9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87" w:lineRule="exact"/>
        <w:rPr>
          <w:sz w:val="20"/>
          <w:szCs w:val="20"/>
          <w:color w:val="auto"/>
        </w:rPr>
      </w:pPr>
    </w:p>
    <w:p>
      <w:pPr>
        <w:ind w:left="460" w:right="639"/>
        <w:spacing w:after="0" w:line="259" w:lineRule="auto"/>
        <w:rPr>
          <w:sz w:val="20"/>
          <w:szCs w:val="20"/>
          <w:color w:val="auto"/>
        </w:rPr>
      </w:pPr>
      <w:r>
        <w:rPr>
          <w:rFonts w:ascii="Arial" w:cs="Arial" w:eastAsia="Arial" w:hAnsi="Arial"/>
          <w:sz w:val="18"/>
          <w:szCs w:val="18"/>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06"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harvested on a commercial scale, and it is not clear what environmental parameters may need to be measured to satisfy regulatory authorities for an ISA Exploitation Contract should be granted. A full ESIA for deep sea collecting operations has yet to be completed and approved by the ISA, and the full impact of any polymetallic nodule collecting operation on the environment has yet to be determined. Further, the required standards for an ESIA are currently unclear and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 Additionally, while we intend to produce seafloor polymetallic nodules in a way that mitigates and reduces potential damage to the seafloor and marine environmental conditions, we do not know whether the ISA or any other regulatory body will seek to impose onerous methods for the restoration of the area or rehabilitation obligations on our collecting process. Any such obligations, to the extent they are overly burdensome, could result in material changes to our business as currently contemplated.</w:t>
      </w:r>
    </w:p>
    <w:p>
      <w:pPr>
        <w:spacing w:after="0" w:line="124"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Although the environmental impact review process has not yet been finalized, all contractors have been made aware of the requirement to complete baseline studies and an ESIA, culminating in an Environmental Impact Statement (“EIS”), prior to collecting. The EIS would be accompanied by an Environmental Management and Monitoring Plan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8" w:lineRule="auto"/>
        <w:rPr>
          <w:sz w:val="20"/>
          <w:szCs w:val="20"/>
          <w:color w:val="auto"/>
        </w:rPr>
      </w:pPr>
      <w:r>
        <w:rPr>
          <w:rFonts w:ascii="Arial" w:cs="Arial" w:eastAsia="Arial" w:hAnsi="Arial"/>
          <w:sz w:val="16"/>
          <w:szCs w:val="16"/>
          <w:color w:val="auto"/>
        </w:rPr>
        <w:t>The EMMP will also be submitted to the ISA for approval as part of the ISA Exploitation Contract application. There are no guarantees that the ISA will evaluate any exploration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timely evaluates and approves an application, any aspect of such application and approval theoretically could be subject to legal challenges which could result in further delays that could detrimentally impact our business. For example, certain conservation groups have sought to impose a ten-year moratorium on deep-sea polymetallic nodule collection. While this agenda does not appear to have directly impacted the current proposed Final Regulations and implementation of the policies of the ISA, any such moratorium would have a material adverse effect on our business.</w:t>
      </w:r>
    </w:p>
    <w:p>
      <w:pPr>
        <w:spacing w:after="0" w:line="101"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environmental permitting process is expected to involve a series of checks and balances with reviews being conducted by the ISA, including technical evaluations by the ISA secretariat and a constituent body of the ISA known as the Legal and Technical Commission (the “LTC”). The recommendations of the LTC will then go before the ISA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390" w:lineRule="exact"/>
        <w:rPr>
          <w:sz w:val="20"/>
          <w:szCs w:val="20"/>
          <w:color w:val="auto"/>
        </w:rPr>
      </w:pPr>
    </w:p>
    <w:p>
      <w:pPr>
        <w:ind w:left="460" w:right="1259"/>
        <w:spacing w:after="0" w:line="277" w:lineRule="auto"/>
        <w:rPr>
          <w:sz w:val="20"/>
          <w:szCs w:val="20"/>
          <w:color w:val="auto"/>
        </w:rPr>
      </w:pPr>
      <w:r>
        <w:rPr>
          <w:rFonts w:ascii="Arial" w:cs="Arial" w:eastAsia="Arial" w:hAnsi="Arial"/>
          <w:sz w:val="18"/>
          <w:szCs w:val="18"/>
          <w:b w:val="1"/>
          <w:bCs w:val="1"/>
          <w:i w:val="1"/>
          <w:iCs w:val="1"/>
          <w:color w:val="auto"/>
        </w:rPr>
        <w:t>We may become subject to environmental liabilities as a result of noncompliance or newly imposed regulations.</w:t>
      </w:r>
    </w:p>
    <w:p>
      <w:pPr>
        <w:spacing w:after="0" w:line="103"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76"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25" w:lineRule="exact"/>
        <w:rPr>
          <w:sz w:val="20"/>
          <w:szCs w:val="20"/>
          <w:color w:val="auto"/>
        </w:rPr>
      </w:pPr>
    </w:p>
    <w:p>
      <w:pPr>
        <w:ind w:left="460" w:right="639" w:firstLine="432"/>
        <w:spacing w:after="0" w:line="272" w:lineRule="auto"/>
        <w:rPr>
          <w:sz w:val="20"/>
          <w:szCs w:val="20"/>
          <w:color w:val="auto"/>
        </w:rPr>
      </w:pPr>
      <w:r>
        <w:rPr>
          <w:rFonts w:ascii="Arial" w:cs="Arial" w:eastAsia="Arial" w:hAnsi="Arial"/>
          <w:sz w:val="17"/>
          <w:szCs w:val="17"/>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177" w:lineRule="exact"/>
        <w:rPr>
          <w:sz w:val="20"/>
          <w:szCs w:val="20"/>
          <w:color w:val="auto"/>
        </w:rPr>
      </w:pPr>
    </w:p>
    <w:p>
      <w:pPr>
        <w:ind w:left="460" w:right="579"/>
        <w:spacing w:after="0" w:line="277" w:lineRule="auto"/>
        <w:rPr>
          <w:sz w:val="20"/>
          <w:szCs w:val="20"/>
          <w:color w:val="auto"/>
        </w:rPr>
      </w:pPr>
      <w:r>
        <w:rPr>
          <w:rFonts w:ascii="Arial" w:cs="Arial" w:eastAsia="Arial" w:hAnsi="Arial"/>
          <w:sz w:val="18"/>
          <w:szCs w:val="18"/>
          <w:b w:val="1"/>
          <w:bCs w:val="1"/>
          <w:i w:val="1"/>
          <w:iCs w:val="1"/>
          <w:color w:val="auto"/>
        </w:rPr>
        <w:t>There is significant uncertainty regarding the impact of polymetallic nodule collection on biodiversity in the CCZ and recovery rates of impacted ecosystems.</w:t>
      </w:r>
    </w:p>
    <w:p>
      <w:pPr>
        <w:spacing w:after="0" w:line="103"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Potential future commercial-scale nodule collection operations in the CCZ are certain to disturb wildlife in the operating area. The nature and severity of these impacts on CCZ wildlife are expected to vary by species and are currently subject to significant uncertainty. Our studies cataloguing wildlife and ecosystem function, piloting the nodule collection system and assessing impacts arising from the use of this system are all currently in progress. Given the significant volume of deep water and the difficulty of sampling or retrieving biological specimens in</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 w:name="page22"/>
    <w:bookmarkEnd w:id="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color w:val="auto"/>
        </w:rPr>
        <w:t>the Area,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119"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It is also currently not definitively known how the risk of biodiversity loss in the CCZ could be eliminated or reduced through mitigation strategies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15% of nodule cover (by mass) and setting aside no-take zones, would aid recruitment and recovery of nodule-dependent species in impacted areas will depend on factors like habitat connectivity, which is an area that is still under study.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Exploration, Collecting, Processing, and Commercialization</w:t>
      </w:r>
    </w:p>
    <w:p>
      <w:pPr>
        <w:spacing w:after="0" w:line="229" w:lineRule="exact"/>
        <w:rPr>
          <w:sz w:val="20"/>
          <w:szCs w:val="20"/>
          <w:color w:val="auto"/>
        </w:rPr>
      </w:pPr>
    </w:p>
    <w:p>
      <w:pPr>
        <w:ind w:left="460" w:right="1119"/>
        <w:spacing w:after="0" w:line="277" w:lineRule="auto"/>
        <w:rPr>
          <w:sz w:val="20"/>
          <w:szCs w:val="20"/>
          <w:color w:val="auto"/>
        </w:rPr>
      </w:pPr>
      <w:r>
        <w:rPr>
          <w:rFonts w:ascii="Arial" w:cs="Arial" w:eastAsia="Arial" w:hAnsi="Arial"/>
          <w:sz w:val="18"/>
          <w:szCs w:val="18"/>
          <w:b w:val="1"/>
          <w:bCs w:val="1"/>
          <w:i w:val="1"/>
          <w:iCs w:val="1"/>
          <w:color w:val="auto"/>
        </w:rPr>
        <w:t>Our business is subject to significant risks, and we may never develop minerals in sufficient grade or quantities to justify commercial operations.</w:t>
      </w:r>
    </w:p>
    <w:p>
      <w:pPr>
        <w:spacing w:after="0" w:line="103"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1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No deep-sea polymetallic properties in the Area that have been identified have as of today been developed into production. Exploration risk exists in the discovery, location, definition and recovery of seafloor polymetallic nodule deposits. Many companies fail to ever locate an economic deposit, and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17" w:lineRule="exact"/>
        <w:rPr>
          <w:sz w:val="20"/>
          <w:szCs w:val="20"/>
          <w:color w:val="auto"/>
        </w:rPr>
      </w:pPr>
    </w:p>
    <w:p>
      <w:pPr>
        <w:ind w:left="460" w:right="639" w:firstLine="432"/>
        <w:spacing w:after="0" w:line="287" w:lineRule="auto"/>
        <w:rPr>
          <w:sz w:val="20"/>
          <w:szCs w:val="20"/>
          <w:color w:val="auto"/>
        </w:rPr>
      </w:pPr>
      <w:r>
        <w:rPr>
          <w:rFonts w:ascii="Arial" w:cs="Arial" w:eastAsia="Arial" w:hAnsi="Arial"/>
          <w:sz w:val="16"/>
          <w:szCs w:val="16"/>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04" w:lineRule="exact"/>
        <w:rPr>
          <w:sz w:val="20"/>
          <w:szCs w:val="20"/>
          <w:color w:val="auto"/>
        </w:rPr>
      </w:pPr>
    </w:p>
    <w:p>
      <w:pPr>
        <w:ind w:left="460" w:right="1039" w:firstLine="432"/>
        <w:spacing w:after="0" w:line="259" w:lineRule="auto"/>
        <w:rPr>
          <w:sz w:val="20"/>
          <w:szCs w:val="20"/>
          <w:color w:val="auto"/>
        </w:rPr>
      </w:pPr>
      <w:r>
        <w:rPr>
          <w:rFonts w:ascii="Arial" w:cs="Arial" w:eastAsia="Arial" w:hAnsi="Arial"/>
          <w:sz w:val="18"/>
          <w:szCs w:val="18"/>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999"/>
        <w:spacing w:after="0" w:line="342" w:lineRule="auto"/>
        <w:rPr>
          <w:sz w:val="20"/>
          <w:szCs w:val="20"/>
          <w:color w:val="auto"/>
        </w:rPr>
      </w:pPr>
      <w:r>
        <w:rPr>
          <w:rFonts w:ascii="Arial" w:cs="Arial" w:eastAsia="Arial" w:hAnsi="Arial"/>
          <w:sz w:val="16"/>
          <w:szCs w:val="16"/>
          <w:b w:val="1"/>
          <w:bCs w:val="1"/>
          <w:i w:val="1"/>
          <w:iCs w:val="1"/>
          <w:color w:val="auto"/>
        </w:rPr>
        <w:t>No seafloor polymetallic nodule deposit has ever been commercially developed, and our collection and development plans and processes may not be sufficient to accomplish our objectives.</w:t>
      </w:r>
    </w:p>
    <w:p>
      <w:pPr>
        <w:spacing w:after="0" w:line="4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Seafloor polymetallic nodules have never been commercially mined, and there is a risk that our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We have partnered with Allseas, a leading global offshore contractor, to undertake a pre-production pilot collection system test in which a collector vehicle, a riser and lift system (“RALS”) and other systems will be tested. Although we expect the pilot collection system test to be successful, there can be no assurance that it will be, or that their technology will eventually be adequate for full scale commercial production, or that our intention to partner with Allseas in the initial production activities in one or more of our contract areas will be agreed with Allseas, hence we may be delayed in obtaining offshore collection equipment in the event we do not reach agreement with Allseas and have to develop such equipment on our own or through new third-party contractual relationships.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Mineral resource calculations from the contract areas of NORI and TOML are only estimates.</w:t>
      </w:r>
    </w:p>
    <w:p>
      <w:pPr>
        <w:spacing w:after="0" w:line="158"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Calculations of mineral resources from the contract areas of NORI and TOML described in this prospectus and reported in technical reports prepared by AMC are only estimates and depend on geological interpretation and statistical inferences or assumptions drawn from recovery and sampling analysis, which might prove to be materially inaccurate. While these reports have been provided by experts, there is a degree of uncertainty attributable to the calculation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and collection efficiency.</w:t>
      </w:r>
    </w:p>
    <w:p>
      <w:pPr>
        <w:spacing w:after="0" w:line="101" w:lineRule="exact"/>
        <w:rPr>
          <w:sz w:val="20"/>
          <w:szCs w:val="20"/>
          <w:color w:val="auto"/>
        </w:rPr>
      </w:pPr>
    </w:p>
    <w:p>
      <w:pPr>
        <w:ind w:left="460" w:right="839" w:firstLine="432"/>
        <w:spacing w:after="0" w:line="257" w:lineRule="auto"/>
        <w:rPr>
          <w:sz w:val="20"/>
          <w:szCs w:val="20"/>
          <w:color w:val="auto"/>
        </w:rPr>
      </w:pPr>
      <w:r>
        <w:rPr>
          <w:rFonts w:ascii="Arial" w:cs="Arial" w:eastAsia="Arial" w:hAnsi="Arial"/>
          <w:sz w:val="18"/>
          <w:szCs w:val="18"/>
          <w:color w:val="auto"/>
        </w:rPr>
        <w:t>The estimation of mineral reserves and mineral resources is a subjective process that is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107"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98" w:lineRule="exact"/>
        <w:rPr>
          <w:sz w:val="20"/>
          <w:szCs w:val="20"/>
          <w:color w:val="auto"/>
        </w:rPr>
      </w:pPr>
    </w:p>
    <w:p>
      <w:pPr>
        <w:ind w:left="460" w:right="779" w:firstLine="432"/>
        <w:spacing w:after="0" w:line="296" w:lineRule="auto"/>
        <w:rPr>
          <w:sz w:val="20"/>
          <w:szCs w:val="20"/>
          <w:color w:val="auto"/>
        </w:rPr>
      </w:pPr>
      <w:r>
        <w:rPr>
          <w:rFonts w:ascii="Arial" w:cs="Arial" w:eastAsia="Arial" w:hAnsi="Arial"/>
          <w:sz w:val="16"/>
          <w:szCs w:val="16"/>
          <w:color w:val="auto"/>
        </w:rPr>
        <w:t>The mineral resource estimates in this prospectus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94" w:lineRule="exact"/>
        <w:rPr>
          <w:sz w:val="20"/>
          <w:szCs w:val="20"/>
          <w:color w:val="auto"/>
        </w:rPr>
      </w:pPr>
    </w:p>
    <w:p>
      <w:pPr>
        <w:ind w:left="460" w:right="679" w:firstLine="432"/>
        <w:spacing w:after="0" w:line="311" w:lineRule="auto"/>
        <w:rPr>
          <w:sz w:val="20"/>
          <w:szCs w:val="20"/>
          <w:color w:val="auto"/>
        </w:rPr>
      </w:pPr>
      <w:r>
        <w:rPr>
          <w:rFonts w:ascii="Arial" w:cs="Arial" w:eastAsia="Arial" w:hAnsi="Arial"/>
          <w:sz w:val="16"/>
          <w:szCs w:val="16"/>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639"/>
        <w:spacing w:after="0" w:line="342" w:lineRule="auto"/>
        <w:rPr>
          <w:sz w:val="20"/>
          <w:szCs w:val="20"/>
          <w:color w:val="auto"/>
        </w:rPr>
      </w:pPr>
      <w:r>
        <w:rPr>
          <w:rFonts w:ascii="Arial" w:cs="Arial" w:eastAsia="Arial" w:hAnsi="Arial"/>
          <w:sz w:val="16"/>
          <w:szCs w:val="16"/>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43"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grades of the seafloor polymetallic nodule deposits that we intend to develop and commercialize are estimates that may prove to be inaccurate. While limited samples have been collected and analyzed, there are no guarantees that our projections of quality will hold true with respect to the polymetallic nodule deposits that we are able to collect from the seafloor. Actual grades may vary from our estimates, which could have a material adverse impact on our projections for future revenues, cash flows, royalties, and development and operating expenditures.</w:t>
      </w:r>
    </w:p>
    <w:p>
      <w:pPr>
        <w:spacing w:after="0" w:line="125"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addition, the precise form of mineral occurrence, grade, and tonnage, which is projected based on the mapping and analysis of samples, are not yet known. There is a risk that the sampling and imaging that has been completed to date, and that which will need to be completed in the future, has not and/or will not allow us to accurately quantify the tonnage and grade of identified polymetallic nodule deposits. Moreover, the projections or classifications based on such sampling could result in inaccurate environmental, geological or metallurgical assumptions (including with respect to the size, grade and/or recoverability of minerals) or incorrect assumptions concerning economic recoverability.</w:t>
      </w:r>
    </w:p>
    <w:p>
      <w:pPr>
        <w:spacing w:after="0" w:line="195"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Uncertainty in our estimates of polymetallic nodule deposits could result in lower than expected revenues and higher costs.</w:t>
      </w:r>
    </w:p>
    <w:p>
      <w:pPr>
        <w:spacing w:after="0" w:line="103"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84" w:lineRule="exact"/>
        <w:rPr>
          <w:sz w:val="20"/>
          <w:szCs w:val="20"/>
          <w:color w:val="auto"/>
        </w:rPr>
      </w:pPr>
    </w:p>
    <w:p>
      <w:pPr>
        <w:ind w:left="1320" w:right="579" w:hanging="434"/>
        <w:spacing w:after="0" w:line="277" w:lineRule="auto"/>
        <w:tabs>
          <w:tab w:leader="none" w:pos="13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geological, geotechnical, collecting and processing conditions that may not be fully identified by available data or that may differ from experience;</w:t>
      </w:r>
    </w:p>
    <w:p>
      <w:pPr>
        <w:spacing w:after="0" w:line="102" w:lineRule="exact"/>
        <w:rPr>
          <w:rFonts w:ascii="Arial" w:cs="Arial" w:eastAsia="Arial" w:hAnsi="Arial"/>
          <w:sz w:val="18"/>
          <w:szCs w:val="18"/>
          <w:color w:val="auto"/>
        </w:rPr>
      </w:pPr>
    </w:p>
    <w:p>
      <w:pPr>
        <w:ind w:left="1320" w:right="699" w:hanging="434"/>
        <w:spacing w:after="0" w:line="342" w:lineRule="auto"/>
        <w:tabs>
          <w:tab w:leader="none" w:pos="1311"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to the strategic approach to collecting and processing, which will depend in large part on market demand, corporate strategy and other prevailing economic and financial conditions;</w:t>
      </w:r>
    </w:p>
    <w:p>
      <w:pPr>
        <w:spacing w:after="0" w:line="56" w:lineRule="exact"/>
        <w:rPr>
          <w:rFonts w:ascii="Arial" w:cs="Arial" w:eastAsia="Arial" w:hAnsi="Arial"/>
          <w:sz w:val="16"/>
          <w:szCs w:val="16"/>
          <w:color w:val="auto"/>
        </w:rPr>
      </w:pPr>
    </w:p>
    <w:p>
      <w:pPr>
        <w:ind w:left="1320" w:right="639" w:hanging="434"/>
        <w:spacing w:after="0" w:line="263" w:lineRule="auto"/>
        <w:tabs>
          <w:tab w:leader="none" w:pos="13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assumptions concerning future prices of products (including, most notably, battery metals) foreign exchange rates, production rates, process recovery rates, transportation costs, operating costs, capital costs and reclamation costs; and</w:t>
      </w:r>
    </w:p>
    <w:p>
      <w:pPr>
        <w:spacing w:after="0" w:line="102"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16"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Uncertainty in estimates related to the availability of polymetallic nodules could result in lower than 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61" w:lineRule="exact"/>
        <w:rPr>
          <w:sz w:val="20"/>
          <w:szCs w:val="20"/>
          <w:color w:val="auto"/>
        </w:rPr>
      </w:pPr>
    </w:p>
    <w:p>
      <w:pPr>
        <w:jc w:val="both"/>
        <w:ind w:left="460" w:right="539"/>
        <w:spacing w:after="0" w:line="340" w:lineRule="auto"/>
        <w:rPr>
          <w:sz w:val="20"/>
          <w:szCs w:val="20"/>
          <w:color w:val="auto"/>
        </w:rPr>
      </w:pPr>
      <w:r>
        <w:rPr>
          <w:rFonts w:ascii="Arial" w:cs="Arial" w:eastAsia="Arial" w:hAnsi="Arial"/>
          <w:sz w:val="15"/>
          <w:szCs w:val="15"/>
          <w:b w:val="1"/>
          <w:bCs w:val="1"/>
          <w:i w:val="1"/>
          <w:iCs w:val="1"/>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63"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The polymetallic nodules that our subsidiaries may recover will comprise a mixture of base metals in varying proportions, which will likely necessitate specialized treatment by mineral processing plants or smelters. To date, no polymetallic nodule deposits have been collected and treated for recovery of metal products on a commercial scale, and there is a risk that such treatment may not be economically viable and/or that the nodules being treated will contain elements or compounds that would render them unsuitable for treatment.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To date, no commercial-scale plants have been built to process polymetallic nodules. While Hatch Ltd. (“Hatch”), a global engineering, project management, and professional services firm, has helped us to develop a processing flowsheet with zero solid waste and is working with us in the development of a pilot plant processing program, the actual percentage recovery of metals may vary significantly from that forecast, and we are in the process of conducting a pilot scale metallurgical test-work program to determine our ability to expand such program into a full operational system.</w:t>
      </w:r>
    </w:p>
    <w:p>
      <w:pPr>
        <w:spacing w:after="0" w:line="125"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Should our nodule collection plans become successful, we intend to develop land-based processing plants or partner with existing land-based processing partners. Furthermore, our future needs with respect to such processing plants have yet to be fully determined, and as such, the capital costs, performance, reliability, and maintenance of such plants is currently uncertain. While we believe that we have identified specific sites for the potential construction of such plants (based on factors such as proximity to deep-water ports, cost and source of electric power and natural gas, and proximity to customers), there is a risk that we will be unable to secure one or more of these sites on suitable terms. In the event that we are unable to secure one or more of the sites we have identified, or if construction delays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0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We have identified potential tolling facilities to process nodules to Cu-Ni-Co alloy and Mn silicate, and developed a marketing strategy to place these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(either through ground-up construction or tolling arrangements), there is no guarantee that we will be able to provide them with the required nodule feedstocks at the required times. 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165" w:lineRule="exact"/>
        <w:rPr>
          <w:sz w:val="20"/>
          <w:szCs w:val="20"/>
          <w:color w:val="auto"/>
        </w:rPr>
      </w:pPr>
    </w:p>
    <w:p>
      <w:pPr>
        <w:ind w:left="460" w:right="919"/>
        <w:spacing w:after="0" w:line="277" w:lineRule="auto"/>
        <w:rPr>
          <w:sz w:val="20"/>
          <w:szCs w:val="20"/>
          <w:color w:val="auto"/>
        </w:rPr>
      </w:pPr>
      <w:r>
        <w:rPr>
          <w:rFonts w:ascii="Arial" w:cs="Arial" w:eastAsia="Arial" w:hAnsi="Arial"/>
          <w:sz w:val="18"/>
          <w:szCs w:val="18"/>
          <w:b w:val="1"/>
          <w:bCs w:val="1"/>
          <w:i w:val="1"/>
          <w:iCs w:val="1"/>
          <w:color w:val="auto"/>
        </w:rPr>
        <w:t>Our exploration and polymetallic nodule collecting activities may be affected by natural hazards, which could have a material adverse effect on our business.</w:t>
      </w:r>
    </w:p>
    <w:p>
      <w:pPr>
        <w:spacing w:after="0" w:line="89"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Deep-sea mineral exploration and collection activities are inherently difficult and dangerous and may be delayed or suspended by severe weather events and climate change, sea conditions or other natural hazards, including storms, hurricanes and unpredictable weather patterns. In addition, even though sea conditions in a particular location may be somewhat predictable, the possibility exists that unexpected conditions may occur that adversely affect our operations. Seafloor mineral collection activities may be subject to interruptions resulting from weather and related marine conditions that adversely affect our collection operations or the ports of delivery and any such delays could have a material adverse effect on our business.</w:t>
      </w:r>
    </w:p>
    <w:p>
      <w:pPr>
        <w:spacing w:after="0" w:line="166"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Nodule Collection, development and processing operations pose inherent risks and costs that may negatively impact our business.</w:t>
      </w:r>
    </w:p>
    <w:p>
      <w:pPr>
        <w:spacing w:after="0" w:line="103"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Collection, development and processing operations involve many hazards and uncertainties, including, among others:</w:t>
      </w:r>
    </w:p>
    <w:p>
      <w:pPr>
        <w:spacing w:after="0" w:line="103" w:lineRule="exact"/>
        <w:rPr>
          <w:sz w:val="20"/>
          <w:szCs w:val="20"/>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metallurgical or other processing problems;</w:t>
      </w:r>
    </w:p>
    <w:p>
      <w:pPr>
        <w:spacing w:after="0" w:line="144"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technical and operational challenges in the collection and expansion of maritime collection activities;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transferring nodules to transport vessels and delivering nodules to port;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industrial accidents;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unusual and unexpected water conditions;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seafloor conditions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environmental conditions, including contamination or leakage;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periodic interruptions due to inclement or hazardous weather conditions or other acts of nature;</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fires;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piracy and disruptive action by non-governmental actors opposed to deep sea collection;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organized labor disputes or work slow-downs;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mechanical equipment failure and facility performance problems;</w:t>
      </w:r>
    </w:p>
    <w:p>
      <w:pPr>
        <w:spacing w:after="0" w:line="157"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financing, market demand, critical technology and equipment, and skilled labor; and</w:t>
      </w:r>
    </w:p>
    <w:p>
      <w:pPr>
        <w:spacing w:after="0" w:line="89"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suppliers to provide key process inputs like electricity, gas, coal and processing reagents on a timely basis at the prices that have been forecast.</w:t>
      </w:r>
    </w:p>
    <w:p>
      <w:pPr>
        <w:spacing w:after="0" w:line="10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110"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There exist certain negative perceptions related to acquiring metals produced from deep sea minerals. Some market proponents have recently expressed opposition to acquiring deep-see mineral derived metals, and if this position gains broad traction in the marketplace for EV and Battery metals, it could have a material impact on our business and operations.</w:t>
      </w:r>
    </w:p>
    <w:p>
      <w:pPr>
        <w:spacing w:after="0" w:line="187" w:lineRule="exact"/>
        <w:rPr>
          <w:sz w:val="20"/>
          <w:szCs w:val="20"/>
          <w:color w:val="auto"/>
        </w:rPr>
      </w:pPr>
    </w:p>
    <w:p>
      <w:pPr>
        <w:ind w:left="460" w:right="599"/>
        <w:spacing w:after="0" w:line="340" w:lineRule="auto"/>
        <w:rPr>
          <w:sz w:val="20"/>
          <w:szCs w:val="20"/>
          <w:color w:val="auto"/>
        </w:rPr>
      </w:pPr>
      <w:r>
        <w:rPr>
          <w:rFonts w:ascii="Arial" w:cs="Arial" w:eastAsia="Arial" w:hAnsi="Arial"/>
          <w:sz w:val="15"/>
          <w:szCs w:val="15"/>
          <w:b w:val="1"/>
          <w:bCs w:val="1"/>
          <w:i w:val="1"/>
          <w:iCs w:val="1"/>
          <w:color w:val="auto"/>
        </w:rPr>
        <w:t>Fluctuations in transportation costs or disruptions in transportation services or damage or loss during transport could decrease our competitiveness or impair our ability to supply polymetallic nodules, processed minerals or products to our customers, which could adversely affect our results of operations.</w:t>
      </w:r>
    </w:p>
    <w:p>
      <w:pPr>
        <w:spacing w:after="0" w:line="50"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Once our subsidiaries have been able to successfully develop their properties, they will be required to transport minerals to facilities for processing.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government restrictions, work stoppages, pandemics, derailments, damage or loss events, adverse weather conditions, vessel groundings inhibiting access to key navigation routes,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166" w:lineRule="exact"/>
        <w:rPr>
          <w:sz w:val="20"/>
          <w:szCs w:val="20"/>
          <w:color w:val="auto"/>
        </w:rPr>
      </w:pPr>
    </w:p>
    <w:p>
      <w:pPr>
        <w:ind w:left="460" w:right="819"/>
        <w:spacing w:after="0" w:line="277" w:lineRule="auto"/>
        <w:rPr>
          <w:sz w:val="20"/>
          <w:szCs w:val="20"/>
          <w:color w:val="auto"/>
        </w:rPr>
      </w:pPr>
      <w:r>
        <w:rPr>
          <w:rFonts w:ascii="Arial" w:cs="Arial" w:eastAsia="Arial" w:hAnsi="Arial"/>
          <w:sz w:val="18"/>
          <w:szCs w:val="18"/>
          <w:b w:val="1"/>
          <w:bCs w:val="1"/>
          <w:i w:val="1"/>
          <w:iCs w:val="1"/>
          <w:color w:val="auto"/>
        </w:rPr>
        <w:t>Some of the equipment that we will need to accomplish our objectives has not been manufactured and/or tested.</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subsidiaries will need to rely on high value equipment for collection and transport of materials. Much of this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Moreover, our future needs with respect to sub-sea engineering and recovery systems have yet to be fully determined, and as such, the capital costs, performance, reliability, and maintenance associated with the necessary equipment is currently unknown. There can be no guarantees that the necessary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Allseas and Maersk, there is a risk that certain vessels and equipment will be under long-term charter and will thus not be available to them when needed, if at all.</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Operations and Industry</w:t>
      </w:r>
    </w:p>
    <w:p>
      <w:pPr>
        <w:spacing w:after="0" w:line="229" w:lineRule="exact"/>
        <w:rPr>
          <w:sz w:val="20"/>
          <w:szCs w:val="20"/>
          <w:color w:val="auto"/>
        </w:rPr>
      </w:pPr>
    </w:p>
    <w:p>
      <w:pPr>
        <w:ind w:left="460" w:right="859"/>
        <w:spacing w:after="0" w:line="286" w:lineRule="auto"/>
        <w:rPr>
          <w:sz w:val="20"/>
          <w:szCs w:val="20"/>
          <w:color w:val="auto"/>
        </w:rPr>
      </w:pPr>
      <w:r>
        <w:rPr>
          <w:rFonts w:ascii="Arial" w:cs="Arial" w:eastAsia="Arial" w:hAnsi="Arial"/>
          <w:sz w:val="17"/>
          <w:szCs w:val="17"/>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collecting operations.</w:t>
      </w:r>
    </w:p>
    <w:p>
      <w:pPr>
        <w:spacing w:after="0" w:line="84"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actual operating costs of our subsidiaries to collect polymetallic nodules and transport and process such nodules on a commercial scale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and TOML Technical Report Summaries prepared by AMC Consultants Ltd. (“AMC”) and filed with the registration statement of which this prospectus forms a part (the “NORI Technical Report Summary” and the “TOML Technical Report Summary”).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and TOML Technical Report Summaries and there can be no assurance that any of our development activities will result in profitable operations.</w:t>
      </w:r>
    </w:p>
    <w:p>
      <w:pPr>
        <w:spacing w:after="0" w:line="174"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there can be no assurance that we will be able to commercially develop our properties or achieve profitability in the future.</w:t>
      </w:r>
    </w:p>
    <w:p>
      <w:pPr>
        <w:spacing w:after="0" w:line="103"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(the “NORI Areas”), and we hope to expand such operations if viable in certain other parts of the CCZ, including by TOML in the TOML areas identified in the Exploration Contract executed between TOML and the ISA (the “TOML Areas”) and DGE in the Marawa areas identified in the Exploration Contract executed by Marawa with the ISA (the “Marawa Areas”). Although NORI expects to achieve early stage commercial production for NORI-D on or around 2024, there can be no assurance that it will be able to commercially develop these properties or that it will be able to generate profits in the future.</w:t>
      </w:r>
    </w:p>
    <w:p>
      <w:pPr>
        <w:spacing w:after="0" w:line="113"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188"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b w:val="1"/>
          <w:bCs w:val="1"/>
          <w:i w:val="1"/>
          <w:iCs w:val="1"/>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03" w:lineRule="exact"/>
        <w:rPr>
          <w:sz w:val="20"/>
          <w:szCs w:val="20"/>
          <w:color w:val="auto"/>
        </w:rPr>
      </w:pPr>
    </w:p>
    <w:p>
      <w:pPr>
        <w:ind w:left="460" w:right="719" w:firstLine="432"/>
        <w:spacing w:after="0" w:line="296" w:lineRule="auto"/>
        <w:rPr>
          <w:sz w:val="20"/>
          <w:szCs w:val="20"/>
          <w:color w:val="auto"/>
        </w:rPr>
      </w:pPr>
      <w:r>
        <w:rPr>
          <w:rFonts w:ascii="Arial" w:cs="Arial" w:eastAsia="Arial" w:hAnsi="Arial"/>
          <w:sz w:val="16"/>
          <w:szCs w:val="16"/>
          <w:color w:val="auto"/>
        </w:rPr>
        <w:t>In conducting our business, we will rely on continuing existing strategic relationships as well as new relationships in a variety of disciplines, including the offshore equipment and services industries (such as our partnerships with Maersk and Allseas),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94"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sulphates for the electric vehicle battery markets. In connection therewith, Hatch has developed a zero solid waste flowsheet. We are also party to certain agreements with Maersk and Maersk UK, pursuant to which Maersk and Maersk UK agreed to supply us with vessels and offshore services with respect to vessel operations and supplier management to support environmental studies within the NORI, TOML and Marawa Areas, though these arrangements are scheduled to terminate in 2022 unless extended by mutual agreement. Additionally, we are party to certain agreements with Allseas, pursuant to which, among other things, Allseas has agreed to design, engineer and construct an integrated offshore collection system to collect nodules from NORI Areas, and to assist with shipping efforts thereafter. Allseas</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 w:name="page28"/>
    <w:bookmarkEnd w:id="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59"/>
        <w:spacing w:after="0" w:line="263" w:lineRule="auto"/>
        <w:rPr>
          <w:sz w:val="20"/>
          <w:szCs w:val="20"/>
          <w:color w:val="auto"/>
        </w:rPr>
      </w:pPr>
      <w:r>
        <w:rPr>
          <w:rFonts w:ascii="Arial" w:cs="Arial" w:eastAsia="Arial" w:hAnsi="Arial"/>
          <w:sz w:val="18"/>
          <w:szCs w:val="18"/>
          <w:color w:val="auto"/>
        </w:rPr>
        <w:t>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w:t>
      </w:r>
    </w:p>
    <w:p>
      <w:pPr>
        <w:spacing w:after="0" w:line="116"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There can be no assurance that we will be able to continue to maintain and develop our existing relationships, or that we will be able to form the new relationships that are required in order for our business to be successful. Additionally, one of our material agreements with a strategic partner includes performance-based metrics that will adjust depending on the success of our business and the trading activity in our shares. We issued the Allseas Warrant to Allseas, which shall vest upon certain milestones into such number of our Common Shares that is based on the formula described therein. As of June 1, 2022, the value of the Allseas Warrant will be determined by multiplying the total number of our Common Shares underlying the warrant by the price per Common Share (“Warrant Credit Value”).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However, if our Common Shares do not perform well, there is a chance that we will receive little or no such credit, in which case we will be required to pay more than is currently anticipated to Allseas in connection with the services that it is expected to provide. In addition, there can be no assurance that services will be required from Allseas to utilize any such credit.</w:t>
      </w:r>
    </w:p>
    <w:p>
      <w:pPr>
        <w:spacing w:after="0" w:line="171" w:lineRule="exact"/>
        <w:rPr>
          <w:sz w:val="20"/>
          <w:szCs w:val="20"/>
          <w:color w:val="auto"/>
        </w:rPr>
      </w:pPr>
    </w:p>
    <w:p>
      <w:pPr>
        <w:ind w:left="460" w:right="1059"/>
        <w:spacing w:after="0" w:line="277" w:lineRule="auto"/>
        <w:rPr>
          <w:sz w:val="20"/>
          <w:szCs w:val="20"/>
          <w:color w:val="auto"/>
        </w:rPr>
      </w:pPr>
      <w:r>
        <w:rPr>
          <w:rFonts w:ascii="Arial" w:cs="Arial" w:eastAsia="Arial" w:hAnsi="Arial"/>
          <w:sz w:val="18"/>
          <w:szCs w:val="18"/>
          <w:b w:val="1"/>
          <w:bCs w:val="1"/>
          <w:i w:val="1"/>
          <w:iCs w:val="1"/>
          <w:color w:val="auto"/>
        </w:rPr>
        <w:t>The prevailing market prices of nickel, manganese, copper, cobalt, and other commodities will have a material impact on our ability to achieve commercial success.</w:t>
      </w:r>
    </w:p>
    <w:p>
      <w:pPr>
        <w:spacing w:after="0" w:line="103"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The profitability of our nodule collection operations is significantly affected by changes in the market price of battery metals (cobalt, nickel and copper) and manganese and the cost of power, petroleum fuels, and oil, among other commodities and supply requirements. Prices of such metals are affected by numerous factors beyond our control, including: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oil has fluctuated widely in recent years. Depending on the prevailing price of nickel, manganese, copper, and cobalt, and the cost of power, chemical reagents, petroleum fuels and oil, cash flow from our collection operations and commercialization may not be sufficient to cover our operating costs or the costs to servicing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are not currently party to any commodity hedging contracts, as we do not yet have any production.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financing may not be available on commercially reasonable terms, or at all.</w:t>
      </w:r>
    </w:p>
    <w:p>
      <w:pPr>
        <w:spacing w:after="0" w:line="211" w:lineRule="exact"/>
        <w:rPr>
          <w:sz w:val="20"/>
          <w:szCs w:val="20"/>
          <w:color w:val="auto"/>
        </w:rPr>
      </w:pPr>
    </w:p>
    <w:p>
      <w:pPr>
        <w:ind w:left="460" w:right="819"/>
        <w:spacing w:after="0" w:line="277" w:lineRule="auto"/>
        <w:rPr>
          <w:sz w:val="20"/>
          <w:szCs w:val="20"/>
          <w:color w:val="auto"/>
        </w:rPr>
      </w:pPr>
      <w:r>
        <w:rPr>
          <w:rFonts w:ascii="Arial" w:cs="Arial" w:eastAsia="Arial" w:hAnsi="Arial"/>
          <w:sz w:val="18"/>
          <w:szCs w:val="18"/>
          <w:b w:val="1"/>
          <w:bCs w:val="1"/>
          <w:i w:val="1"/>
          <w:iCs w:val="1"/>
          <w:color w:val="auto"/>
        </w:rPr>
        <w:t>We may be adversely affected by fluctuations in demand for nickel, manganese, copper, cobalt, and other commodities.</w:t>
      </w:r>
    </w:p>
    <w:p>
      <w:pPr>
        <w:spacing w:after="0" w:line="103"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United States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9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Demand for our minerals may be impacted by changes in supply dynamics and sources, and changes in demand for downstream products, including batteries for electric vehicles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spacing w:after="0" w:line="257" w:lineRule="auto"/>
        <w:rPr>
          <w:sz w:val="20"/>
          <w:szCs w:val="20"/>
          <w:color w:val="auto"/>
        </w:rPr>
      </w:pPr>
      <w:r>
        <w:rPr>
          <w:rFonts w:ascii="Arial" w:cs="Arial" w:eastAsia="Arial" w:hAnsi="Arial"/>
          <w:sz w:val="18"/>
          <w:szCs w:val="18"/>
          <w:color w:val="auto"/>
        </w:rPr>
        <w:t>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will depend in part on the expansion of the global manganese market to consume the additional volume of manganese that we intend to produce.</w:t>
      </w:r>
    </w:p>
    <w:p>
      <w:pPr>
        <w:spacing w:after="0" w:line="120" w:lineRule="exact"/>
        <w:rPr>
          <w:sz w:val="20"/>
          <w:szCs w:val="20"/>
          <w:color w:val="auto"/>
        </w:rPr>
      </w:pPr>
    </w:p>
    <w:p>
      <w:pPr>
        <w:ind w:left="460" w:right="679" w:firstLine="432"/>
        <w:spacing w:after="0" w:line="293" w:lineRule="auto"/>
        <w:rPr>
          <w:sz w:val="20"/>
          <w:szCs w:val="20"/>
          <w:color w:val="auto"/>
        </w:rPr>
      </w:pPr>
      <w:r>
        <w:rPr>
          <w:rFonts w:ascii="Arial" w:cs="Arial" w:eastAsia="Arial" w:hAnsi="Arial"/>
          <w:sz w:val="16"/>
          <w:szCs w:val="16"/>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experience difficulty in creating market acceptance for a novel manganese product.</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will be producing a novel manganese silicate product which does not have recognition in the marketplace with customers. Metallurgical testwork, market studies by CRU International Limited (“CRU”) and initial engagement with customers indicate that this manganese silicate product will be a premium product as an input into silicomanagese alloy production that we believe will receive strong market acceptance. However mineral processing industries may be slow to change feed stocks and suppliers, even in the face of potential improvements.</w:t>
      </w:r>
    </w:p>
    <w:p>
      <w:pPr>
        <w:spacing w:after="0" w:line="111" w:lineRule="exact"/>
        <w:rPr>
          <w:sz w:val="20"/>
          <w:szCs w:val="20"/>
          <w:color w:val="auto"/>
        </w:rPr>
      </w:pPr>
    </w:p>
    <w:p>
      <w:pPr>
        <w:ind w:left="460" w:right="1079" w:firstLine="432"/>
        <w:spacing w:after="0" w:line="308" w:lineRule="auto"/>
        <w:rPr>
          <w:sz w:val="20"/>
          <w:szCs w:val="20"/>
          <w:color w:val="auto"/>
        </w:rPr>
      </w:pPr>
      <w:r>
        <w:rPr>
          <w:rFonts w:ascii="Arial" w:cs="Arial" w:eastAsia="Arial" w:hAnsi="Arial"/>
          <w:sz w:val="17"/>
          <w:szCs w:val="17"/>
          <w:color w:val="auto"/>
        </w:rPr>
        <w:t>Additionally, manganese silicate is not a conventional mineral product and may require additional approvals for export and import from our processing facilities to our future customers.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operate in a highly competitive industry, and there are no assurances that our efforts will be successful.</w:t>
      </w:r>
    </w:p>
    <w:p>
      <w:pPr>
        <w:spacing w:after="0" w:line="19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battery metals collection and processing industry is capital intensive and competitive. Production of battery metals and manganese alloys is largely dominated by Chinese competitors amongst other nation states and private contractors.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Many contractors currently hold ISA exploration contracts to assess the value of polymetallic nodule fields for future collecting in the Area. Each of these various contractors are potential competitors with respect to the collection of polymetallic nodules and the production of nickel, manganese, copper and cobalt products. We will be competing with several other contractors that may possess greater financial and/or technical resources. There is increasing competition from new and existing players in the search for polymetallic nodule deposits, the availability of marine exploration and support vessels, related marine equipment and specialized personnel, desirable exploration leases, suitable processing equipment, and available funds. There is a risk that competitors may find more promising resources, identify or develop more economic technologies, enter into strategic partnerships that constrain our optionality, or may develop novel methods to process nodules into metals (either on the seafloor or on land) that are more economic than we currently contemplate.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pressure and lobbying from non-governmental organizations.</w:t>
      </w:r>
    </w:p>
    <w:p>
      <w:pPr>
        <w:spacing w:after="0" w:line="158"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Like other businesses that operate in the resources industry, we may become subject to pressure and lobbying from non-governmental organizations, particularly with respect to environmental concerns, including potential damage to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environmental groups could physically impact ongoing operation during exploration, project development and commercial operations.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profitability could be adversely affected if we fail to maintain satisfactory labor relations.</w:t>
      </w:r>
    </w:p>
    <w:p>
      <w:pPr>
        <w:spacing w:after="0" w:line="144"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Our exploration and production initiatives will be dependent upon the efforts of our employees. Although none of our employees are currently subject to any collective bargaining arrangements, our employees could, in the future, choose to be represented as a collective unit, which may result in labor disputes, work stoppages or other disruptions in our production efforts that could adversely affect us.</w:t>
      </w:r>
    </w:p>
    <w:p>
      <w:pPr>
        <w:sectPr>
          <w:pgSz w:w="11900" w:h="16838" w:orient="portrait"/>
          <w:cols w:equalWidth="0" w:num="1">
            <w:col w:w="9019"/>
          </w:cols>
          <w:pgMar w:left="1440" w:top="274"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919"/>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risks, some of which may not be covered by our future or existing insurance policies.</w:t>
      </w:r>
    </w:p>
    <w:p>
      <w:pPr>
        <w:spacing w:after="0" w:line="89"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 (iii) environmental damage, (iv) delays in collecting, transporting or processing, (v) monetary losses, (vi) natural disasters, (vii) environmental matters, and</w:t>
      </w:r>
    </w:p>
    <w:p>
      <w:pPr>
        <w:spacing w:after="0" w:line="1" w:lineRule="exact"/>
        <w:rPr>
          <w:sz w:val="20"/>
          <w:szCs w:val="20"/>
          <w:color w:val="auto"/>
        </w:rPr>
      </w:pPr>
    </w:p>
    <w:p>
      <w:pPr>
        <w:ind w:left="460" w:right="539" w:hanging="6"/>
        <w:spacing w:after="0" w:line="270" w:lineRule="auto"/>
        <w:tabs>
          <w:tab w:leader="none" w:pos="8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178" w:lineRule="exact"/>
        <w:rPr>
          <w:sz w:val="20"/>
          <w:szCs w:val="20"/>
          <w:color w:val="auto"/>
        </w:rPr>
      </w:pPr>
    </w:p>
    <w:p>
      <w:pPr>
        <w:ind w:left="460" w:right="759"/>
        <w:spacing w:after="0" w:line="277" w:lineRule="auto"/>
        <w:rPr>
          <w:sz w:val="20"/>
          <w:szCs w:val="20"/>
          <w:color w:val="auto"/>
        </w:rPr>
      </w:pPr>
      <w:r>
        <w:rPr>
          <w:rFonts w:ascii="Arial" w:cs="Arial" w:eastAsia="Arial" w:hAnsi="Arial"/>
          <w:sz w:val="18"/>
          <w:szCs w:val="18"/>
          <w:b w:val="1"/>
          <w:bCs w:val="1"/>
          <w:i w:val="1"/>
          <w:iCs w:val="1"/>
          <w:color w:val="auto"/>
        </w:rPr>
        <w:t>Work stoppages or similar difficulties could significantly disrupt our operations, reduce our revenues and materially adversely affect our results of operations.</w:t>
      </w:r>
    </w:p>
    <w:p>
      <w:pPr>
        <w:spacing w:after="0" w:line="103" w:lineRule="exact"/>
        <w:rPr>
          <w:sz w:val="20"/>
          <w:szCs w:val="20"/>
          <w:color w:val="auto"/>
        </w:rPr>
      </w:pPr>
    </w:p>
    <w:p>
      <w:pPr>
        <w:jc w:val="both"/>
        <w:ind w:left="460" w:right="559" w:firstLine="432"/>
        <w:spacing w:after="0" w:line="286" w:lineRule="auto"/>
        <w:rPr>
          <w:sz w:val="20"/>
          <w:szCs w:val="20"/>
          <w:color w:val="auto"/>
        </w:rPr>
      </w:pPr>
      <w:r>
        <w:rPr>
          <w:rFonts w:ascii="Arial" w:cs="Arial" w:eastAsia="Arial" w:hAnsi="Arial"/>
          <w:sz w:val="17"/>
          <w:szCs w:val="17"/>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165"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A shortage of skilled technicians and engineers may further increase operating costs, which could materially adversely affect our results of operations.</w:t>
      </w:r>
    </w:p>
    <w:p>
      <w:pPr>
        <w:spacing w:after="0" w:line="103"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95" w:lineRule="exact"/>
        <w:rPr>
          <w:sz w:val="20"/>
          <w:szCs w:val="20"/>
          <w:color w:val="auto"/>
        </w:rPr>
      </w:pPr>
    </w:p>
    <w:p>
      <w:pPr>
        <w:ind w:left="460" w:right="999"/>
        <w:spacing w:after="0" w:line="308" w:lineRule="auto"/>
        <w:rPr>
          <w:sz w:val="20"/>
          <w:szCs w:val="20"/>
          <w:color w:val="auto"/>
        </w:rPr>
      </w:pPr>
      <w:r>
        <w:rPr>
          <w:rFonts w:ascii="Arial" w:cs="Arial" w:eastAsia="Arial" w:hAnsi="Arial"/>
          <w:sz w:val="17"/>
          <w:szCs w:val="17"/>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65"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92"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b w:val="1"/>
          <w:bCs w:val="1"/>
          <w:i w:val="1"/>
          <w:iCs w:val="1"/>
          <w:color w:val="auto"/>
        </w:rPr>
        <w:t>Our growth will depend on our ability, and on the ability of our management team, board of directors and other employees, to execute on our plans and expand our operations and controls while maintaining effective cost controls.</w:t>
      </w:r>
    </w:p>
    <w:p>
      <w:pPr>
        <w:spacing w:after="0" w:line="116"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Deep-sea exploration, collection, and production is a burgeoning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COVID-19 pandemic could have an adverse effect on our business.</w:t>
      </w:r>
    </w:p>
    <w:p>
      <w:pPr>
        <w:spacing w:after="0" w:line="15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current COVID-19 pandemic has materially impacted the national and global economy and commodity and financial markets. The full extent and impact of the COVID-19 pandemic is unknown and to date has included, among other things, extreme volatility in financial markets, a slowdown in economic activity, volatility in commodity prices, and an increased possibility of a global recession. The response to COVID-19 has led to</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73" w:lineRule="auto"/>
        <w:rPr>
          <w:sz w:val="20"/>
          <w:szCs w:val="20"/>
          <w:color w:val="auto"/>
        </w:rPr>
      </w:pPr>
      <w:r>
        <w:rPr>
          <w:rFonts w:ascii="Arial" w:cs="Arial" w:eastAsia="Arial" w:hAnsi="Arial"/>
          <w:sz w:val="17"/>
          <w:szCs w:val="17"/>
          <w:color w:val="auto"/>
        </w:rPr>
        <w:t>significant restrictions on travel, temporary business closures, quarantines, global stock market volatility and a general reduction in consumer activity and sentiment, globally. The outbreak has affected our business and operations and may continue to do so by, among others, increasing the cost of operations and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spacing w:after="0" w:line="110"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outbreak has resulted in significant governmental measures being implemented to control the spread of the virus, including, among others, restrictions on manufacturing and the movement of employees in many regions of the U.S. and other countries. These disruptions could continue to impact the market for minerals, which in turn could impact our business or business prospects.</w:t>
      </w:r>
    </w:p>
    <w:p>
      <w:pPr>
        <w:spacing w:after="0" w:line="119" w:lineRule="exact"/>
        <w:rPr>
          <w:sz w:val="20"/>
          <w:szCs w:val="20"/>
          <w:color w:val="auto"/>
        </w:rPr>
      </w:pPr>
    </w:p>
    <w:p>
      <w:pPr>
        <w:ind w:left="460" w:right="599" w:firstLine="432"/>
        <w:spacing w:after="0" w:line="285" w:lineRule="auto"/>
        <w:rPr>
          <w:sz w:val="20"/>
          <w:szCs w:val="20"/>
          <w:color w:val="auto"/>
        </w:rPr>
      </w:pPr>
      <w:r>
        <w:rPr>
          <w:rFonts w:ascii="Arial" w:cs="Arial" w:eastAsia="Arial" w:hAnsi="Arial"/>
          <w:sz w:val="16"/>
          <w:szCs w:val="16"/>
          <w:color w:val="auto"/>
        </w:rPr>
        <w:t>Decisions beyond our control, such as canceled events, restricted travel, barriers to entry, temporary closures or limited availability of county, state or federal government agencies, or other factors, may affect our ability to perform collecting operations, corporate activities, and other actions that would normally be accomplished without such limitations. For instance, the final exploitation regulations were expected to be adopted by the ISA during 2020 but were delayed due to COVID-19. The extent to which the COVID-</w:t>
      </w:r>
    </w:p>
    <w:p>
      <w:pPr>
        <w:spacing w:after="0" w:line="2" w:lineRule="exact"/>
        <w:rPr>
          <w:sz w:val="20"/>
          <w:szCs w:val="20"/>
          <w:color w:val="auto"/>
        </w:rPr>
      </w:pPr>
    </w:p>
    <w:p>
      <w:pPr>
        <w:ind w:left="460" w:right="739"/>
        <w:spacing w:after="0" w:line="255" w:lineRule="auto"/>
        <w:rPr>
          <w:sz w:val="20"/>
          <w:szCs w:val="20"/>
          <w:color w:val="auto"/>
        </w:rPr>
      </w:pPr>
      <w:r>
        <w:rPr>
          <w:rFonts w:ascii="Arial" w:cs="Arial" w:eastAsia="Arial" w:hAnsi="Arial"/>
          <w:sz w:val="18"/>
          <w:szCs w:val="18"/>
          <w:color w:val="auto"/>
        </w:rPr>
        <w:t>19 outbreak will further impact our operations, our business and the economy is highly uncertain. We cannot predict the impact of the COVID-19 pandemic, but it may materially and adversely affect our business, financial condition and results of operations.</w:t>
      </w:r>
    </w:p>
    <w:p>
      <w:pPr>
        <w:spacing w:after="0" w:line="190" w:lineRule="exact"/>
        <w:rPr>
          <w:sz w:val="20"/>
          <w:szCs w:val="20"/>
          <w:color w:val="auto"/>
        </w:rPr>
      </w:pPr>
    </w:p>
    <w:p>
      <w:pPr>
        <w:ind w:left="460" w:right="959"/>
        <w:spacing w:after="0" w:line="277" w:lineRule="auto"/>
        <w:rPr>
          <w:sz w:val="20"/>
          <w:szCs w:val="20"/>
          <w:color w:val="auto"/>
        </w:rPr>
      </w:pPr>
      <w:r>
        <w:rPr>
          <w:rFonts w:ascii="Arial" w:cs="Arial" w:eastAsia="Arial" w:hAnsi="Arial"/>
          <w:sz w:val="18"/>
          <w:szCs w:val="18"/>
          <w:b w:val="1"/>
          <w:bCs w:val="1"/>
          <w:i w:val="1"/>
          <w:iCs w:val="1"/>
          <w:color w:val="auto"/>
        </w:rPr>
        <w:t>We are dependent upon information technology systems, which are subject to cyber threats, disruption, damage and failure.</w:t>
      </w:r>
    </w:p>
    <w:p>
      <w:pPr>
        <w:spacing w:after="0" w:line="89"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68"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Our ability to generate revenue will be diminished if we are unable to compete with substitutions for the minerals that we intend to process.</w:t>
      </w:r>
    </w:p>
    <w:p>
      <w:pPr>
        <w:spacing w:after="0" w:line="103"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Technology changes rapidly in the industries and end markets that utilize our materials. If these industries introduce new technologies or products that no longer require the minerals that we intend to collect and process, or if suitable substitutes become available, it could result in a decline in demand for our materials. If the demand for our materials decreases, it will have a material adverse effect on our business and the results of our operations and financial condition.</w:t>
      </w:r>
    </w:p>
    <w:p>
      <w:pPr>
        <w:spacing w:after="0" w:line="188" w:lineRule="exact"/>
        <w:rPr>
          <w:sz w:val="20"/>
          <w:szCs w:val="20"/>
          <w:color w:val="auto"/>
        </w:rPr>
      </w:pPr>
    </w:p>
    <w:p>
      <w:pPr>
        <w:jc w:val="both"/>
        <w:ind w:left="460" w:right="1059"/>
        <w:spacing w:after="0" w:line="263" w:lineRule="auto"/>
        <w:rPr>
          <w:sz w:val="20"/>
          <w:szCs w:val="20"/>
          <w:color w:val="auto"/>
        </w:rPr>
      </w:pPr>
      <w:r>
        <w:rPr>
          <w:rFonts w:ascii="Arial" w:cs="Arial" w:eastAsia="Arial" w:hAnsi="Arial"/>
          <w:sz w:val="18"/>
          <w:szCs w:val="18"/>
          <w:b w:val="1"/>
          <w:bCs w:val="1"/>
          <w:i w:val="1"/>
          <w:iCs w:val="1"/>
          <w:color w:val="auto"/>
        </w:rPr>
        <w:t>We are reliant on third parties to conduct independent analyses with respect to our business, and any inaccuracies in such analyses could have a material adverse effect on our collection and development objectives.</w:t>
      </w:r>
    </w:p>
    <w:p>
      <w:pPr>
        <w:spacing w:after="0" w:line="116"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We rely upon third-party consultants, engineers, analysts, scientists, and others to provide analyses, reviews, reports, advice, and opinions regarding our potential projects. For example, the NORI Technical Report Summary and TOML Technical Report Summary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1059"/>
        <w:spacing w:after="0" w:line="277" w:lineRule="auto"/>
        <w:rPr>
          <w:sz w:val="20"/>
          <w:szCs w:val="20"/>
          <w:color w:val="auto"/>
        </w:rPr>
      </w:pPr>
      <w:r>
        <w:rPr>
          <w:rFonts w:ascii="Arial" w:cs="Arial" w:eastAsia="Arial" w:hAnsi="Arial"/>
          <w:sz w:val="18"/>
          <w:szCs w:val="18"/>
          <w:b w:val="1"/>
          <w:bCs w:val="1"/>
          <w:i w:val="1"/>
          <w:iCs w:val="1"/>
          <w:color w:val="auto"/>
        </w:rPr>
        <w:t>We may become involved in litigation that may adversely affect us, including litigation related to non-performing PIPE investors.</w:t>
      </w:r>
    </w:p>
    <w:p>
      <w:pPr>
        <w:spacing w:after="0" w:line="89"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connection with the Closing of the Business Combination, we expected to receive approximately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$330 million of proceeds in the PIPE Financing but only received $110.3 million due to two investors that failed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fulfill their funding obligations under their PIPE Investor Subscription Agreements. We have initiated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litigation against the two non-performing investors in order to enforce the funding obligations under their PIPE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 Subscription Agreements, but there can be no assurances that we will be successful in those efforts.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future growth may be dependent upon consumers’ willingness to adopt electric vehicles.</w:t>
      </w:r>
    </w:p>
    <w:p>
      <w:pPr>
        <w:spacing w:after="0" w:line="158"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Given that the minerals we intend to collect and process are contemplated to be significantly linked to growing metals demand in batteries for electric vehicles, our growth is highly dependent upon the adoption by consumers of, and we are subject to an elevated risk of any reduced demand for, alternative fuel vehicles in general and electric vehicles in particular. While it has been projected that demand for such electric vehicles will surge over time, if the market for electric vehicles does not develop as we expect, or develops more slowly than we expect, our business, prospects, financial condition and operating results may be harmed. The market for alternative fuel vehicles is relatively new, rapidly evolving, characterized by rapidly changing technologies, price competition, additional competitors, evolving government regulation and industry standards, frequent new vehicle announcements and changing consumer demands and behaviors. Factors that may influence the adoption of alternative fuel vehicles, and specifically electric vehicles, include:</w:t>
      </w:r>
    </w:p>
    <w:p>
      <w:pPr>
        <w:spacing w:after="0" w:line="87" w:lineRule="exact"/>
        <w:rPr>
          <w:sz w:val="20"/>
          <w:szCs w:val="20"/>
          <w:color w:val="auto"/>
        </w:rPr>
      </w:pPr>
    </w:p>
    <w:p>
      <w:pPr>
        <w:ind w:left="1320" w:right="499" w:hanging="434"/>
        <w:spacing w:after="0" w:line="308" w:lineRule="auto"/>
        <w:tabs>
          <w:tab w:leader="none" w:pos="13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perceptions about electric vehicle quality, safety, design, performance and cost, especially if adverse events or accidents occur that are linked to the quality or safety of electric vehicles;</w:t>
      </w:r>
    </w:p>
    <w:p>
      <w:pPr>
        <w:spacing w:after="0" w:line="78" w:lineRule="exact"/>
        <w:rPr>
          <w:rFonts w:ascii="Arial" w:cs="Arial" w:eastAsia="Arial" w:hAnsi="Arial"/>
          <w:sz w:val="17"/>
          <w:szCs w:val="17"/>
          <w:color w:val="auto"/>
        </w:rPr>
      </w:pPr>
    </w:p>
    <w:p>
      <w:pPr>
        <w:ind w:left="1320" w:right="539" w:hanging="434"/>
        <w:spacing w:after="0" w:line="263"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material composition necessary for electric vehicle batteries and the potential of change in chemistry and engineering requirements that may move away from expected demand for nickel and cobalt;</w:t>
      </w:r>
    </w:p>
    <w:p>
      <w:pPr>
        <w:spacing w:after="0" w:line="116" w:lineRule="exact"/>
        <w:rPr>
          <w:rFonts w:ascii="Arial" w:cs="Arial" w:eastAsia="Arial" w:hAnsi="Arial"/>
          <w:sz w:val="18"/>
          <w:szCs w:val="18"/>
          <w:color w:val="auto"/>
        </w:rPr>
      </w:pPr>
    </w:p>
    <w:p>
      <w:pPr>
        <w:ind w:left="1320" w:right="659" w:hanging="434"/>
        <w:spacing w:after="0" w:line="342" w:lineRule="auto"/>
        <w:tabs>
          <w:tab w:leader="none" w:pos="1311"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perceptions about vehicle safety in general, in particular safety issues that may be attributed to the use of advanced technology, including vehicle electronics and regenerative braking systems;</w:t>
      </w:r>
    </w:p>
    <w:p>
      <w:pPr>
        <w:spacing w:after="0" w:line="42" w:lineRule="exact"/>
        <w:rPr>
          <w:rFonts w:ascii="Arial" w:cs="Arial" w:eastAsia="Arial" w:hAnsi="Arial"/>
          <w:sz w:val="16"/>
          <w:szCs w:val="16"/>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limited range over which electric vehicles may be driven on a single battery charge;</w:t>
      </w:r>
    </w:p>
    <w:p>
      <w:pPr>
        <w:spacing w:after="0" w:line="157"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decline of an electric vehicle’s range resulting from deterioration over time in the battery’s ability to hold a charge;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alternative fuel vehicles, including plug-in hybrid electric vehicles;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service for electric vehicles;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157" w:lineRule="exact"/>
        <w:rPr>
          <w:rFonts w:ascii="Arial" w:cs="Arial" w:eastAsia="Arial" w:hAnsi="Arial"/>
          <w:sz w:val="18"/>
          <w:szCs w:val="18"/>
          <w:color w:val="auto"/>
        </w:rPr>
      </w:pPr>
    </w:p>
    <w:p>
      <w:pPr>
        <w:ind w:left="1320" w:right="95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consumers’ perceptions of the dependency of the United States on oil from unstable or hostile countries;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679" w:hanging="434"/>
        <w:spacing w:after="0" w:line="277"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102"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access to charging stations, standardization of electric vehicle charging systems and consumers’ perceptions about convenience and cost to charge an electric vehicle;</w:t>
      </w:r>
    </w:p>
    <w:p>
      <w:pPr>
        <w:spacing w:after="0" w:line="102"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perceptions about and the actual cost of alternative fuel;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the internal combustion engine may materially adversely affect the demand for electric vehicles, and thus for the minerals that we intend to collect and process.</w:t>
      </w:r>
    </w:p>
    <w:p>
      <w:pPr>
        <w:spacing w:after="0" w:line="11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Significant developments in alternative technologies, such as advanced diesel, ethanol, fuel cells or compressed natural gas, or improvements in the fuel economy of the internal combustion engine, may materially and adversely affect demand for the minerals that we intend to harvest and process in ways we do not currently anticipate. Any such reductions in demand could have a material adverse effect on our business and prospects.</w:t>
      </w:r>
    </w:p>
    <w:p>
      <w:pPr>
        <w:spacing w:after="0" w:line="188" w:lineRule="exact"/>
        <w:rPr>
          <w:sz w:val="20"/>
          <w:szCs w:val="20"/>
          <w:color w:val="auto"/>
        </w:rPr>
      </w:pPr>
    </w:p>
    <w:p>
      <w:pPr>
        <w:jc w:val="both"/>
        <w:ind w:left="460" w:right="599"/>
        <w:spacing w:after="0" w:line="311" w:lineRule="auto"/>
        <w:rPr>
          <w:sz w:val="20"/>
          <w:szCs w:val="20"/>
          <w:color w:val="auto"/>
        </w:rPr>
      </w:pPr>
      <w:r>
        <w:rPr>
          <w:rFonts w:ascii="Arial" w:cs="Arial" w:eastAsia="Arial" w:hAnsi="Arial"/>
          <w:sz w:val="16"/>
          <w:szCs w:val="16"/>
          <w:b w:val="1"/>
          <w:bCs w:val="1"/>
          <w:i w:val="1"/>
          <w:iCs w:val="1"/>
          <w:color w:val="auto"/>
        </w:rPr>
        <w:t>We may be required to take write-downs or write-offs, restructurings and impairments or other charges that could have a significant negative effect on our financial condition, results of operations and the share price of our securities, which could cause you to lose some or all of your investment.</w:t>
      </w:r>
    </w:p>
    <w:p>
      <w:pPr>
        <w:spacing w:after="0" w:line="6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We may be forced to write-down or write-off assets, restructure our operations, or incur impairment or other charges that could result in our reporting losses. Unexpected risks may arise and previously known risks may materialize which could have a material adverse effect on our financial condition and results of operations and could contribute to negative market perceptions about our securities or our company. Accordingly, our shareholders could suffer a reduction in the value of our Common Shares and Warrants. Our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registration statement or proxy statement/prospectus relating to the Business Combination contained an actionable material misstatement or material omission.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03"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United States.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United States.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85" w:lineRule="exact"/>
        <w:rPr>
          <w:sz w:val="20"/>
          <w:szCs w:val="20"/>
          <w:color w:val="auto"/>
        </w:rPr>
      </w:pPr>
    </w:p>
    <w:p>
      <w:pPr>
        <w:ind w:left="460" w:right="679"/>
        <w:spacing w:after="0" w:line="263" w:lineRule="auto"/>
        <w:rPr>
          <w:sz w:val="20"/>
          <w:szCs w:val="20"/>
          <w:color w:val="auto"/>
        </w:rPr>
      </w:pPr>
      <w:r>
        <w:rPr>
          <w:rFonts w:ascii="Arial" w:cs="Arial" w:eastAsia="Arial" w:hAnsi="Arial"/>
          <w:sz w:val="18"/>
          <w:szCs w:val="18"/>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1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United States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85" w:lineRule="exact"/>
        <w:rPr>
          <w:sz w:val="20"/>
          <w:szCs w:val="20"/>
          <w:color w:val="auto"/>
        </w:rPr>
      </w:pPr>
    </w:p>
    <w:p>
      <w:pPr>
        <w:ind w:left="460" w:right="1119"/>
        <w:spacing w:after="0" w:line="342" w:lineRule="auto"/>
        <w:rPr>
          <w:sz w:val="20"/>
          <w:szCs w:val="20"/>
          <w:color w:val="auto"/>
        </w:rPr>
      </w:pPr>
      <w:r>
        <w:rPr>
          <w:rFonts w:ascii="Arial" w:cs="Arial" w:eastAsia="Arial" w:hAnsi="Arial"/>
          <w:sz w:val="16"/>
          <w:szCs w:val="16"/>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56"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There is a risk that we (or our partners) may infringe, or may be accused of infringing, the proprietary rights of third parties under patents and pending patent applications belonging to third parties that may exist in the United States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97"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09" w:lineRule="exact"/>
        <w:rPr>
          <w:sz w:val="20"/>
          <w:szCs w:val="20"/>
          <w:color w:val="auto"/>
        </w:rPr>
      </w:pPr>
    </w:p>
    <w:p>
      <w:pPr>
        <w:ind w:left="1320" w:right="779" w:hanging="434"/>
        <w:spacing w:after="0" w:line="342" w:lineRule="auto"/>
        <w:tabs>
          <w:tab w:leader="none" w:pos="13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be prohibited from, or delayed in, selling or licensing some of our products or using some of our processes unless the patent holder licenses the patent to us, which it is not required to do;</w:t>
      </w:r>
    </w:p>
    <w:p>
      <w:pPr>
        <w:spacing w:after="0" w:line="56" w:lineRule="exact"/>
        <w:rPr>
          <w:rFonts w:ascii="Arial" w:cs="Arial" w:eastAsia="Arial" w:hAnsi="Arial"/>
          <w:sz w:val="16"/>
          <w:szCs w:val="16"/>
          <w:color w:val="auto"/>
        </w:rPr>
      </w:pPr>
    </w:p>
    <w:p>
      <w:pPr>
        <w:ind w:left="1320" w:right="95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required to pay substantial royalties or grant a cross license to our patents to another patent holder; or</w:t>
      </w:r>
    </w:p>
    <w:p>
      <w:pPr>
        <w:spacing w:after="0" w:line="89" w:lineRule="exact"/>
        <w:rPr>
          <w:rFonts w:ascii="Arial" w:cs="Arial" w:eastAsia="Arial" w:hAnsi="Arial"/>
          <w:sz w:val="18"/>
          <w:szCs w:val="18"/>
          <w:color w:val="auto"/>
        </w:rPr>
      </w:pPr>
    </w:p>
    <w:p>
      <w:pPr>
        <w:ind w:left="1320" w:right="51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required to redesign a product or process so it does not infringe a third-party’s patent, which may not be possible or could require substantial funds and time.</w:t>
      </w:r>
    </w:p>
    <w:p>
      <w:pPr>
        <w:spacing w:after="0" w:line="103"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addition, we could be subject to claims that our employees, or we, have inadvertently or otherwise used or disclosed trade secrets or other proprietary information of third parties.</w:t>
      </w:r>
    </w:p>
    <w:p>
      <w:pPr>
        <w:spacing w:after="0" w:line="103"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03"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Securities and to Being a Public Company</w:t>
      </w:r>
    </w:p>
    <w:p>
      <w:pPr>
        <w:spacing w:after="0" w:line="229" w:lineRule="exact"/>
        <w:rPr>
          <w:sz w:val="20"/>
          <w:szCs w:val="20"/>
          <w:color w:val="auto"/>
        </w:rPr>
      </w:pPr>
    </w:p>
    <w:p>
      <w:pPr>
        <w:ind w:left="460" w:right="839"/>
        <w:spacing w:after="0" w:line="381" w:lineRule="auto"/>
        <w:rPr>
          <w:sz w:val="20"/>
          <w:szCs w:val="20"/>
          <w:color w:val="auto"/>
        </w:rPr>
      </w:pPr>
      <w:r>
        <w:rPr>
          <w:rFonts w:ascii="Arial" w:cs="Arial" w:eastAsia="Arial" w:hAnsi="Arial"/>
          <w:sz w:val="15"/>
          <w:szCs w:val="15"/>
          <w:b w:val="1"/>
          <w:bCs w:val="1"/>
          <w:i w:val="1"/>
          <w:iCs w:val="1"/>
          <w:color w:val="auto"/>
        </w:rPr>
        <w:t>We may issue additional Common Shares or other equity securities without shareholder approval, which would dilute your ownership interests and may depress the market price of our Common Shares.</w:t>
      </w:r>
    </w:p>
    <w:p>
      <w:pPr>
        <w:spacing w:after="0" w:line="1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As of September 30, 2021, we had 224,385,324 Common Shares and 24,500,000 Warrants to acquire Common Shares issued and outstanding. In addition, the Allseas Warrant is exercisable for up to 11,578,620 Common Shares subject to the terms and conditions thereof. Subject to the requirements of the BCBCA, our Articles authorize us to issue Common Shares and rights relating to our Common Shares for the consideration and on the terms and conditions established by our board of directors in its sole discretion, whether in connection with acquisitions or otherwise. In addition, 24,682,385 Common Shares are reserved for issuance under the TMC Incentive Equity Plan, subject to adjustment in certain events. In addition, up to 77,277,244 Common Shares, subject to adjustment in certain events, may be issued to the holders upon conversion of the Special Shares if certain Common Share price thresholds are met as described herein. Any Common Shares issued, including in connection with the exercise of warrants, upon conversion of the Special Shares or under the TMC Incentive Equity Plan, or other equity incentive plans that we may adopt in the future, would dilute the percentage ownership held by you.</w:t>
      </w:r>
    </w:p>
    <w:p>
      <w:pPr>
        <w:spacing w:after="0" w:line="111"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Our issuance of additional Common Shares or other equity securities of equal or senior rank would have the following effects:</w:t>
      </w:r>
    </w:p>
    <w:p>
      <w:pPr>
        <w:spacing w:after="0" w:line="103" w:lineRule="exact"/>
        <w:rPr>
          <w:sz w:val="20"/>
          <w:szCs w:val="20"/>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existing shareholders’ proportionate ownership interest in the Company will decrease;</w:t>
      </w:r>
    </w:p>
    <w:p>
      <w:pPr>
        <w:spacing w:after="0" w:line="144" w:lineRule="exact"/>
        <w:rPr>
          <w:rFonts w:ascii="Arial" w:cs="Arial" w:eastAsia="Arial" w:hAnsi="Arial"/>
          <w:sz w:val="18"/>
          <w:szCs w:val="18"/>
          <w:color w:val="auto"/>
        </w:rPr>
      </w:pPr>
    </w:p>
    <w:p>
      <w:pPr>
        <w:ind w:left="1320" w:right="999" w:hanging="434"/>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relative voting strength of each previously outstanding Common Share may be diminished; and</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 price of our Common Shares may decline.</w:t>
      </w:r>
    </w:p>
    <w:p>
      <w:pPr>
        <w:spacing w:after="0" w:line="225" w:lineRule="exact"/>
        <w:rPr>
          <w:sz w:val="20"/>
          <w:szCs w:val="20"/>
          <w:color w:val="auto"/>
        </w:rPr>
      </w:pPr>
    </w:p>
    <w:p>
      <w:pPr>
        <w:ind w:left="460" w:right="699"/>
        <w:spacing w:after="0" w:line="263" w:lineRule="auto"/>
        <w:rPr>
          <w:sz w:val="20"/>
          <w:szCs w:val="20"/>
          <w:color w:val="auto"/>
        </w:rPr>
      </w:pPr>
      <w:r>
        <w:rPr>
          <w:rFonts w:ascii="Arial" w:cs="Arial" w:eastAsia="Arial" w:hAnsi="Arial"/>
          <w:sz w:val="18"/>
          <w:szCs w:val="18"/>
          <w:b w:val="1"/>
          <w:bCs w:val="1"/>
          <w:i w:val="1"/>
          <w:iCs w:val="1"/>
          <w:color w:val="auto"/>
        </w:rPr>
        <w:t>Our outstanding warrants will become exercisable for our Common Shares beginning on October 9, 2021, which if exercised, will increase the number of shares eligible for future resale in the public market and result in dilution to our stockholders.</w:t>
      </w:r>
    </w:p>
    <w:p>
      <w:pPr>
        <w:spacing w:after="0" w:line="10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have 15,000,000 outstanding Public Warrants to purchase 15,000,000 Common Shares at an exercise price of $11.50 per share, which warrants will become exercisable beginning on October 9, 2021. In addition, there are 9,500,000 Private Placement Warrants outstanding exercisable for 9,500,000 shares of our Common Shares at an exercise price of $11.50 per share. In certain circumstances, the Public Warrants and Private Placement Warrants may be exercised on a cashless basis.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w:t>
      </w:r>
    </w:p>
    <w:p>
      <w:pPr>
        <w:spacing w:after="0" w:line="181"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w:t>
      </w:r>
    </w:p>
    <w:p>
      <w:pPr>
        <w:spacing w:after="0" w:line="103"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SOAC reevaluated the accounting treatment of its Public Warrants and Private Placement Warrants, and determined to classify the warrants as derivative liabilities measured at fair value, with changes in fair value each period reported in earnings.</w:t>
      </w:r>
    </w:p>
    <w:p>
      <w:pPr>
        <w:spacing w:after="0" w:line="99" w:lineRule="exact"/>
        <w:rPr>
          <w:sz w:val="20"/>
          <w:szCs w:val="20"/>
          <w:color w:val="auto"/>
        </w:rPr>
      </w:pPr>
    </w:p>
    <w:p>
      <w:pPr>
        <w:jc w:val="both"/>
        <w:ind w:left="460" w:right="539" w:firstLine="432"/>
        <w:spacing w:after="0" w:line="286" w:lineRule="auto"/>
        <w:rPr>
          <w:sz w:val="20"/>
          <w:szCs w:val="20"/>
          <w:color w:val="auto"/>
        </w:rPr>
      </w:pPr>
      <w:r>
        <w:rPr>
          <w:rFonts w:ascii="Arial" w:cs="Arial" w:eastAsia="Arial" w:hAnsi="Arial"/>
          <w:sz w:val="16"/>
          <w:szCs w:val="16"/>
          <w:color w:val="auto"/>
        </w:rPr>
        <w:t>As a result, included on SOAC’s balance sheet as of December 31, 2020 are derivative liabilities related to SOAC’s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w:t>
      </w:r>
    </w:p>
    <w:p>
      <w:pPr>
        <w:sectPr>
          <w:pgSz w:w="11900" w:h="16838" w:orient="portrait"/>
          <w:cols w:equalWidth="0" w:num="1">
            <w:col w:w="9019"/>
          </w:cols>
          <w:pgMar w:left="1440" w:top="274"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color w:val="auto"/>
        </w:rPr>
        <w:t>recurring fair value measurement, our financial statements and results of operations may fluctuate quarterly, based on factors that are outside of our control. Due to the recurring fair value measurement, it is expected that we will recognize non-cash gains or losses on the warrants each reporting period and that the amount of such gains or losses could be material.</w:t>
      </w:r>
    </w:p>
    <w:p>
      <w:pPr>
        <w:spacing w:after="0" w:line="187" w:lineRule="exact"/>
        <w:rPr>
          <w:sz w:val="20"/>
          <w:szCs w:val="20"/>
          <w:color w:val="auto"/>
        </w:rPr>
      </w:pPr>
    </w:p>
    <w:p>
      <w:pPr>
        <w:ind w:left="460" w:right="539"/>
        <w:spacing w:after="0" w:line="25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20"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In the course of preparing our financial statements for the year ended December 31, 2020, we identified a material weakness in our internal control over financial reporting which relates to a deficiency in the design and operation of our financial statement close and reporting controls, including maintaining sufficient written policies and procedures and the need to use appropriate technical expertise when accounting for complex or non-routine transactions. We concluded that this material weakness is due to the fact that we were recently a private company with limited resources. We did not have the necessary business processes and related internal controls, or the appropriate resources or level of experience and technical expertise, that would be required to oversee financial reporting processes or to address the accounting and financial reporting requirements. Our management is in the process of developing a remediation plan. The material weakness will not be considered remediated until management designs and implements effective controls that operate for a sufficient period of time and management has concluded, through testing, that these controls are effective. The material weakness remains unremediated as of September 30, 2021.</w:t>
      </w:r>
    </w:p>
    <w:p>
      <w:pPr>
        <w:spacing w:after="0" w:line="100"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Shortly before the Business Combination, we appointed a chief financial officer and we recently appointed a chief accounting officer, have hired and are currently recruiting additional finance personnel and have engaged a reputable independent accounting group to undertake a review and gap analysis of current systems and processes in order to develop a remediation plan. If not remediated, this material weakness could result in material misstatements to our annual or interim financial statements that would not be prevented or detected on a timely basis, or in the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securities could be adversely affected and we could become subject to litigation or investigations by Nasdaq, the SEC, or other regulatory authorities, which could require additional financial and management resources.</w:t>
      </w:r>
    </w:p>
    <w:p>
      <w:pPr>
        <w:spacing w:after="0" w:line="98" w:lineRule="exact"/>
        <w:rPr>
          <w:sz w:val="20"/>
          <w:szCs w:val="20"/>
          <w:color w:val="auto"/>
        </w:rPr>
      </w:pPr>
    </w:p>
    <w:p>
      <w:pPr>
        <w:ind w:left="460" w:right="719" w:firstLine="432"/>
        <w:spacing w:after="0" w:line="272" w:lineRule="auto"/>
        <w:rPr>
          <w:sz w:val="20"/>
          <w:szCs w:val="20"/>
          <w:color w:val="auto"/>
        </w:rPr>
      </w:pPr>
      <w:r>
        <w:rPr>
          <w:rFonts w:ascii="Arial" w:cs="Arial" w:eastAsia="Arial" w:hAnsi="Arial"/>
          <w:sz w:val="17"/>
          <w:szCs w:val="17"/>
          <w:color w:val="auto"/>
        </w:rPr>
        <w:t xml:space="preserve">In addition, following this issuance of the SEC Statement, on May 24, 2021, after consultation with SOAC’s independent registered public accounting firm, SOAC’s management and its audit committee concluded that, in light of the SEC Statement, it was appropriate to restate SOAC’s previously issued audited financial statements as of and for the period ended December 31, 2020 (the “Restatement”). See “—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warrants are accounted for as liabilities and the changes in value of SOAC’s warrants could have a material effect on its financial results.</w:t>
      </w:r>
      <w:r>
        <w:rPr>
          <w:rFonts w:ascii="Arial" w:cs="Arial" w:eastAsia="Arial" w:hAnsi="Arial"/>
          <w:sz w:val="17"/>
          <w:szCs w:val="17"/>
          <w:color w:val="auto"/>
        </w:rPr>
        <w:t>” As part of such process, SOAC identified a material weakness in its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over financial reporting.</w:t>
      </w:r>
    </w:p>
    <w:p>
      <w:pPr>
        <w:spacing w:after="0" w:line="110" w:lineRule="exact"/>
        <w:rPr>
          <w:sz w:val="20"/>
          <w:szCs w:val="20"/>
          <w:color w:val="auto"/>
        </w:rPr>
      </w:pPr>
    </w:p>
    <w:p>
      <w:pPr>
        <w:jc w:val="both"/>
        <w:ind w:left="460" w:right="939" w:firstLine="432"/>
        <w:spacing w:after="0" w:line="263"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w:t>
      </w:r>
    </w:p>
    <w:p>
      <w:pPr>
        <w:spacing w:after="0" w:line="11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Effective internal controls are necessary for the combined company to provide reliable financial reports and prevent fraud. We continue to evaluate steps to remediate the material weaknesses. These remediation measures may be time consuming and costly and there is no assurance that these initiatives will ultimately have the intended effects.</w:t>
      </w:r>
    </w:p>
    <w:p>
      <w:pPr>
        <w:spacing w:after="0" w:line="106"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If we identify any new material weakness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that may be taken in the future, will be sufficient to avoid potential future material weaknesses.</w:t>
      </w:r>
    </w:p>
    <w:p>
      <w:pPr>
        <w:sectPr>
          <w:pgSz w:w="11900" w:h="16838" w:orient="portrait"/>
          <w:cols w:equalWidth="0" w:num="1">
            <w:col w:w="9019"/>
          </w:cols>
          <w:pgMar w:left="1440" w:top="274"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859"/>
        <w:spacing w:after="0" w:line="277" w:lineRule="auto"/>
        <w:rPr>
          <w:sz w:val="20"/>
          <w:szCs w:val="20"/>
          <w:color w:val="auto"/>
        </w:rPr>
      </w:pPr>
      <w:r>
        <w:rPr>
          <w:rFonts w:ascii="Arial" w:cs="Arial" w:eastAsia="Arial" w:hAnsi="Arial"/>
          <w:sz w:val="18"/>
          <w:szCs w:val="18"/>
          <w:b w:val="1"/>
          <w:bCs w:val="1"/>
          <w:i w:val="1"/>
          <w:iCs w:val="1"/>
          <w:color w:val="auto"/>
        </w:rPr>
        <w:t>We may face litigation and other risks as a result of the material weaknesses in our internal control over financial reporting.</w:t>
      </w:r>
    </w:p>
    <w:p>
      <w:pPr>
        <w:spacing w:after="0" w:line="89"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 xml:space="preserve">Following the issuance of the SEC Statement, after consultation with its independent registered public accounting firm, SOAC’s management and its audit committee concluded that it was appropriate to restate its previously issued audited financial statements as of and for the period ended December 31, 2020. See “—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 are accounted for as liabilities and the changes in value of SOAC’s warrants could have a material effect on its financial results</w:t>
      </w:r>
      <w:r>
        <w:rPr>
          <w:rFonts w:ascii="Arial" w:cs="Arial" w:eastAsia="Arial" w:hAnsi="Arial"/>
          <w:sz w:val="18"/>
          <w:szCs w:val="18"/>
          <w:color w:val="auto"/>
        </w:rPr>
        <w:t>.” As part of the Restatement, SOAC identified a material weakness in its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over financial reporting.</w:t>
      </w:r>
    </w:p>
    <w:p>
      <w:pPr>
        <w:spacing w:after="0" w:line="125"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As a result of such material weakness, the Restatement, the change in accounting for the warrants, and other matters raised or that may in the future be raised by the SEC, we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66"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Public Warrants and Private Placement Warrants will be in the money at the time they become exercisable, and they may expire worthless.</w:t>
      </w:r>
    </w:p>
    <w:p>
      <w:pPr>
        <w:spacing w:after="0" w:line="103" w:lineRule="exact"/>
        <w:rPr>
          <w:sz w:val="20"/>
          <w:szCs w:val="20"/>
          <w:color w:val="auto"/>
        </w:rPr>
      </w:pPr>
    </w:p>
    <w:p>
      <w:pPr>
        <w:jc w:val="both"/>
        <w:ind w:left="460" w:right="839" w:firstLine="432"/>
        <w:spacing w:after="0" w:line="311" w:lineRule="auto"/>
        <w:rPr>
          <w:sz w:val="20"/>
          <w:szCs w:val="20"/>
          <w:color w:val="auto"/>
        </w:rPr>
      </w:pPr>
      <w:r>
        <w:rPr>
          <w:rFonts w:ascii="Arial" w:cs="Arial" w:eastAsia="Arial" w:hAnsi="Arial"/>
          <w:sz w:val="16"/>
          <w:szCs w:val="16"/>
          <w:color w:val="auto"/>
        </w:rPr>
        <w:t>The exercise price for the outstanding Public Warrants and Private Placement Warrants is $11.50 per Common Share. There can be no assurance that such warrants will be in the money following the time they become exercisable and prior to their expiration, and as such, such warrants may expire worthless.</w:t>
      </w:r>
    </w:p>
    <w:p>
      <w:pPr>
        <w:spacing w:after="0" w:line="68"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There are currently outstanding an aggregate of 24,500,000 warrants to acquire our Common Shares (not including the Allseas Warrant), which comprise 9,500,000 Private Placement Warrants held by SOAC’s initial shareholders at the time of SOAC’s initial public offering and 15,000,000 Public Warrants. Each of our outstanding whole warrants is exercisable commencing on October 9, 2021, for one Common Share in accordance with its terms. Therefore, as of September 30, 2021, if we assume that each outstanding whole warrant is exercised and one Common Share is issued as a result of such exercise, with payment of the exercise price of $11.50 per share, our fully-diluted share capital would increase by a total of 24,500,000 shares, with approximately $281,750,000 paid to us to exercise the warrants.</w:t>
      </w:r>
    </w:p>
    <w:p>
      <w:pPr>
        <w:spacing w:after="0" w:line="165" w:lineRule="exact"/>
        <w:rPr>
          <w:sz w:val="20"/>
          <w:szCs w:val="20"/>
          <w:color w:val="auto"/>
        </w:rPr>
      </w:pPr>
    </w:p>
    <w:p>
      <w:pPr>
        <w:ind w:left="460" w:right="559"/>
        <w:spacing w:after="0" w:line="327"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72"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89" w:lineRule="auto"/>
        <w:rPr>
          <w:sz w:val="20"/>
          <w:szCs w:val="20"/>
          <w:color w:val="auto"/>
        </w:rPr>
      </w:pPr>
      <w:r>
        <w:rPr>
          <w:rFonts w:ascii="Arial" w:cs="Arial" w:eastAsia="Arial" w:hAnsi="Arial"/>
          <w:sz w:val="16"/>
          <w:szCs w:val="16"/>
          <w:color w:val="auto"/>
        </w:rPr>
        <w:t>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Additionally, we are a “smaller reporting company” as defined in Item 10(f)(1) of Regulation S-</w:t>
      </w:r>
    </w:p>
    <w:p>
      <w:pPr>
        <w:spacing w:after="0" w:line="23" w:lineRule="exact"/>
        <w:rPr>
          <w:sz w:val="20"/>
          <w:szCs w:val="20"/>
          <w:color w:val="auto"/>
        </w:rPr>
      </w:pPr>
    </w:p>
    <w:p>
      <w:pPr>
        <w:ind w:left="460" w:right="479"/>
        <w:spacing w:after="0" w:line="281" w:lineRule="auto"/>
        <w:rPr>
          <w:sz w:val="20"/>
          <w:szCs w:val="20"/>
          <w:color w:val="auto"/>
        </w:rPr>
      </w:pPr>
      <w:r>
        <w:rPr>
          <w:rFonts w:ascii="Arial" w:cs="Arial" w:eastAsia="Arial" w:hAnsi="Arial"/>
          <w:sz w:val="16"/>
          <w:szCs w:val="16"/>
          <w:color w:val="auto"/>
        </w:rPr>
        <w:t>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w:t>
      </w:r>
    </w:p>
    <w:p>
      <w:pPr>
        <w:spacing w:after="0" w:line="2" w:lineRule="exact"/>
        <w:rPr>
          <w:sz w:val="20"/>
          <w:szCs w:val="20"/>
          <w:color w:val="auto"/>
        </w:rPr>
      </w:pPr>
    </w:p>
    <w:p>
      <w:pPr>
        <w:ind w:left="460" w:right="519" w:hanging="6"/>
        <w:spacing w:after="0" w:line="295" w:lineRule="auto"/>
        <w:tabs>
          <w:tab w:leader="none" w:pos="7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161"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Our business is capital intensive, and we may be required to raise additional funds in the future in order to accomplish our objectives.</w:t>
      </w:r>
    </w:p>
    <w:p>
      <w:pPr>
        <w:spacing w:after="0" w:line="103"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The continuing exploration and development of the contract areas in NORI, TOML and Marawa may depend upon our ability to obtain dilutive and/or non-dilutive financing through debt financing, equity financing, joint ventures, or other means. Additionally, the actual amount of capital raised for our projects may vary materially from our current estimates, which could require that we raise additional funds.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debt financing may not be available in commercially available terms, or at all. Failure to obtain additional financing on a timely basis could cause us to reduce or terminate our operations. There can be no certainty that capital will be available to us on acceptable terms.</w:t>
      </w:r>
    </w:p>
    <w:p>
      <w:pPr>
        <w:spacing w:after="0" w:line="111"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92" w:lineRule="exact"/>
        <w:rPr>
          <w:sz w:val="20"/>
          <w:szCs w:val="20"/>
          <w:color w:val="auto"/>
        </w:rPr>
      </w:pPr>
    </w:p>
    <w:p>
      <w:pPr>
        <w:ind w:left="460" w:right="759"/>
        <w:spacing w:after="0" w:line="277" w:lineRule="auto"/>
        <w:rPr>
          <w:sz w:val="20"/>
          <w:szCs w:val="20"/>
          <w:color w:val="auto"/>
        </w:rPr>
      </w:pPr>
      <w:r>
        <w:rPr>
          <w:rFonts w:ascii="Arial" w:cs="Arial" w:eastAsia="Arial" w:hAnsi="Arial"/>
          <w:sz w:val="18"/>
          <w:szCs w:val="18"/>
          <w:b w:val="1"/>
          <w:bCs w:val="1"/>
          <w:i w:val="1"/>
          <w:iCs w:val="1"/>
          <w:color w:val="auto"/>
        </w:rPr>
        <w:t>We may incur debt in the future, and our ability to satisfy our obligations thereunder remains subject to a variety of factors, many of which are not within our control.</w:t>
      </w:r>
    </w:p>
    <w:p>
      <w:pPr>
        <w:spacing w:after="0" w:line="103"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We may seek to incur debt in the future in order to fund our exploration and operational programs, which would reduce our financial flexibility and could have a material adverse effect on our business, financial condition or results of operation.</w:t>
      </w:r>
    </w:p>
    <w:p>
      <w:pPr>
        <w:spacing w:after="0" w:line="116"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19"/>
        <w:spacing w:after="0" w:line="279" w:lineRule="auto"/>
        <w:rPr>
          <w:sz w:val="20"/>
          <w:szCs w:val="20"/>
          <w:color w:val="auto"/>
        </w:rPr>
      </w:pPr>
      <w:r>
        <w:rPr>
          <w:rFonts w:ascii="Arial" w:cs="Arial" w:eastAsia="Arial" w:hAnsi="Arial"/>
          <w:sz w:val="17"/>
          <w:szCs w:val="17"/>
          <w:color w:val="auto"/>
        </w:rPr>
        <w:t>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04"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84" w:lineRule="exact"/>
        <w:rPr>
          <w:sz w:val="20"/>
          <w:szCs w:val="20"/>
          <w:color w:val="auto"/>
        </w:rPr>
      </w:pPr>
    </w:p>
    <w:p>
      <w:pPr>
        <w:ind w:left="460" w:right="69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Shares and Warrants may never develop or be sustained, which would adversely affect the liquidity and price of our securities.</w:t>
      </w:r>
    </w:p>
    <w:p>
      <w:pPr>
        <w:spacing w:after="0" w:line="103"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An active trading market for our securities may never develop or, if developed, may not be sustained. In addition, the price of our securities could fluctuate significantly for various reasons, many of which are outside our control, such as our performance, large purchases or sales of our common shares, legislative changes and general economic, political or regulatory conditions. The release of our financial results may also cause our share price to vary. If an active market for our securities does not develop, it may be difficult for you to sell our Common Shares and/or Warrants you own or purchase without depressing the market price for our securities or to sell the securities at all. The existence of an active trading market for our securities will depend to a significant extent on our ability to continue to meet Nasdaq’s listing requirements, which we may be unable to accomplish.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There can be no assurance that we will be able to comply with the continued listing standards of Nasdaq.</w:t>
      </w:r>
    </w:p>
    <w:p>
      <w:pPr>
        <w:spacing w:after="0" w:line="167"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In connection with the closing of the Business Combination, on September 10, 2021, our Common Shares and Public Warrants began trading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90"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44" w:lineRule="exact"/>
        <w:rPr>
          <w:rFonts w:ascii="Arial" w:cs="Arial" w:eastAsia="Arial" w:hAnsi="Arial"/>
          <w:sz w:val="18"/>
          <w:szCs w:val="18"/>
          <w:color w:val="auto"/>
        </w:rPr>
      </w:pPr>
    </w:p>
    <w:p>
      <w:pPr>
        <w:ind w:left="1320" w:right="519" w:hanging="434"/>
        <w:spacing w:after="0" w:line="263"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The market price of our securities may be volatile, which could cause the value of your investment to decline.</w:t>
      </w:r>
    </w:p>
    <w:p>
      <w:pPr>
        <w:spacing w:after="0" w:line="179"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Even if a trading market develops, 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the COVID-19 pandemic), could reduce the market price of our securities in spite of our operating performance. If we are unable to operate as profitably as investors expect, the market price of our common shares post-Business Combination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w:t>
      </w:r>
    </w:p>
    <w:p>
      <w:pPr>
        <w:sectPr>
          <w:pgSz w:w="11900" w:h="16838" w:orient="portrait"/>
          <w:cols w:equalWidth="0" w:num="1">
            <w:col w:w="9019"/>
          </w:cols>
          <w:pgMar w:left="1440" w:top="274"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57" w:lineRule="auto"/>
        <w:rPr>
          <w:sz w:val="20"/>
          <w:szCs w:val="20"/>
          <w:color w:val="auto"/>
        </w:rPr>
      </w:pPr>
      <w:r>
        <w:rPr>
          <w:rFonts w:ascii="Arial" w:cs="Arial" w:eastAsia="Arial" w:hAnsi="Arial"/>
          <w:sz w:val="18"/>
          <w:szCs w:val="18"/>
          <w:color w:val="auto"/>
        </w:rPr>
        <w:t>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20"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164" w:lineRule="exact"/>
        <w:rPr>
          <w:sz w:val="20"/>
          <w:szCs w:val="20"/>
          <w:color w:val="auto"/>
        </w:rPr>
      </w:pPr>
    </w:p>
    <w:p>
      <w:pPr>
        <w:ind w:left="460" w:right="559"/>
        <w:spacing w:after="0" w:line="263" w:lineRule="auto"/>
        <w:rPr>
          <w:sz w:val="20"/>
          <w:szCs w:val="20"/>
          <w:color w:val="auto"/>
        </w:rPr>
      </w:pPr>
      <w:r>
        <w:rPr>
          <w:rFonts w:ascii="Arial" w:cs="Arial" w:eastAsia="Arial" w:hAnsi="Arial"/>
          <w:sz w:val="18"/>
          <w:szCs w:val="18"/>
          <w:b w:val="1"/>
          <w:bCs w:val="1"/>
          <w:i w:val="1"/>
          <w:iCs w:val="1"/>
          <w:color w:val="auto"/>
        </w:rPr>
        <w:t>There may be sales of a substantial amount of our Common Shares after the Business Combination by former SOAC shareholders and/or former DeepGreen shareholders, and these sales could cause the price of our securities to fall.</w:t>
      </w:r>
    </w:p>
    <w:p>
      <w:pPr>
        <w:spacing w:after="0" w:line="116"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As of September 30, 2021, we had 224,385,324 Common Shares and 24,500,000 Warrants to acquire Common Shares issued and outstanding. In addition, the Allseas Warrant is exercisable for up to 11,578,620 Common Shares subject to the terms and conditions thereof. All of our public shares are freely transferable (subject to any contractual lock-up agreements), except for the PIPE Shares and any shares held by our and Legacy DeepGreen’s “affiliates,” as that term is defined in Rule 144 under the Securities Act. Our Common Shares issued to the Sponsor and the independent SOAC directors in exchange for their founder shares are subject to certain contractual lock-up agreements. In addition, an aggregate of 124,969,517 Common Shares held by DeepGreen shareholders (including 14,732,740 Common Shares held by DeepGreen management) are subject to certain lock-up arrangements ending on the earlier of (A) 180 days after the Closing (or 540 days after the Closing in the case of 1,943,963 Common Shares held by DeepGreen management)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Further, up to 77,277,244 Common Shares may be issued to the holders upon conversion of the Special Shares if certain price thresholds are met as described herein and such Common Shares could be sold in the public market. Sales of substantial amounts of our Common Shares in the public market, or the perception that such sales will occur, could adversely affect the market price of our Common Shares.</w:t>
      </w:r>
    </w:p>
    <w:p>
      <w:pPr>
        <w:spacing w:after="0" w:line="169"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8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 xml:space="preserve">We have the ability to redeem outstanding warrants at any time after they become exercisable and prior to their expiration, at a price of $0.01 per warrant,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Sponsor or its permitted transferees.</w:t>
      </w:r>
    </w:p>
    <w:p>
      <w:pPr>
        <w:spacing w:after="0" w:line="17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03"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257" w:lineRule="auto"/>
        <w:rPr>
          <w:sz w:val="20"/>
          <w:szCs w:val="20"/>
          <w:color w:val="auto"/>
        </w:rPr>
      </w:pPr>
      <w:r>
        <w:rPr>
          <w:rFonts w:ascii="Arial" w:cs="Arial" w:eastAsia="Arial" w:hAnsi="Arial"/>
          <w:sz w:val="18"/>
          <w:szCs w:val="18"/>
          <w:color w:val="auto"/>
        </w:rPr>
        <w:t>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188" w:lineRule="exact"/>
        <w:rPr>
          <w:sz w:val="20"/>
          <w:szCs w:val="20"/>
          <w:color w:val="auto"/>
        </w:rPr>
      </w:pPr>
    </w:p>
    <w:p>
      <w:pPr>
        <w:ind w:left="460" w:right="979"/>
        <w:spacing w:after="0" w:line="277" w:lineRule="auto"/>
        <w:rPr>
          <w:sz w:val="20"/>
          <w:szCs w:val="20"/>
          <w:color w:val="auto"/>
        </w:rPr>
      </w:pPr>
      <w:r>
        <w:rPr>
          <w:rFonts w:ascii="Arial" w:cs="Arial" w:eastAsia="Arial" w:hAnsi="Arial"/>
          <w:sz w:val="18"/>
          <w:szCs w:val="18"/>
          <w:b w:val="1"/>
          <w:bCs w:val="1"/>
          <w:i w:val="1"/>
          <w:iCs w:val="1"/>
          <w:color w:val="auto"/>
        </w:rPr>
        <w:t>As we are not a reporting issuer in Canada, our Common Shares and Special Shares may be subject to restrictions on resale in Canada.</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Our Common Shares and Special Shares distributed pursuant to the Business Combination were distributed pursuant to an exemption from the prospectus requirements in Canada. As we are not a reporting issuer in Canada and we do not intend to become a reporting issuer in Canada in the future, any distributions of our securities following the completion of the Business Combination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offerings held by Canadian Owners will be freely transferable by the Canadian Owners.</w:t>
      </w:r>
    </w:p>
    <w:p>
      <w:pPr>
        <w:spacing w:after="0" w:line="180" w:lineRule="exact"/>
        <w:rPr>
          <w:sz w:val="20"/>
          <w:szCs w:val="20"/>
          <w:color w:val="auto"/>
        </w:rPr>
      </w:pPr>
    </w:p>
    <w:p>
      <w:pPr>
        <w:jc w:val="both"/>
        <w:ind w:left="460" w:right="539"/>
        <w:spacing w:after="0" w:line="263" w:lineRule="auto"/>
        <w:rPr>
          <w:sz w:val="20"/>
          <w:szCs w:val="20"/>
          <w:color w:val="auto"/>
        </w:rPr>
      </w:pPr>
      <w:r>
        <w:rPr>
          <w:rFonts w:ascii="Arial" w:cs="Arial" w:eastAsia="Arial" w:hAnsi="Arial"/>
          <w:sz w:val="18"/>
          <w:szCs w:val="18"/>
          <w:b w:val="1"/>
          <w:bCs w:val="1"/>
          <w:i w:val="1"/>
          <w:iCs w:val="1"/>
          <w:color w:val="auto"/>
        </w:rPr>
        <w:t>Because there are no current plans to pay cash dividends on our Common Shares for the foreseeable future, you may not receive any return on investment unless you sell your Common Shares for a price greater than that which you paid for it.</w:t>
      </w:r>
    </w:p>
    <w:p>
      <w:pPr>
        <w:spacing w:after="0" w:line="116"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intend to retain future earnings, if any, for future operations, expansion and debt repayment, and there are no current plans to pay any cash dividends for the foreseeable future. The declaration, amount, and payment of any future dividends on our Common Shares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shareholders, and such other factors as our board of directors may deem relevant. In addition, our ability to pay dividends may be limited by covenants of any future indebtedness we may in the future incur. As a result, you may not receive any return on an investment in our Common Shares unless you sell your common shares for a price greater than that which you paid for it.</w:t>
      </w:r>
    </w:p>
    <w:p>
      <w:pPr>
        <w:spacing w:after="0" w:line="185"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Our actual financial position and results of operations may differ materially from the unaudited pro forma financial information included in this prospectus.</w:t>
      </w:r>
    </w:p>
    <w:p>
      <w:pPr>
        <w:spacing w:after="0" w:line="89" w:lineRule="exact"/>
        <w:rPr>
          <w:sz w:val="20"/>
          <w:szCs w:val="20"/>
          <w:color w:val="auto"/>
        </w:rPr>
      </w:pPr>
    </w:p>
    <w:p>
      <w:pPr>
        <w:ind w:left="460" w:right="959" w:firstLine="432"/>
        <w:spacing w:after="0" w:line="259" w:lineRule="auto"/>
        <w:rPr>
          <w:sz w:val="20"/>
          <w:szCs w:val="20"/>
          <w:color w:val="auto"/>
        </w:rPr>
      </w:pPr>
      <w:r>
        <w:rPr>
          <w:rFonts w:ascii="Arial" w:cs="Arial" w:eastAsia="Arial" w:hAnsi="Arial"/>
          <w:sz w:val="18"/>
          <w:szCs w:val="18"/>
          <w:color w:val="auto"/>
        </w:rPr>
        <w:t>The unaudited pro forma condensed combined financial information included in this prospectus is presented for illustrative purposes only and is not necessarily indicative of our future financial position or results of operations. See “</w:t>
      </w:r>
      <w:r>
        <w:rPr>
          <w:rFonts w:ascii="Arial" w:cs="Arial" w:eastAsia="Arial" w:hAnsi="Arial"/>
          <w:sz w:val="18"/>
          <w:szCs w:val="18"/>
          <w:i w:val="1"/>
          <w:iCs w:val="1"/>
          <w:color w:val="auto"/>
        </w:rPr>
        <w:t>Unaudited Pro Forma Condensed Combined Financial Statements</w:t>
      </w:r>
      <w:r>
        <w:rPr>
          <w:rFonts w:ascii="Arial" w:cs="Arial" w:eastAsia="Arial" w:hAnsi="Arial"/>
          <w:sz w:val="18"/>
          <w:szCs w:val="18"/>
          <w:color w:val="auto"/>
        </w:rPr>
        <w:t>” for more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are exposed to risks in our international operations, which could adversely affect our business.</w:t>
      </w:r>
    </w:p>
    <w:p>
      <w:pPr>
        <w:spacing w:after="0" w:line="169"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1079"/>
        <w:spacing w:after="0" w:line="277" w:lineRule="auto"/>
        <w:rPr>
          <w:sz w:val="20"/>
          <w:szCs w:val="20"/>
          <w:color w:val="auto"/>
        </w:rPr>
      </w:pPr>
      <w:r>
        <w:rPr>
          <w:rFonts w:ascii="Arial" w:cs="Arial" w:eastAsia="Arial" w:hAnsi="Arial"/>
          <w:sz w:val="18"/>
          <w:szCs w:val="18"/>
          <w:b w:val="1"/>
          <w:bCs w:val="1"/>
          <w:i w:val="1"/>
          <w:iCs w:val="1"/>
          <w:color w:val="auto"/>
        </w:rPr>
        <w:t>We are expected to be a PFIC, which could result in adverse U.S. federal income tax consequences to U.S. Holders.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expected to be a passive foreign investment company (“PFIC”) for the tax year ended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December 31, 2021. As a result, U.S. Holders (defined below) of our public shares and public warrants may be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subject to certain adverse U.S. federal income tax consequences and may be subject to additional reporting</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requirements. See “</w:t>
      </w:r>
      <w:r>
        <w:rPr>
          <w:rFonts w:ascii="Arial" w:cs="Arial" w:eastAsia="Arial" w:hAnsi="Arial"/>
          <w:sz w:val="17"/>
          <w:szCs w:val="17"/>
          <w:i w:val="1"/>
          <w:iCs w:val="1"/>
          <w:color w:val="auto"/>
        </w:rPr>
        <w:t>U.S. Federal Income Tax Considerations — Tax Consequences of Ownership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Disposition of Public Shares and Public Warrants — Passive Foreign Investment Company Rules</w:t>
      </w:r>
      <w:r>
        <w:rPr>
          <w:rFonts w:ascii="Arial" w:cs="Arial" w:eastAsia="Arial" w:hAnsi="Arial"/>
          <w:sz w:val="16"/>
          <w:szCs w:val="16"/>
          <w:color w:val="auto"/>
        </w:rPr>
        <w:t>” for a more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detailed discussion with respect to our PFIC status and the application of the PFIC rules. U.S. Holders of our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public shares and public warrants are urged to consult their tax advisors regarding the application of the PFIC</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rules to them.</w:t>
      </w:r>
    </w:p>
    <w:p>
      <w:pPr>
        <w:spacing w:after="0" w:line="211" w:lineRule="exact"/>
        <w:rPr>
          <w:sz w:val="20"/>
          <w:szCs w:val="20"/>
          <w:color w:val="auto"/>
        </w:rPr>
      </w:pPr>
    </w:p>
    <w:p>
      <w:pPr>
        <w:ind w:left="460" w:right="619"/>
        <w:spacing w:after="0" w:line="263" w:lineRule="auto"/>
        <w:rPr>
          <w:sz w:val="20"/>
          <w:szCs w:val="20"/>
          <w:color w:val="auto"/>
        </w:rPr>
      </w:pPr>
      <w:r>
        <w:rPr>
          <w:rFonts w:ascii="Arial" w:cs="Arial" w:eastAsia="Arial" w:hAnsi="Arial"/>
          <w:sz w:val="18"/>
          <w:szCs w:val="18"/>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16"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Provisions in our Notice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19"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For instance, the Notice and Articles contain provisions that establish certain advance notice procedures for nomination of candidates for election as directors at shareholders’ meetings. See “</w:t>
      </w:r>
      <w:r>
        <w:rPr>
          <w:rFonts w:ascii="Arial" w:cs="Arial" w:eastAsia="Arial" w:hAnsi="Arial"/>
          <w:sz w:val="16"/>
          <w:szCs w:val="16"/>
          <w:i w:val="1"/>
          <w:iCs w:val="1"/>
          <w:color w:val="auto"/>
        </w:rPr>
        <w:t>Description of TMC</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 Certain Important Provisions of TMC Notice and Articles and the BCBCA.</w:t>
      </w:r>
      <w:r>
        <w:rPr>
          <w:rFonts w:ascii="Arial" w:cs="Arial" w:eastAsia="Arial" w:hAnsi="Arial"/>
          <w:sz w:val="16"/>
          <w:szCs w:val="16"/>
          <w:color w:val="auto"/>
        </w:rPr>
        <w:t>”</w:t>
      </w:r>
    </w:p>
    <w:p>
      <w:pPr>
        <w:spacing w:after="0" w:line="6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 xml:space="preserve">Limitations on the ability to acquire and hold Common Shares may also be imposed by the </w:t>
      </w:r>
      <w:r>
        <w:rPr>
          <w:rFonts w:ascii="Arial" w:cs="Arial" w:eastAsia="Arial" w:hAnsi="Arial"/>
          <w:sz w:val="18"/>
          <w:szCs w:val="18"/>
          <w:i w:val="1"/>
          <w:iCs w:val="1"/>
          <w:color w:val="auto"/>
        </w:rPr>
        <w:t>Competition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(Canada). This legislation permits the Commissioner of Competition, or Commissioner, to review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acquisition or establishment, directly or indirectly, including through the acquisition of shares, of control over or of a significant interest in TMC. Moreover, a non-Canadian must file an application for review with the Minister responsible for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xml:space="preserve"> and obtain approval of the Minister prior to acquiring control of a “Canadian business” within the meaning of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where prescribed financial thresholds are exceeded.</w:t>
      </w:r>
    </w:p>
    <w:p>
      <w:pPr>
        <w:spacing w:after="0" w:line="127" w:lineRule="exact"/>
        <w:rPr>
          <w:sz w:val="20"/>
          <w:szCs w:val="20"/>
          <w:color w:val="auto"/>
        </w:rPr>
      </w:pPr>
    </w:p>
    <w:p>
      <w:pPr>
        <w:ind w:left="460" w:right="719" w:firstLine="432"/>
        <w:spacing w:after="0" w:line="311" w:lineRule="auto"/>
        <w:rPr>
          <w:sz w:val="20"/>
          <w:szCs w:val="20"/>
          <w:color w:val="auto"/>
        </w:rPr>
      </w:pPr>
      <w:r>
        <w:rPr>
          <w:rFonts w:ascii="Arial" w:cs="Arial" w:eastAsia="Arial" w:hAnsi="Arial"/>
          <w:sz w:val="16"/>
          <w:szCs w:val="16"/>
          <w:color w:val="auto"/>
        </w:rPr>
        <w:t>Further, changes to critical minerals policies and regulations in Canada and the United States and elsewhere may impact our ability to conduct our businesses internationally, including processing and sales of minerals and metals, and the ability to negotiate or agree any merger, acquisition or change of control.</w:t>
      </w:r>
    </w:p>
    <w:p>
      <w:pPr>
        <w:spacing w:after="0" w:line="149" w:lineRule="exact"/>
        <w:rPr>
          <w:sz w:val="20"/>
          <w:szCs w:val="20"/>
          <w:color w:val="auto"/>
        </w:rPr>
      </w:pPr>
    </w:p>
    <w:p>
      <w:pPr>
        <w:ind w:left="460" w:right="519"/>
        <w:spacing w:after="0" w:line="301" w:lineRule="auto"/>
        <w:rPr>
          <w:sz w:val="20"/>
          <w:szCs w:val="20"/>
          <w:color w:val="auto"/>
        </w:rPr>
      </w:pPr>
      <w:r>
        <w:rPr>
          <w:rFonts w:ascii="Arial" w:cs="Arial" w:eastAsia="Arial" w:hAnsi="Arial"/>
          <w:sz w:val="16"/>
          <w:szCs w:val="16"/>
          <w:b w:val="1"/>
          <w:bCs w:val="1"/>
          <w:i w:val="1"/>
          <w:iCs w:val="1"/>
          <w:color w:val="auto"/>
        </w:rPr>
        <w:t>Our Notice and Articles will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90"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Our Notice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03"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United States of America will, to the</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79" w:lineRule="auto"/>
        <w:rPr>
          <w:sz w:val="20"/>
          <w:szCs w:val="20"/>
          <w:color w:val="auto"/>
        </w:rPr>
      </w:pPr>
      <w:r>
        <w:rPr>
          <w:rFonts w:ascii="Arial" w:cs="Arial" w:eastAsia="Arial" w:hAnsi="Arial"/>
          <w:sz w:val="17"/>
          <w:szCs w:val="17"/>
          <w:color w:val="auto"/>
        </w:rPr>
        <w:t>fullest extent permitted by law, be the sole and exclusive forum for resolving any complaint asserting a cause of action arising under the Securities Act (the “</w:t>
      </w:r>
      <w:r>
        <w:rPr>
          <w:rFonts w:ascii="Arial" w:cs="Arial" w:eastAsia="Arial" w:hAnsi="Arial"/>
          <w:sz w:val="17"/>
          <w:szCs w:val="17"/>
          <w:u w:val="single" w:color="auto"/>
          <w:color w:val="auto"/>
        </w:rPr>
        <w:t>Federal Forum Provision</w:t>
      </w:r>
      <w:r>
        <w:rPr>
          <w:rFonts w:ascii="Arial" w:cs="Arial" w:eastAsia="Arial" w:hAnsi="Arial"/>
          <w:sz w:val="17"/>
          <w:szCs w:val="17"/>
          <w:color w:val="auto"/>
        </w:rPr>
        <w:t>”). Application of the Federal Forum Provision means that suits brought by our securityholders to enforce any duty or liability created by the Securities Act must be brought in federal court and cannot be brought in any state court.</w:t>
      </w:r>
    </w:p>
    <w:p>
      <w:pPr>
        <w:spacing w:after="0" w:line="104" w:lineRule="exact"/>
        <w:rPr>
          <w:sz w:val="20"/>
          <w:szCs w:val="20"/>
          <w:color w:val="auto"/>
        </w:rPr>
      </w:pPr>
    </w:p>
    <w:p>
      <w:pPr>
        <w:ind w:left="460" w:right="659" w:firstLine="432"/>
        <w:spacing w:after="0" w:line="296"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9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 See “</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TMC Securities — Certain Important Provisions of TMC Notice and Articles and the BCBCA — Forum Selection</w:t>
      </w:r>
      <w:r>
        <w:rPr>
          <w:rFonts w:ascii="Arial" w:cs="Arial" w:eastAsia="Arial" w:hAnsi="Arial"/>
          <w:sz w:val="17"/>
          <w:szCs w:val="17"/>
          <w:color w:val="auto"/>
        </w:rPr>
        <w:t>.”</w:t>
      </w:r>
    </w:p>
    <w:p>
      <w:pPr>
        <w:spacing w:after="0" w:line="182"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Our Notice and Articles will permit us to issue an unlimited number of Common Shares and preferred shares without seeking approval of the holders of our Common Shares.</w:t>
      </w:r>
    </w:p>
    <w:p>
      <w:pPr>
        <w:spacing w:after="0" w:line="89"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Our Notice and Articles will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2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TMC Notice and Articles will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 See “</w:t>
      </w:r>
      <w:r>
        <w:rPr>
          <w:rFonts w:ascii="Arial" w:cs="Arial" w:eastAsia="Arial" w:hAnsi="Arial"/>
          <w:sz w:val="16"/>
          <w:szCs w:val="16"/>
          <w:i w:val="1"/>
          <w:iCs w:val="1"/>
          <w:color w:val="auto"/>
        </w:rPr>
        <w:t>Description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TMC Securities — Authorized Share Capital — Preferred Shares.</w:t>
      </w:r>
      <w:r>
        <w:rPr>
          <w:rFonts w:ascii="Arial" w:cs="Arial" w:eastAsia="Arial" w:hAnsi="Arial"/>
          <w:sz w:val="16"/>
          <w:szCs w:val="16"/>
          <w:color w:val="auto"/>
        </w:rPr>
        <w:t>”</w:t>
      </w:r>
    </w:p>
    <w:p>
      <w:pPr>
        <w:spacing w:after="0" w:line="168"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b w:val="1"/>
          <w:bCs w:val="1"/>
          <w:i w:val="1"/>
          <w:iCs w:val="1"/>
          <w:color w:val="auto"/>
        </w:rPr>
        <w:t>As a company incorporated in British Columbia with some of our directors and officers residing outside of the U.S., it may be difficult for investors in the United States to enforce civil liabilities against us based solely upon the federal securities laws of the United States.</w:t>
      </w:r>
    </w:p>
    <w:p>
      <w:pPr>
        <w:spacing w:after="0" w:line="116"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We are incorporated under the laws of British Columbia with our registered office located in British Columbia, Canada. Many of our directors and officers reside outside of the United States and all or a substantial portion of our assets and those of such persons are located outside the United States. Consequently, it may be difficult for U.S. investors to effect service of process within the United States upon us or our directors or officers who are not residents of the United States, or to realize in the United States upon judgments of courts of the United States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 sky laws of any state within the United States or (ii) would enforce, in original actions, liabilities against us or such persons predicated upon the U.S. federal securities laws or any such state securities or blue sky laws.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All of the Common Shares and Warrants offered by the Selling Securityholders pursuant to this prospectus will be sold by the Selling Securityholders for their respective accounts. We will not receive any of the proceeds from these sales.</w:t>
      </w:r>
    </w:p>
    <w:p>
      <w:pPr>
        <w:spacing w:after="0" w:line="116"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We will receive up to an aggregate of approximately $281,750,000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OFFERING PRICE</w:t>
      </w:r>
    </w:p>
    <w:p>
      <w:pPr>
        <w:spacing w:after="0" w:line="148"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The offering price of the Common Shares underlying the Warrants offered hereby is determined by reference to the exercise price of the Warrants of $11.50 per share. The Public Warrants are listed on Nasdaq under the symbol “TMCWW.”</w:t>
      </w:r>
    </w:p>
    <w:p>
      <w:pPr>
        <w:spacing w:after="0" w:line="116"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We cannot currently determine the price or prices at which Common Shares or Warrants may be sold by the Selling Securityholders under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MARKET PRICE, TICKER SYMBOL AND DIVIDEND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Price and Ticker Symbol</w:t>
      </w:r>
    </w:p>
    <w:p>
      <w:pPr>
        <w:spacing w:after="0" w:line="14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Our Common Shares and Public Warrants are currently listed on Nasdaq under the symbols “TMC,” and “TMCWW,” respectively.</w:t>
      </w:r>
    </w:p>
    <w:p>
      <w:pPr>
        <w:spacing w:after="0" w:line="103"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closing price of the Common Shares and Public Warrants on October 6, 2021, was $4.14 and $1.01,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Holders</w:t>
      </w:r>
    </w:p>
    <w:p>
      <w:pPr>
        <w:spacing w:after="0" w:line="162"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As of September 30, 2021, there were approximately 224,385,324 Common Shares issued and outstanding held of record by 197 holders, approximately 15,000,000 Public Warrants held of record by one holder and 9,500,000 private placement warrants issued in connection with SOAC’s initial public offering held of record by one holder, each exercisable for one Common Share at a price of $11.50 per share beginning on October 9, 2021.</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Such numbers do not include beneficial owners holding our securities through nominee names.</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We have not paid any cash dividends on our capital stock to date. The payment of cash dividends in the future will be dependent upon our revenues and earnings, if any, capital requirements and general financial condition. The payment of any cash dividends will be within the discretion of the board of directors at such time.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i w:val="1"/>
          <w:iCs w:val="1"/>
          <w:color w:val="auto"/>
        </w:rPr>
        <w:t>Unless the context otherwise requires, “TMC” refers to TMC the metals company Inc. (f/k/a Sustainable Opportunities Acquisition Corp.) and its subsidiary after the Closing, “SOAC” refers to Sustainable Opportunities Acquisition Corp. prior to the Closing, and “Legacy DeepGreen” or “DeepGreen” refers to DeepGreen Metals Inc. prior to the Closing.</w:t>
      </w:r>
    </w:p>
    <w:p>
      <w:pPr>
        <w:spacing w:after="0" w:line="10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following unaudited pro forma condensed combined balance sheet of TMC as of June 30, 2021 and the unaudited pro forma condensed combined statement of operations of TMC for the six months ended June 30, 2021 and the year ended December 31, 2020 present the combination of the financial information of SOAC and DeepGreen after giving effect to the Business Combination, PIPE Financing and related adjustments described in the accompanying notes. SOAC and DeepGreen are collectively referred to herein as the “Companies,” and the Companies, subsequent to the Business Combination and the PIPE Financing, are referred to herein as “TMC.”</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unaudited pro forma condensed combined statement of operations for the six months ended June 30,</w:t>
      </w:r>
    </w:p>
    <w:p>
      <w:pPr>
        <w:spacing w:after="0" w:line="46" w:lineRule="exact"/>
        <w:rPr>
          <w:sz w:val="20"/>
          <w:szCs w:val="20"/>
          <w:color w:val="auto"/>
        </w:rPr>
      </w:pPr>
    </w:p>
    <w:p>
      <w:pPr>
        <w:ind w:left="460" w:right="679"/>
        <w:spacing w:after="0" w:line="253" w:lineRule="auto"/>
        <w:rPr>
          <w:sz w:val="20"/>
          <w:szCs w:val="20"/>
          <w:color w:val="auto"/>
        </w:rPr>
      </w:pPr>
      <w:r>
        <w:rPr>
          <w:rFonts w:ascii="Arial" w:cs="Arial" w:eastAsia="Arial" w:hAnsi="Arial"/>
          <w:sz w:val="18"/>
          <w:szCs w:val="18"/>
          <w:color w:val="auto"/>
        </w:rPr>
        <w:t>2021 and for the year ended December 31, 2020 give pro forma effect to the Business Combination and PIPE Financing as if they had occurred on January 1, 2020. The unaudited pro forma condensed combined balance sheet as of June 30, 2021 gives pro forma effect to the Business Combination and PIPE Financing as if they were completed on June 30, 2021.</w:t>
      </w:r>
    </w:p>
    <w:p>
      <w:pPr>
        <w:spacing w:after="0" w:line="125" w:lineRule="exact"/>
        <w:rPr>
          <w:sz w:val="20"/>
          <w:szCs w:val="20"/>
          <w:color w:val="auto"/>
        </w:rPr>
      </w:pPr>
    </w:p>
    <w:p>
      <w:pPr>
        <w:ind w:left="460" w:right="659" w:firstLine="432"/>
        <w:spacing w:after="0" w:line="296" w:lineRule="auto"/>
        <w:rPr>
          <w:sz w:val="20"/>
          <w:szCs w:val="20"/>
          <w:color w:val="auto"/>
        </w:rPr>
      </w:pPr>
      <w:r>
        <w:rPr>
          <w:rFonts w:ascii="Arial" w:cs="Arial" w:eastAsia="Arial" w:hAnsi="Arial"/>
          <w:sz w:val="16"/>
          <w:szCs w:val="16"/>
          <w:color w:val="auto"/>
        </w:rPr>
        <w:t>The unaudited pro forma condensed combined financial information is based on and should be read in conjunction with the audited historical financial statements of each of SOAC and DeepGreen and the notes thereto, as well as the disclosures contained in the sections titled “SOAC’s Management’s Discussion and Analysis of Financial Condition and Results of Operations” and “DeepGreen’s Management’s Discussion and Analysis of Financial Condition and Results of Operations,” contained elsewhere in this filing.</w:t>
      </w:r>
    </w:p>
    <w:p>
      <w:pPr>
        <w:spacing w:after="0" w:line="80"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The unaudited pro forma condensed combined financial information has been presented for illustrative purposes only and does not necessarily reflect what TMC’s financial condition or results of operations would have been had the Business Combination and PIPE Financing occurred on the dates indicated. Further, the unaudited pro forma condensed combined financial information also may not be useful in predicting the future financial condition and results of operations of TMC. The actual financial position and results of operations may differ significantly from the pro forma amounts reflected herein due to a variety of factors. The unaudited pro forma adjustments represent management’s estimates based on information available as of the date of this filing and are subject to change as additional information becomes available and analyses are performed.</w:t>
      </w:r>
    </w:p>
    <w:p>
      <w:pPr>
        <w:spacing w:after="0" w:line="9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On March 4, 2021, SOAC entered into the Business Combination Agreement with DeepGreen. SOAC has changed its jurisdiction of incorporation by deregistering as an exempted company in the Cayman Islands and continuing as a company under the laws of British Columbia, Canada, upon which SOAC has changed its name to “TMC the metal company Inc.” On the Closing Date, promptly following the Continuance, pursuant to the Arrangement, (i) SOAC has acquired all of the issued and outstanding DeepGreen Common Shares, (ii) the shareholders and the optionholders of DeepGreen are entitled to receive, in exchange for their DeepGreen Common Shares or DeepGreen Options, as applicable, an aggregate of (a) 203,874,981 Common Shares, (b) the DeepGreen Earnout Shares, or, as applicable, options to purchase such Common Shares and DeepGreen Earnout Shares, (iii) DeepGreen has become a wholly-owned subsidiary of TMC and (iv) DeepGreen and NewCo Sub have amalgamated to continue as one unlimited liability company existing under the laws of British Columbia. In addition, the Allseas Warrant has been assumed by TMC and has become a warrant to purchase Common Shares upon the consummation of the Business Combination, in accordance with its terms.</w:t>
      </w:r>
    </w:p>
    <w:p>
      <w:pPr>
        <w:spacing w:after="0" w:line="100"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 historical financial information of SOAC and DeepGreen has been adjusted in the unaudited pro forma condensed combined financial information to give effect to events that are (1) directly attributable to the Business Combination and the PIPE Financing and (2) factually supportable. The pro forma adjustments are prepared to illustrate the effect of the Business Combination and the PIPE Financing and certain other adjustments.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Business Combination was accounted for as a reverse recapitalization because DeepGreen was determined to be the accounting acquirer under Financial Accounting Standards Board’s Accounting Standards Codification Topic 805, Business Combinations (“ASC 805”). The determination is primarily based on the evaluation of the following facts and circumstances:</w:t>
      </w:r>
    </w:p>
    <w:p>
      <w:pPr>
        <w:spacing w:after="0" w:line="119"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pre-combination equityholders of DeepGreen hold the majority of voting rights in TMC;</w:t>
      </w:r>
    </w:p>
    <w:p>
      <w:pPr>
        <w:spacing w:after="0" w:line="157" w:lineRule="exact"/>
        <w:rPr>
          <w:rFonts w:ascii="Arial" w:cs="Arial" w:eastAsia="Arial" w:hAnsi="Arial"/>
          <w:sz w:val="18"/>
          <w:szCs w:val="18"/>
          <w:color w:val="auto"/>
        </w:rPr>
      </w:pPr>
    </w:p>
    <w:p>
      <w:pPr>
        <w:ind w:left="1320" w:right="99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pre-combination equityholders of DeepGreen have the right to appoint the majority of the directors on the board of directors of TMC;</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senior management of DeepGreen comprise the senior management of TMC;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operations of DeepGreen comprise the ongoing operations of TMC.</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Under the reverse recapitalization model, the Business Combination is treated as DeepGreen issuing equity for the net assets of SOAC, with no goodwill or intangible assets recorded. Transaction costs that were direct and incremental to the Business Combination are recorded in equity in the balance sheet to offset against proceeds.</w:t>
      </w:r>
    </w:p>
    <w:p>
      <w:pPr>
        <w:spacing w:after="0" w:line="10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reflect the income tax effects of the pro forma adjustments as any change in the deferred tax balance would be offset by an increase in the valuation allowance given that DeepGreen incurred significant losses during the historical periods presented.</w:t>
      </w:r>
    </w:p>
    <w:p>
      <w:pPr>
        <w:spacing w:after="0" w:line="11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summarizes the pro forma Common Shares outstanding based on actual redemptions of 27.3 million shares for $272.9 million:</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SOAC Public Shareholders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2,721,343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57"/>
        </w:trPr>
        <w:tc>
          <w:tcPr>
            <w:tcW w:w="5560" w:type="dxa"/>
            <w:vAlign w:val="bottom"/>
          </w:tcPr>
          <w:p>
            <w:pPr>
              <w:spacing w:after="0"/>
              <w:rPr>
                <w:sz w:val="20"/>
                <w:szCs w:val="20"/>
                <w:color w:val="auto"/>
              </w:rPr>
            </w:pPr>
            <w:r>
              <w:rPr>
                <w:rFonts w:ascii="Arial" w:cs="Arial" w:eastAsia="Arial" w:hAnsi="Arial"/>
                <w:sz w:val="18"/>
                <w:szCs w:val="18"/>
                <w:color w:val="auto"/>
              </w:rPr>
              <w:t>SOAC Initial Shareholders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6,759,000</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r>
      <w:tr>
        <w:trPr>
          <w:trHeight w:val="27"/>
        </w:trPr>
        <w:tc>
          <w:tcPr>
            <w:tcW w:w="5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SOAC</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9,480,343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77"/>
        </w:trPr>
        <w:tc>
          <w:tcPr>
            <w:tcW w:w="55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DeepGreen Metals shareholders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203,874,981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90.9%</w:t>
            </w:r>
          </w:p>
        </w:tc>
      </w:tr>
      <w:tr>
        <w:trPr>
          <w:trHeight w:val="257"/>
        </w:trPr>
        <w:tc>
          <w:tcPr>
            <w:tcW w:w="5560" w:type="dxa"/>
            <w:vAlign w:val="bottom"/>
          </w:tcPr>
          <w:p>
            <w:pPr>
              <w:spacing w:after="0"/>
              <w:rPr>
                <w:sz w:val="20"/>
                <w:szCs w:val="20"/>
                <w:color w:val="auto"/>
              </w:rPr>
            </w:pPr>
            <w:r>
              <w:rPr>
                <w:rFonts w:ascii="Arial" w:cs="Arial" w:eastAsia="Arial" w:hAnsi="Arial"/>
                <w:sz w:val="18"/>
                <w:szCs w:val="18"/>
                <w:color w:val="auto"/>
              </w:rPr>
              <w:t>PIPE Investor(s)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11,030,000</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r>
      <w:tr>
        <w:trPr>
          <w:trHeight w:val="27"/>
        </w:trPr>
        <w:tc>
          <w:tcPr>
            <w:tcW w:w="5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at Closing*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224,385,324</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5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939" w:hanging="426"/>
        <w:spacing w:after="0" w:line="293" w:lineRule="auto"/>
        <w:tabs>
          <w:tab w:leader="none" w:pos="8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873,953 Common Shares to be issued as equity consideration to settle certain transaction costs. These Common Shares were subsequently issued on October 7, 2021.</w:t>
      </w:r>
    </w:p>
    <w:p>
      <w:pPr>
        <w:spacing w:after="0" w:line="100"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The following unaudited pro forma condensed combined balance sheet as of June 30, 2021 and the unaudited pro forma condensed combined statements of operations for the six months ended June 30, 2021 and the year ended December 31, 2020 are based on the historical financial statements of SOAC and DeepGreen.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 except per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SOAC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DeepGreen</w:t>
            </w:r>
          </w:p>
        </w:tc>
        <w:tc>
          <w:tcPr>
            <w:tcW w:w="1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 Forma</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Metals</w:t>
            </w: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Transaction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(Historical)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(Historical)</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Adjustments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6"/>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293,323</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16,880,031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27,217,744</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121,198,478</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110,300,000</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5"/>
              </w:rPr>
              <w:t>2b</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(33,492,620)</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2g</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3200" w:type="dxa"/>
            <w:vAlign w:val="bottom"/>
          </w:tcPr>
          <w:p>
            <w:pPr>
              <w:ind w:left="180"/>
              <w:spacing w:after="0"/>
              <w:rPr>
                <w:sz w:val="20"/>
                <w:szCs w:val="20"/>
                <w:color w:val="auto"/>
              </w:rPr>
            </w:pPr>
            <w:r>
              <w:rPr>
                <w:rFonts w:ascii="Arial" w:cs="Arial" w:eastAsia="Arial" w:hAnsi="Arial"/>
                <w:sz w:val="16"/>
                <w:szCs w:val="16"/>
                <w:color w:val="auto"/>
              </w:rPr>
              <w:t>Receivable and prepayments</w:t>
            </w: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133,778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55,116</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188,894</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427,101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16,935,147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104,025,124</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121,387,372</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6"/>
                <w:szCs w:val="16"/>
                <w:b w:val="1"/>
                <w:bCs w:val="1"/>
                <w:color w:val="auto"/>
              </w:rPr>
              <w:t>Non-Current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Exploration licenses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43,150,319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43,150,319</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Equipment</w:t>
            </w: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1,515,101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1,515,101</w:t>
            </w: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3200" w:type="dxa"/>
            <w:vAlign w:val="bottom"/>
          </w:tcPr>
          <w:p>
            <w:pPr>
              <w:ind w:left="180"/>
              <w:spacing w:after="0"/>
              <w:rPr>
                <w:sz w:val="20"/>
                <w:szCs w:val="20"/>
                <w:color w:val="auto"/>
              </w:rPr>
            </w:pPr>
            <w:r>
              <w:rPr>
                <w:rFonts w:ascii="Arial" w:cs="Arial" w:eastAsia="Arial" w:hAnsi="Arial"/>
                <w:sz w:val="16"/>
                <w:szCs w:val="16"/>
                <w:color w:val="auto"/>
                <w:w w:val="96"/>
              </w:rPr>
              <w:t>Investments and cash held in Trust Account</w:t>
            </w: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300,078,204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(300,078,204)</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9"/>
              </w:rPr>
              <w:t>2a</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non-current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300,078,204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44,665,420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(300,078,204)</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44,665,420</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2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4"/>
              </w:rPr>
              <w:t>300,505,305</w:t>
            </w:r>
          </w:p>
        </w:tc>
        <w:tc>
          <w:tcPr>
            <w:tcW w:w="4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61,600,567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(196,053,080)</w:t>
            </w: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166,052,792</w:t>
            </w:r>
          </w:p>
        </w:tc>
        <w:tc>
          <w:tcPr>
            <w:tcW w:w="0" w:type="dxa"/>
            <w:vAlign w:val="bottom"/>
          </w:tcPr>
          <w:p>
            <w:pPr>
              <w:spacing w:after="0"/>
              <w:rPr>
                <w:sz w:val="1"/>
                <w:szCs w:val="1"/>
                <w:color w:val="auto"/>
              </w:rPr>
            </w:pPr>
          </w:p>
        </w:tc>
      </w:tr>
      <w:tr>
        <w:trPr>
          <w:trHeight w:val="271"/>
        </w:trPr>
        <w:tc>
          <w:tcPr>
            <w:tcW w:w="32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7,289,022</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9,033,765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(6,712,817)</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5"/>
              </w:rPr>
              <w:t>2g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9,609,970</w:t>
            </w: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Allseas milestone payments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9,359,223</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2j</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9,359,223</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Warrant liability</w:t>
            </w: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35,755,000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(21,600,000)</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9"/>
              </w:rPr>
              <w:t>2k</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14,155,000</w:t>
            </w: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underwriter compensation</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10,500,000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(10,500,000)</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2g</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360"/>
              <w:spacing w:after="0"/>
              <w:rPr>
                <w:sz w:val="20"/>
                <w:szCs w:val="20"/>
                <w:color w:val="auto"/>
              </w:rPr>
            </w:pPr>
            <w:r>
              <w:rPr>
                <w:rFonts w:ascii="Arial" w:cs="Arial" w:eastAsia="Arial" w:hAnsi="Arial"/>
                <w:sz w:val="16"/>
                <w:szCs w:val="16"/>
                <w:color w:val="auto"/>
              </w:rPr>
              <w:t>Total current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53,544,022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9,033,765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(29,453,594)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33,124,193</w:t>
            </w: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Non-Current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Convertible debentures</w:t>
            </w: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26,160,589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(26,160,589)</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9"/>
              </w:rPr>
              <w:t>2i</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liability</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10,675,366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10,675,366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6"/>
                <w:szCs w:val="16"/>
                <w:color w:val="auto"/>
              </w:rPr>
              <w:t>Total Non-current liabilities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36,835,955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(26,160,589)</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10,675,366</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53,544,022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45,869,720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(55,614,183</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43,799,559</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6"/>
                <w:szCs w:val="16"/>
                <w:b w:val="1"/>
                <w:bCs w:val="1"/>
                <w:color w:val="auto"/>
              </w:rPr>
              <w:t>COMMITMENTS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Class A ordinary shares, $0.0001 par value;</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30,000,000 shares subject to possible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1"/>
              </w:rPr>
              <w:t>redemption at $10.00 per share at June 30,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2c</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300,078,204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(300,078,204)</w:t>
            </w:r>
          </w:p>
        </w:tc>
        <w:tc>
          <w:tcPr>
            <w:tcW w:w="54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shares (unlimited shares, no par</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2h</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value – issued: 170,827,222)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188,900,923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(188,900,923)</w:t>
            </w:r>
          </w:p>
        </w:tc>
        <w:tc>
          <w:tcPr>
            <w:tcW w:w="54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200" w:type="dxa"/>
            <w:vAlign w:val="bottom"/>
          </w:tcPr>
          <w:p>
            <w:pPr>
              <w:ind w:left="180"/>
              <w:spacing w:after="0"/>
              <w:rPr>
                <w:sz w:val="20"/>
                <w:szCs w:val="20"/>
                <w:color w:val="auto"/>
              </w:rPr>
            </w:pPr>
            <w:r>
              <w:rPr>
                <w:rFonts w:ascii="Arial" w:cs="Arial" w:eastAsia="Arial" w:hAnsi="Arial"/>
                <w:sz w:val="16"/>
                <w:szCs w:val="16"/>
                <w:color w:val="auto"/>
              </w:rPr>
              <w:t>Preferred shares (unlimited share, no par</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2h</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360"/>
              <w:spacing w:after="0"/>
              <w:rPr>
                <w:sz w:val="20"/>
                <w:szCs w:val="20"/>
                <w:color w:val="auto"/>
              </w:rPr>
            </w:pPr>
            <w:r>
              <w:rPr>
                <w:rFonts w:ascii="Arial" w:cs="Arial" w:eastAsia="Arial" w:hAnsi="Arial"/>
                <w:sz w:val="16"/>
                <w:szCs w:val="16"/>
                <w:color w:val="auto"/>
              </w:rPr>
              <w:t>value – issued: 550,000)</w:t>
            </w:r>
          </w:p>
        </w:tc>
        <w:tc>
          <w:tcPr>
            <w:tcW w:w="1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(550,000)</w:t>
            </w:r>
          </w:p>
        </w:tc>
        <w:tc>
          <w:tcPr>
            <w:tcW w:w="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shares to be issued</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2h</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Reserves – Other</w:t>
            </w: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5"/>
              </w:rPr>
              <w:t>2h</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Reserves – Options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2h</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200" w:type="dxa"/>
            <w:vAlign w:val="bottom"/>
          </w:tcPr>
          <w:p>
            <w:pPr>
              <w:ind w:left="180"/>
              <w:spacing w:after="0"/>
              <w:rPr>
                <w:sz w:val="20"/>
                <w:szCs w:val="20"/>
                <w:color w:val="auto"/>
              </w:rPr>
            </w:pPr>
            <w:r>
              <w:rPr>
                <w:rFonts w:ascii="Arial" w:cs="Arial" w:eastAsia="Arial" w:hAnsi="Arial"/>
                <w:sz w:val="16"/>
                <w:szCs w:val="16"/>
                <w:color w:val="auto"/>
              </w:rPr>
              <w:t>Preference shares, $0.0001 par value;</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360"/>
              <w:spacing w:after="0"/>
              <w:rPr>
                <w:sz w:val="20"/>
                <w:szCs w:val="20"/>
                <w:color w:val="auto"/>
              </w:rPr>
            </w:pPr>
            <w:r>
              <w:rPr>
                <w:rFonts w:ascii="Arial" w:cs="Arial" w:eastAsia="Arial" w:hAnsi="Arial"/>
                <w:sz w:val="16"/>
                <w:szCs w:val="16"/>
                <w:color w:val="auto"/>
                <w:w w:val="94"/>
              </w:rPr>
              <w:t>1,000,000 shares authorized; none issued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360"/>
              <w:spacing w:after="0"/>
              <w:rPr>
                <w:sz w:val="20"/>
                <w:szCs w:val="20"/>
                <w:color w:val="auto"/>
              </w:rPr>
            </w:pPr>
            <w:r>
              <w:rPr>
                <w:rFonts w:ascii="Arial" w:cs="Arial" w:eastAsia="Arial" w:hAnsi="Arial"/>
                <w:sz w:val="16"/>
                <w:szCs w:val="16"/>
                <w:color w:val="auto"/>
              </w:rPr>
              <w:t>and outstanding</w:t>
            </w:r>
          </w:p>
        </w:tc>
        <w:tc>
          <w:tcPr>
            <w:tcW w:w="1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9" w:name="page50"/>
    <w:bookmarkEnd w:id="4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 except per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SOAC</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DeepGreen</w:t>
            </w:r>
          </w:p>
        </w:tc>
        <w:tc>
          <w:tcPr>
            <w:tcW w:w="1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Metals</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Transaction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(Historical)</w:t>
            </w: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(Historical)</w:t>
            </w:r>
          </w:p>
        </w:tc>
        <w:tc>
          <w:tcPr>
            <w:tcW w:w="10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6"/>
        </w:trPr>
        <w:tc>
          <w:tcPr>
            <w:tcW w:w="29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Shares without par value</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110,300,000</w:t>
            </w:r>
          </w:p>
        </w:tc>
        <w:tc>
          <w:tcPr>
            <w:tcW w:w="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5"/>
              </w:rPr>
              <w:t>2b</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283,732,532</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2a,</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27,217,744</w:t>
            </w:r>
          </w:p>
        </w:tc>
        <w:tc>
          <w:tcPr>
            <w:tcW w:w="140" w:type="dxa"/>
            <w:vAlign w:val="bottom"/>
          </w:tcPr>
          <w:p>
            <w:pPr>
              <w:spacing w:after="0"/>
              <w:rPr>
                <w:sz w:val="18"/>
                <w:szCs w:val="18"/>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2c</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9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9"/>
              </w:rPr>
              <w:t>2e</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(53,117,671)</w:t>
            </w: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2d</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9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(16,279,803)</w:t>
            </w:r>
          </w:p>
        </w:tc>
        <w:tc>
          <w:tcPr>
            <w:tcW w:w="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5"/>
              </w:rPr>
              <w:t>2g</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189,450,923</w:t>
            </w:r>
          </w:p>
        </w:tc>
        <w:tc>
          <w:tcPr>
            <w:tcW w:w="140" w:type="dxa"/>
            <w:vAlign w:val="bottom"/>
          </w:tcPr>
          <w:p>
            <w:pPr>
              <w:spacing w:after="0"/>
              <w:rPr>
                <w:sz w:val="20"/>
                <w:szCs w:val="20"/>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2h</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9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26,160,589</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9"/>
              </w:rPr>
              <w:t>2i</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80"/>
              <w:spacing w:after="0"/>
              <w:rPr>
                <w:sz w:val="20"/>
                <w:szCs w:val="20"/>
                <w:color w:val="auto"/>
              </w:rPr>
            </w:pPr>
            <w:r>
              <w:rPr>
                <w:rFonts w:ascii="Arial" w:cs="Arial" w:eastAsia="Arial" w:hAnsi="Arial"/>
                <w:sz w:val="16"/>
                <w:szCs w:val="16"/>
                <w:color w:val="auto"/>
              </w:rPr>
              <w:t>Class A ordinary shares, $0.0001 par</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360"/>
              <w:spacing w:after="0"/>
              <w:rPr>
                <w:sz w:val="20"/>
                <w:szCs w:val="20"/>
                <w:color w:val="auto"/>
              </w:rPr>
            </w:pPr>
            <w:r>
              <w:rPr>
                <w:rFonts w:ascii="Arial" w:cs="Arial" w:eastAsia="Arial" w:hAnsi="Arial"/>
                <w:sz w:val="16"/>
                <w:szCs w:val="16"/>
                <w:color w:val="auto"/>
                <w:w w:val="92"/>
              </w:rPr>
              <w:t>value; 300,000,000 shares authorized;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360"/>
              <w:spacing w:after="0"/>
              <w:rPr>
                <w:sz w:val="20"/>
                <w:szCs w:val="20"/>
                <w:color w:val="auto"/>
              </w:rPr>
            </w:pPr>
            <w:r>
              <w:rPr>
                <w:rFonts w:ascii="Arial" w:cs="Arial" w:eastAsia="Arial" w:hAnsi="Arial"/>
                <w:sz w:val="16"/>
                <w:szCs w:val="16"/>
                <w:color w:val="auto"/>
              </w:rPr>
              <w:t>-0- shares issued and outstanding</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360"/>
              <w:spacing w:after="0"/>
              <w:rPr>
                <w:sz w:val="20"/>
                <w:szCs w:val="20"/>
                <w:color w:val="auto"/>
              </w:rPr>
            </w:pPr>
            <w:r>
              <w:rPr>
                <w:rFonts w:ascii="Arial" w:cs="Arial" w:eastAsia="Arial" w:hAnsi="Arial"/>
                <w:sz w:val="16"/>
                <w:szCs w:val="16"/>
                <w:color w:val="auto"/>
                <w:w w:val="95"/>
              </w:rPr>
              <w:t>(excluding 30,000,000 shares subject</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360"/>
              <w:spacing w:after="0"/>
              <w:rPr>
                <w:sz w:val="20"/>
                <w:szCs w:val="20"/>
                <w:color w:val="auto"/>
              </w:rPr>
            </w:pPr>
            <w:r>
              <w:rPr>
                <w:rFonts w:ascii="Arial" w:cs="Arial" w:eastAsia="Arial" w:hAnsi="Arial"/>
                <w:sz w:val="16"/>
                <w:szCs w:val="16"/>
                <w:color w:val="auto"/>
              </w:rPr>
              <w:t>to possible redemption) at June 30,</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2c</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360"/>
              <w:spacing w:after="0"/>
              <w:rPr>
                <w:sz w:val="20"/>
                <w:szCs w:val="20"/>
                <w:color w:val="auto"/>
              </w:rPr>
            </w:pPr>
            <w:r>
              <w:rPr>
                <w:rFonts w:ascii="Arial" w:cs="Arial" w:eastAsia="Arial" w:hAnsi="Arial"/>
                <w:sz w:val="16"/>
                <w:szCs w:val="16"/>
                <w:color w:val="auto"/>
              </w:rPr>
              <w:t>2021</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vMerge w:val="continue"/>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ordinary shares, $0.0001 par</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5"/>
              </w:rPr>
              <w:t>value; 30,000,000 shares authorized;</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7,500,000 shares issued and</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outstanding at</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9"/>
              </w:rPr>
              <w:t>2e</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June 30, 2021</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(750)</w:t>
            </w: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80"/>
              <w:spacing w:after="0"/>
              <w:rPr>
                <w:sz w:val="20"/>
                <w:szCs w:val="20"/>
                <w:color w:val="auto"/>
              </w:rPr>
            </w:pPr>
            <w:r>
              <w:rPr>
                <w:rFonts w:ascii="Arial" w:cs="Arial" w:eastAsia="Arial" w:hAnsi="Arial"/>
                <w:sz w:val="16"/>
                <w:szCs w:val="16"/>
                <w:color w:val="auto"/>
              </w:rPr>
              <w:t>Class A Special Shares, no par value;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360"/>
              <w:spacing w:after="0"/>
              <w:rPr>
                <w:sz w:val="20"/>
                <w:szCs w:val="20"/>
                <w:color w:val="auto"/>
              </w:rPr>
            </w:pPr>
            <w:r>
              <w:rPr>
                <w:rFonts w:ascii="Arial" w:cs="Arial" w:eastAsia="Arial" w:hAnsi="Arial"/>
                <w:sz w:val="16"/>
                <w:szCs w:val="16"/>
                <w:color w:val="auto"/>
              </w:rPr>
              <w:t>4,448,259 issued and outstanding</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vMerge w:val="continue"/>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Special Shares, no par value;</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8,896,399 issued and outstanding</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80"/>
              <w:spacing w:after="0"/>
              <w:rPr>
                <w:sz w:val="20"/>
                <w:szCs w:val="20"/>
                <w:color w:val="auto"/>
              </w:rPr>
            </w:pPr>
            <w:r>
              <w:rPr>
                <w:rFonts w:ascii="Arial" w:cs="Arial" w:eastAsia="Arial" w:hAnsi="Arial"/>
                <w:sz w:val="16"/>
                <w:szCs w:val="16"/>
                <w:color w:val="auto"/>
              </w:rPr>
              <w:t>Class C Special Shares, no par value;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360"/>
              <w:spacing w:after="0"/>
              <w:rPr>
                <w:sz w:val="20"/>
                <w:szCs w:val="20"/>
                <w:color w:val="auto"/>
              </w:rPr>
            </w:pPr>
            <w:r>
              <w:rPr>
                <w:rFonts w:ascii="Arial" w:cs="Arial" w:eastAsia="Arial" w:hAnsi="Arial"/>
                <w:sz w:val="16"/>
                <w:szCs w:val="16"/>
                <w:color w:val="auto"/>
              </w:rPr>
              <w:t>8,896,399 issued and outstanding</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vMerge w:val="continue"/>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D Special Shares, no par value;</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17,792,922 issued and outstanding</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80"/>
              <w:spacing w:after="0"/>
              <w:rPr>
                <w:sz w:val="20"/>
                <w:szCs w:val="20"/>
                <w:color w:val="auto"/>
              </w:rPr>
            </w:pPr>
            <w:r>
              <w:rPr>
                <w:rFonts w:ascii="Arial" w:cs="Arial" w:eastAsia="Arial" w:hAnsi="Arial"/>
                <w:sz w:val="16"/>
                <w:szCs w:val="16"/>
                <w:color w:val="auto"/>
              </w:rPr>
              <w:t>Class E Special Shares, no par value;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360"/>
              <w:spacing w:after="0"/>
              <w:rPr>
                <w:sz w:val="20"/>
                <w:szCs w:val="20"/>
                <w:color w:val="auto"/>
              </w:rPr>
            </w:pPr>
            <w:r>
              <w:rPr>
                <w:rFonts w:ascii="Arial" w:cs="Arial" w:eastAsia="Arial" w:hAnsi="Arial"/>
                <w:sz w:val="16"/>
                <w:szCs w:val="16"/>
                <w:color w:val="auto"/>
              </w:rPr>
              <w:t>17,792,922 issued and outstanding</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vMerge w:val="continue"/>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F Special Shares, no par value;</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17,792,922 issued and outstanding</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80"/>
              <w:spacing w:after="0"/>
              <w:rPr>
                <w:sz w:val="20"/>
                <w:szCs w:val="20"/>
                <w:color w:val="auto"/>
              </w:rPr>
            </w:pPr>
            <w:r>
              <w:rPr>
                <w:rFonts w:ascii="Arial" w:cs="Arial" w:eastAsia="Arial" w:hAnsi="Arial"/>
                <w:sz w:val="16"/>
                <w:szCs w:val="16"/>
                <w:color w:val="auto"/>
                <w:w w:val="99"/>
              </w:rPr>
              <w:t>Class G Special Shares, no par value;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360"/>
              <w:spacing w:after="0"/>
              <w:rPr>
                <w:sz w:val="20"/>
                <w:szCs w:val="20"/>
                <w:color w:val="auto"/>
              </w:rPr>
            </w:pPr>
            <w:r>
              <w:rPr>
                <w:rFonts w:ascii="Arial" w:cs="Arial" w:eastAsia="Arial" w:hAnsi="Arial"/>
                <w:sz w:val="16"/>
                <w:szCs w:val="16"/>
                <w:color w:val="auto"/>
              </w:rPr>
              <w:t>22,241,179 issued and outstanding</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vMerge w:val="continue"/>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H Special Shares, no par value;</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8"/>
              </w:rPr>
              <w:t>2f</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22,241,179 issued and outstanding</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80"/>
              <w:spacing w:after="0"/>
              <w:rPr>
                <w:sz w:val="20"/>
                <w:szCs w:val="20"/>
                <w:color w:val="auto"/>
              </w:rPr>
            </w:pPr>
            <w:r>
              <w:rPr>
                <w:rFonts w:ascii="Arial" w:cs="Arial" w:eastAsia="Arial" w:hAnsi="Arial"/>
                <w:sz w:val="16"/>
                <w:szCs w:val="16"/>
                <w:color w:val="auto"/>
              </w:rPr>
              <w:t>Class I Special Shares, no par value;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2e</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360"/>
              <w:spacing w:after="0"/>
              <w:rPr>
                <w:sz w:val="20"/>
                <w:szCs w:val="20"/>
                <w:color w:val="auto"/>
              </w:rPr>
            </w:pPr>
            <w:r>
              <w:rPr>
                <w:rFonts w:ascii="Arial" w:cs="Arial" w:eastAsia="Arial" w:hAnsi="Arial"/>
                <w:sz w:val="16"/>
                <w:szCs w:val="16"/>
                <w:color w:val="auto"/>
              </w:rPr>
              <w:t>500,000 issued and outstanding</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vMerge w:val="continue"/>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J Special Shares, no par value;</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9"/>
              </w:rPr>
              <w:t>2e</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741,000 issued and outstanding</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74,068,708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21,600,000</w:t>
            </w:r>
          </w:p>
        </w:tc>
        <w:tc>
          <w:tcPr>
            <w:tcW w:w="140" w:type="dxa"/>
            <w:vAlign w:val="bottom"/>
          </w:tcPr>
          <w:p>
            <w:pPr>
              <w:spacing w:after="0"/>
              <w:rPr>
                <w:sz w:val="20"/>
                <w:szCs w:val="20"/>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2k</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95,668,708</w:t>
            </w: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Loss</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(1,215,685)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(1,215,685)</w:t>
            </w:r>
          </w:p>
        </w:tc>
        <w:tc>
          <w:tcPr>
            <w:tcW w:w="0" w:type="dxa"/>
            <w:vAlign w:val="bottom"/>
          </w:tcPr>
          <w:p>
            <w:pPr>
              <w:spacing w:after="0"/>
              <w:rPr>
                <w:sz w:val="1"/>
                <w:szCs w:val="1"/>
                <w:color w:val="auto"/>
              </w:rPr>
            </w:pP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Deficit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(53,117,671)</w:t>
            </w: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(246,573,099)</w:t>
            </w: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53,117,671</w:t>
            </w: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2d</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(255,932,322)</w:t>
            </w:r>
          </w:p>
        </w:tc>
        <w:tc>
          <w:tcPr>
            <w:tcW w:w="0" w:type="dxa"/>
            <w:vAlign w:val="bottom"/>
          </w:tcPr>
          <w:p>
            <w:pPr>
              <w:spacing w:after="0"/>
              <w:rPr>
                <w:sz w:val="1"/>
                <w:szCs w:val="1"/>
                <w:color w:val="auto"/>
              </w:rPr>
            </w:pPr>
          </w:p>
        </w:tc>
      </w:tr>
      <w:tr>
        <w:trPr>
          <w:trHeight w:val="47"/>
        </w:trPr>
        <w:tc>
          <w:tcPr>
            <w:tcW w:w="2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9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(9,359,223)</w:t>
            </w:r>
          </w:p>
        </w:tc>
        <w:tc>
          <w:tcPr>
            <w:tcW w:w="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rPr>
              <w:t>2j</w:t>
            </w: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6"/>
                <w:szCs w:val="16"/>
                <w:b w:val="1"/>
                <w:bCs w:val="1"/>
                <w:color w:val="auto"/>
              </w:rPr>
              <w:t>TOTAL EQUITY</w:t>
            </w: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00" w:type="dxa"/>
            <w:vAlign w:val="bottom"/>
            <w:vMerge w:val="continue"/>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(53,116,921)</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15,730,847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159,639,307</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122,253,233</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1"/>
              </w:rPr>
              <w:t>$ 300,505,305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   61,600,567</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 (196,053,080)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166,052,792</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per share data)</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DeepGreen</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SOAC</w:t>
            </w: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Metals</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9"/>
              </w:rPr>
              <w:t>Pro Forma</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Combined</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5"/>
              </w:rPr>
              <w:t>(Historical)</w:t>
            </w: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(Historical)</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8"/>
              </w:rPr>
              <w:t>Adjustments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47"/>
        </w:trPr>
        <w:tc>
          <w:tcPr>
            <w:tcW w:w="29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w w:val="92"/>
              </w:rPr>
              <w:t>General and administrative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6,490,059</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6,490,059</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Exploration and evaluation</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54,736,036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54,736,036</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Allseas milestone and expense</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2,343,042</w:t>
            </w: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85"/>
              </w:rPr>
              <w:t>3b</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2,343,042</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Consulting fees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1,039,425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1,039,425</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Investor relations</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2,582,554</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2,582,554</w:t>
            </w:r>
          </w:p>
        </w:tc>
        <w:tc>
          <w:tcPr>
            <w:tcW w:w="0" w:type="dxa"/>
            <w:vAlign w:val="bottom"/>
          </w:tcPr>
          <w:p>
            <w:pPr>
              <w:spacing w:after="0"/>
              <w:rPr>
                <w:sz w:val="1"/>
                <w:szCs w:val="1"/>
                <w:color w:val="auto"/>
              </w:rPr>
            </w:pPr>
          </w:p>
        </w:tc>
      </w:tr>
      <w:tr>
        <w:trPr>
          <w:trHeight w:val="41"/>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Office and sundry</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209,518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209,518</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4,695,779</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4,695,779</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wages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731,098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731,098</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Director fees</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155,034</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155,034</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Share options-based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payments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18,684,122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18,684,122</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Transfer agent and filing fees</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41"/>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164,963</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164,963</w:t>
            </w:r>
          </w:p>
        </w:tc>
        <w:tc>
          <w:tcPr>
            <w:tcW w:w="0" w:type="dxa"/>
            <w:vAlign w:val="bottom"/>
          </w:tcPr>
          <w:p>
            <w:pPr>
              <w:spacing w:after="0"/>
              <w:rPr>
                <w:sz w:val="1"/>
                <w:szCs w:val="1"/>
                <w:color w:val="auto"/>
              </w:rPr>
            </w:pPr>
          </w:p>
        </w:tc>
      </w:tr>
      <w:tr>
        <w:trPr>
          <w:trHeight w:val="224"/>
        </w:trPr>
        <w:tc>
          <w:tcPr>
            <w:tcW w:w="2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6,490,059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83,001,809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2,343,042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91,834,910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items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52,503</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52,503</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fair value of warrant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3d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(21,175,000)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12,150,000</w:t>
            </w:r>
          </w:p>
        </w:tc>
        <w:tc>
          <w:tcPr>
            <w:tcW w:w="42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(9,025,000)</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660,589</w:t>
            </w: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(660,589)</w:t>
            </w: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89"/>
              </w:rPr>
              <w:t>3c</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Gain/Interest income</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(9,125)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9,125</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3a</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(Income) loss for the period</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9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(14,694,066</w:t>
            </w:r>
          </w:p>
        </w:tc>
        <w:tc>
          <w:tcPr>
            <w:tcW w:w="140" w:type="dxa"/>
            <w:vAlign w:val="bottom"/>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83,714,901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13,841,578</w:t>
            </w:r>
          </w:p>
        </w:tc>
        <w:tc>
          <w:tcPr>
            <w:tcW w:w="42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82,862,413</w:t>
            </w:r>
          </w:p>
        </w:tc>
        <w:tc>
          <w:tcPr>
            <w:tcW w:w="0" w:type="dxa"/>
            <w:vAlign w:val="bottom"/>
          </w:tcPr>
          <w:p>
            <w:pPr>
              <w:spacing w:after="0"/>
              <w:rPr>
                <w:sz w:val="1"/>
                <w:szCs w:val="1"/>
                <w:color w:val="auto"/>
              </w:rPr>
            </w:pPr>
          </w:p>
        </w:tc>
      </w:tr>
      <w:tr>
        <w:trPr>
          <w:trHeight w:val="158"/>
        </w:trPr>
        <w:tc>
          <w:tcPr>
            <w:tcW w:w="296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w w:val="97"/>
              </w:rPr>
              <w:t>Other comprehensive income to be</w:t>
            </w: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reclassified to profit and loss in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subsequent periods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180"/>
              <w:spacing w:after="0"/>
              <w:rPr>
                <w:sz w:val="20"/>
                <w:szCs w:val="20"/>
                <w:color w:val="auto"/>
              </w:rPr>
            </w:pPr>
            <w:r>
              <w:rPr>
                <w:rFonts w:ascii="Arial" w:cs="Arial" w:eastAsia="Arial" w:hAnsi="Arial"/>
                <w:sz w:val="18"/>
                <w:szCs w:val="18"/>
                <w:color w:val="auto"/>
              </w:rPr>
              <w:t>Currency translation differences</w:t>
            </w:r>
          </w:p>
        </w:tc>
        <w:tc>
          <w:tcPr>
            <w:tcW w:w="120" w:type="dxa"/>
            <w:vAlign w:val="bottom"/>
          </w:tcPr>
          <w:p>
            <w:pPr>
              <w:spacing w:after="0"/>
              <w:rPr>
                <w:sz w:val="22"/>
                <w:szCs w:val="22"/>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9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2"/>
              </w:rPr>
              <w:t>Comprehensive (income) loss for the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(14,694,066)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83,714,927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13,841,578</w:t>
            </w:r>
          </w:p>
        </w:tc>
        <w:tc>
          <w:tcPr>
            <w:tcW w:w="4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82,862,439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198"/>
        </w:trPr>
        <w:tc>
          <w:tcPr>
            <w:tcW w:w="296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360"/>
              <w:spacing w:after="0"/>
              <w:rPr>
                <w:sz w:val="20"/>
                <w:szCs w:val="20"/>
                <w:color w:val="auto"/>
              </w:rPr>
            </w:pPr>
            <w:r>
              <w:rPr>
                <w:rFonts w:ascii="Arial" w:cs="Arial" w:eastAsia="Arial" w:hAnsi="Arial"/>
                <w:sz w:val="18"/>
                <w:szCs w:val="18"/>
                <w:b w:val="1"/>
                <w:bCs w:val="1"/>
                <w:color w:val="auto"/>
              </w:rPr>
              <w:t>Common Shares Outstanding</w:t>
            </w:r>
          </w:p>
        </w:tc>
        <w:tc>
          <w:tcPr>
            <w:tcW w:w="12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10,031,583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167,943,190</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224,385,324</w:t>
            </w:r>
          </w:p>
        </w:tc>
        <w:tc>
          <w:tcPr>
            <w:tcW w:w="0" w:type="dxa"/>
            <w:vAlign w:val="bottom"/>
          </w:tcPr>
          <w:p>
            <w:pPr>
              <w:spacing w:after="0"/>
              <w:rPr>
                <w:sz w:val="1"/>
                <w:szCs w:val="1"/>
                <w:color w:val="auto"/>
              </w:rPr>
            </w:pPr>
          </w:p>
        </w:tc>
      </w:tr>
      <w:tr>
        <w:trPr>
          <w:trHeight w:val="432"/>
        </w:trPr>
        <w:tc>
          <w:tcPr>
            <w:tcW w:w="2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per share data)</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DeepGreen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SOAC</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Metals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6"/>
                <w:szCs w:val="16"/>
                <w:b w:val="1"/>
                <w:bCs w:val="1"/>
                <w:color w:val="auto"/>
              </w:rPr>
              <w:t>Pro Forma</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Combined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5"/>
              </w:rPr>
              <w:t>(Historical)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(Historical)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6"/>
                <w:szCs w:val="16"/>
                <w:b w:val="1"/>
                <w:bCs w:val="1"/>
                <w:color w:val="auto"/>
                <w:w w:val="90"/>
              </w:rPr>
              <w:t>Adjustments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47"/>
        </w:trPr>
        <w:tc>
          <w:tcPr>
            <w:tcW w:w="28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820" w:type="dxa"/>
            <w:vAlign w:val="bottom"/>
          </w:tcPr>
          <w:p>
            <w:pPr>
              <w:ind w:left="180"/>
              <w:spacing w:after="0" w:line="201"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36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3,003,654</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3,003,654</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Exploration and evaluation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48,881,445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48,881,445</w:t>
            </w: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Allseas milestone and expense</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7,016,181</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3b</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7,016,181</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Consulting fees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1,385,882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1,385,882</w:t>
            </w: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Investor relations</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857,810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857,810</w:t>
            </w:r>
          </w:p>
        </w:tc>
        <w:tc>
          <w:tcPr>
            <w:tcW w:w="0" w:type="dxa"/>
            <w:vAlign w:val="bottom"/>
          </w:tcPr>
          <w:p>
            <w:pPr>
              <w:spacing w:after="0"/>
              <w:rPr>
                <w:sz w:val="1"/>
                <w:szCs w:val="1"/>
                <w:color w:val="auto"/>
              </w:rPr>
            </w:pPr>
          </w:p>
        </w:tc>
      </w:tr>
      <w:tr>
        <w:trPr>
          <w:trHeight w:val="41"/>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Office and sundry</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303,006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303,006</w:t>
            </w: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663,293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663,293</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wages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915,855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915,855</w:t>
            </w: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Director fees</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195,101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195,101</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Share options-based</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payments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3,263,131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3,263,131</w:t>
            </w: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Transfer agent and filing fees</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132,821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132,821</w:t>
            </w:r>
          </w:p>
        </w:tc>
        <w:tc>
          <w:tcPr>
            <w:tcW w:w="0" w:type="dxa"/>
            <w:vAlign w:val="bottom"/>
          </w:tcPr>
          <w:p>
            <w:pPr>
              <w:spacing w:after="0"/>
              <w:rPr>
                <w:sz w:val="1"/>
                <w:szCs w:val="1"/>
                <w:color w:val="auto"/>
              </w:rPr>
            </w:pPr>
          </w:p>
        </w:tc>
      </w:tr>
      <w:tr>
        <w:trPr>
          <w:trHeight w:val="224"/>
        </w:trPr>
        <w:tc>
          <w:tcPr>
            <w:tcW w:w="2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3,003,654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56,604,367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7,016,181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66,624,202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items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80,447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80,447</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fair value of warrant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32,730,000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(19,050,000)</w:t>
            </w:r>
          </w:p>
        </w:tc>
        <w:tc>
          <w:tcPr>
            <w:tcW w:w="620" w:type="dxa"/>
            <w:vAlign w:val="bottom"/>
            <w:tcBorders>
              <w:bottom w:val="single" w:sz="8" w:color="CCEEFF"/>
            </w:tcBorders>
            <w:gridSpan w:val="2"/>
            <w:vMerge w:val="continue"/>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13,680,000</w:t>
            </w:r>
          </w:p>
        </w:tc>
        <w:tc>
          <w:tcPr>
            <w:tcW w:w="0" w:type="dxa"/>
            <w:vAlign w:val="bottom"/>
          </w:tcPr>
          <w:p>
            <w:pPr>
              <w:spacing w:after="0"/>
              <w:rPr>
                <w:sz w:val="1"/>
                <w:szCs w:val="1"/>
                <w:color w:val="auto"/>
              </w:rPr>
            </w:pPr>
          </w:p>
        </w:tc>
      </w:tr>
      <w:tr>
        <w:trPr>
          <w:trHeight w:val="202"/>
        </w:trPr>
        <w:tc>
          <w:tcPr>
            <w:tcW w:w="2820" w:type="dxa"/>
            <w:vAlign w:val="bottom"/>
          </w:tcPr>
          <w:p>
            <w:pPr>
              <w:ind w:left="180"/>
              <w:spacing w:after="0" w:line="201" w:lineRule="exact"/>
              <w:rPr>
                <w:sz w:val="20"/>
                <w:szCs w:val="20"/>
                <w:color w:val="auto"/>
              </w:rPr>
            </w:pPr>
            <w:r>
              <w:rPr>
                <w:rFonts w:ascii="Arial" w:cs="Arial" w:eastAsia="Arial" w:hAnsi="Arial"/>
                <w:sz w:val="18"/>
                <w:szCs w:val="18"/>
                <w:color w:val="auto"/>
              </w:rPr>
              <w:t>Offering costs allocated to</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360"/>
              <w:spacing w:after="0"/>
              <w:rPr>
                <w:sz w:val="20"/>
                <w:szCs w:val="20"/>
                <w:color w:val="auto"/>
              </w:rPr>
            </w:pPr>
            <w:r>
              <w:rPr>
                <w:rFonts w:ascii="Arial" w:cs="Arial" w:eastAsia="Arial" w:hAnsi="Arial"/>
                <w:sz w:val="18"/>
                <w:szCs w:val="18"/>
                <w:color w:val="auto"/>
              </w:rPr>
              <w:t>derivative warrant liabilities</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877,647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877,647</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Gain/Interest income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(53,435)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69,246</w:t>
            </w:r>
          </w:p>
        </w:tc>
        <w:tc>
          <w:tcPr>
            <w:tcW w:w="6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3a</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(53,435)</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Loss for the year</w:t>
            </w: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36,542,055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56,631,379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(11,964,573</w:t>
            </w:r>
          </w:p>
        </w:tc>
        <w:tc>
          <w:tcPr>
            <w:tcW w:w="140" w:type="dxa"/>
            <w:vAlign w:val="bottom"/>
            <w:vMerge w:val="continue"/>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81,208,861</w:t>
            </w:r>
          </w:p>
        </w:tc>
        <w:tc>
          <w:tcPr>
            <w:tcW w:w="0" w:type="dxa"/>
            <w:vAlign w:val="bottom"/>
          </w:tcPr>
          <w:p>
            <w:pPr>
              <w:spacing w:after="0"/>
              <w:rPr>
                <w:sz w:val="1"/>
                <w:szCs w:val="1"/>
                <w:color w:val="auto"/>
              </w:rPr>
            </w:pPr>
          </w:p>
        </w:tc>
      </w:tr>
      <w:tr>
        <w:trPr>
          <w:trHeight w:val="158"/>
        </w:trPr>
        <w:tc>
          <w:tcPr>
            <w:tcW w:w="282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w w:val="92"/>
              </w:rPr>
              <w:t>Other comprehensive income to be</w:t>
            </w: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reclassified to profit and loss in</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subsequent periods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20" w:type="dxa"/>
            <w:vAlign w:val="bottom"/>
          </w:tcPr>
          <w:p>
            <w:pPr>
              <w:ind w:left="180"/>
              <w:spacing w:after="0"/>
              <w:rPr>
                <w:sz w:val="20"/>
                <w:szCs w:val="20"/>
                <w:color w:val="auto"/>
              </w:rPr>
            </w:pPr>
            <w:r>
              <w:rPr>
                <w:rFonts w:ascii="Arial" w:cs="Arial" w:eastAsia="Arial" w:hAnsi="Arial"/>
                <w:sz w:val="18"/>
                <w:szCs w:val="18"/>
                <w:color w:val="auto"/>
              </w:rPr>
              <w:t>Currency translation differences</w:t>
            </w:r>
          </w:p>
        </w:tc>
        <w:tc>
          <w:tcPr>
            <w:tcW w:w="1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36,542,055</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56,631,504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(11,964,573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81,208,986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98"/>
        </w:trPr>
        <w:tc>
          <w:tcPr>
            <w:tcW w:w="282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tcPr>
          <w:p>
            <w:pPr>
              <w:ind w:left="360"/>
              <w:spacing w:after="0"/>
              <w:rPr>
                <w:sz w:val="20"/>
                <w:szCs w:val="20"/>
                <w:color w:val="auto"/>
              </w:rPr>
            </w:pPr>
            <w:r>
              <w:rPr>
                <w:rFonts w:ascii="Arial" w:cs="Arial" w:eastAsia="Arial" w:hAnsi="Arial"/>
                <w:sz w:val="18"/>
                <w:szCs w:val="18"/>
                <w:b w:val="1"/>
                <w:bCs w:val="1"/>
                <w:color w:val="auto"/>
                <w:w w:val="96"/>
              </w:rPr>
              <w:t>Common Shares Outstanding</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10,464,651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154,224,664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224,385,324</w:t>
            </w:r>
          </w:p>
        </w:tc>
        <w:tc>
          <w:tcPr>
            <w:tcW w:w="0" w:type="dxa"/>
            <w:vAlign w:val="bottom"/>
          </w:tcPr>
          <w:p>
            <w:pPr>
              <w:spacing w:after="0"/>
              <w:rPr>
                <w:sz w:val="1"/>
                <w:szCs w:val="1"/>
                <w:color w:val="auto"/>
              </w:rPr>
            </w:pPr>
          </w:p>
        </w:tc>
      </w:tr>
      <w:tr>
        <w:trPr>
          <w:trHeight w:val="432"/>
        </w:trPr>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47</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148"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The historical consolidated financial statements have been adjusted in the unaudited pro forma condensed combined financial statements to give effect to pro forma events that are described elsewhere in this filing and are directly attributable to the Business Combination and factually supportable.</w:t>
      </w:r>
    </w:p>
    <w:p>
      <w:pPr>
        <w:spacing w:after="0" w:line="98"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The unaudited pro forma condensed combined financial statements have been prepared for illustrative purposes only and are not necessarily indicative of what the actual results of operations and financial position would have been had the Business Combination and related transactions taken place on the dates indicated, nor do they purport to project the future consolidated results of operations or financial position of the combined company. They should be read in conjunction with the unaudited and audited consolidated financial statements and notes thereto of each of SOAC and DeepGreen as at and for the six months ended June 30, 2021 and the year ended December 31, 2020, respectively, and included elsewhere in this filing.</w:t>
      </w:r>
    </w:p>
    <w:p>
      <w:pPr>
        <w:spacing w:after="0" w:line="99" w:lineRule="exact"/>
        <w:rPr>
          <w:sz w:val="20"/>
          <w:szCs w:val="20"/>
          <w:color w:val="auto"/>
        </w:rPr>
      </w:pPr>
    </w:p>
    <w:p>
      <w:pPr>
        <w:ind w:left="460" w:right="499" w:firstLine="432"/>
        <w:spacing w:after="0" w:line="308" w:lineRule="auto"/>
        <w:rPr>
          <w:sz w:val="20"/>
          <w:szCs w:val="20"/>
          <w:color w:val="auto"/>
        </w:rPr>
      </w:pPr>
      <w:r>
        <w:rPr>
          <w:rFonts w:ascii="Arial" w:cs="Arial" w:eastAsia="Arial" w:hAnsi="Arial"/>
          <w:sz w:val="17"/>
          <w:szCs w:val="17"/>
          <w:color w:val="auto"/>
        </w:rPr>
        <w:t>There were no significant intercompany balances or transactions between SOAC and DeepGreen as of the date and for the periods of these unaudited pro forma condensed combined financial statements.</w:t>
      </w:r>
    </w:p>
    <w:p>
      <w:pPr>
        <w:spacing w:after="0" w:line="65"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TMC is currently negotiating certain employment agreements. Based on the preliminary terms, these agreements would result in an increase in compensation cost on a pro forma basis. However, as these employment agreements are preliminary and not yet executed, no pro forma adjustment has been made because such amounts are not known and are deemed not factually supportable at this time.</w:t>
      </w:r>
    </w:p>
    <w:p>
      <w:pPr>
        <w:spacing w:after="0" w:line="104" w:lineRule="exact"/>
        <w:rPr>
          <w:sz w:val="20"/>
          <w:szCs w:val="20"/>
          <w:color w:val="auto"/>
        </w:rPr>
      </w:pPr>
    </w:p>
    <w:p>
      <w:pPr>
        <w:ind w:left="460" w:right="999" w:firstLine="432"/>
        <w:spacing w:after="0" w:line="311" w:lineRule="auto"/>
        <w:rPr>
          <w:sz w:val="20"/>
          <w:szCs w:val="20"/>
          <w:color w:val="auto"/>
        </w:rPr>
      </w:pPr>
      <w:r>
        <w:rPr>
          <w:rFonts w:ascii="Arial" w:cs="Arial" w:eastAsia="Arial" w:hAnsi="Arial"/>
          <w:sz w:val="16"/>
          <w:szCs w:val="16"/>
          <w:color w:val="auto"/>
        </w:rPr>
        <w:t>The pro forma basic and diluted earnings per share amounts presented in the unaudited pro forma condensed combined statements of operations are based upon the number of ordinary shares outstanding, assuming the Business Combination and related transactions occurred on January 1,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Unaudited Pro Forma Condensed Combined Balance Sheet Adjustments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pro forma adjustments included in the unaudited pro forma condensed combined balance sheet as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30, 2021 are as follows:</w:t>
      </w:r>
    </w:p>
    <w:p>
      <w:pPr>
        <w:spacing w:after="0" w:line="130" w:lineRule="exact"/>
        <w:rPr>
          <w:sz w:val="20"/>
          <w:szCs w:val="20"/>
          <w:color w:val="auto"/>
        </w:rPr>
      </w:pPr>
    </w:p>
    <w:p>
      <w:pPr>
        <w:ind w:left="1320" w:right="479" w:hanging="434"/>
        <w:spacing w:after="0" w:line="259" w:lineRule="auto"/>
        <w:tabs>
          <w:tab w:leader="none" w:pos="12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reclassification of $300.1 million of cash and cash equivalents held in SOAC’s trust account offset by actual redemptions of 27.3 million shares for $272.9 million or net reclassification of $27.2 million that becomes available for transaction expenses and operating activities following the Business Combination.</w:t>
      </w:r>
    </w:p>
    <w:p>
      <w:pPr>
        <w:spacing w:after="0" w:line="119" w:lineRule="exact"/>
        <w:rPr>
          <w:rFonts w:ascii="Arial" w:cs="Arial" w:eastAsia="Arial" w:hAnsi="Arial"/>
          <w:sz w:val="18"/>
          <w:szCs w:val="18"/>
          <w:color w:val="auto"/>
        </w:rPr>
      </w:pPr>
    </w:p>
    <w:p>
      <w:pPr>
        <w:ind w:left="1320" w:right="939" w:hanging="434"/>
        <w:spacing w:after="0" w:line="277" w:lineRule="auto"/>
        <w:tabs>
          <w:tab w:leader="none" w:pos="13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gross cash proceeds from the PIPE Financing of 11.0 million Common Shares for $110.3 million from PIPE Investors.</w:t>
      </w:r>
    </w:p>
    <w:p>
      <w:pPr>
        <w:spacing w:after="0" w:line="102" w:lineRule="exact"/>
        <w:rPr>
          <w:rFonts w:ascii="Arial" w:cs="Arial" w:eastAsia="Arial" w:hAnsi="Arial"/>
          <w:sz w:val="18"/>
          <w:szCs w:val="18"/>
          <w:color w:val="auto"/>
        </w:rPr>
      </w:pPr>
    </w:p>
    <w:p>
      <w:pPr>
        <w:ind w:left="1320" w:right="499" w:hanging="434"/>
        <w:spacing w:after="0" w:line="301" w:lineRule="auto"/>
        <w:tabs>
          <w:tab w:leader="none" w:pos="1298"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the reclassification of 2.7 million shares ($27.2 million) of $0.0001 par value SOAC ordinary shares to permanent equity which were previously subject to redemption. Of the 30 million shares previously issued with a value of $300.1 million, shareholders redeemed 27.3 million shares for $272.9 million. The reclassified shares are converted to Common Stock with no par.</w:t>
      </w:r>
    </w:p>
    <w:p>
      <w:pPr>
        <w:spacing w:after="0" w:line="76" w:lineRule="exact"/>
        <w:rPr>
          <w:rFonts w:ascii="Arial" w:cs="Arial" w:eastAsia="Arial" w:hAnsi="Arial"/>
          <w:sz w:val="16"/>
          <w:szCs w:val="16"/>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elimination of SOAC’s historical deficit.</w:t>
      </w:r>
    </w:p>
    <w:p>
      <w:pPr>
        <w:spacing w:after="0" w:line="157" w:lineRule="exact"/>
        <w:rPr>
          <w:rFonts w:ascii="Arial" w:cs="Arial" w:eastAsia="Arial" w:hAnsi="Arial"/>
          <w:sz w:val="18"/>
          <w:szCs w:val="18"/>
          <w:color w:val="auto"/>
        </w:rPr>
      </w:pPr>
    </w:p>
    <w:p>
      <w:pPr>
        <w:ind w:left="1320" w:right="479" w:hanging="434"/>
        <w:spacing w:after="0" w:line="279" w:lineRule="auto"/>
        <w:tabs>
          <w:tab w:leader="none" w:pos="1298"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the reclassification of SOAC Class B ordinary shares. 6.8 million Class B ordinary shares were converted on a one-for-one basis to Common Shares, 0.7 million Class B common shares were converted to Class J Special Shares and 0.5 million Class I Special Shares, all of which were issued to the Sponsor group as part of the Business Combination.</w:t>
      </w:r>
    </w:p>
    <w:p>
      <w:pPr>
        <w:spacing w:after="0" w:line="103" w:lineRule="exact"/>
        <w:rPr>
          <w:rFonts w:ascii="Arial" w:cs="Arial" w:eastAsia="Arial" w:hAnsi="Arial"/>
          <w:sz w:val="17"/>
          <w:szCs w:val="17"/>
          <w:color w:val="auto"/>
        </w:rPr>
      </w:pPr>
    </w:p>
    <w:p>
      <w:pPr>
        <w:ind w:left="1320" w:right="539" w:hanging="434"/>
        <w:spacing w:after="0" w:line="301" w:lineRule="auto"/>
        <w:tabs>
          <w:tab w:leader="none" w:pos="1278"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the issuance of 135 million DeepGreen Earnout Shares (Class A through Class H) issued to DeepGreen Shareholders and holders of DeepGreen Options upon the exercise of such DeepGreen Options, as additional consideration for the Business Combination, which will automatically convert in accordance with their terms based on certain Common Share price thresholds.</w:t>
      </w:r>
    </w:p>
    <w:p>
      <w:pPr>
        <w:spacing w:after="0" w:line="76" w:lineRule="exact"/>
        <w:rPr>
          <w:rFonts w:ascii="Arial" w:cs="Arial" w:eastAsia="Arial" w:hAnsi="Arial"/>
          <w:sz w:val="16"/>
          <w:szCs w:val="16"/>
          <w:color w:val="auto"/>
        </w:rPr>
      </w:pPr>
    </w:p>
    <w:p>
      <w:pPr>
        <w:ind w:left="1320" w:right="499" w:hanging="434"/>
        <w:spacing w:after="0" w:line="257" w:lineRule="auto"/>
        <w:tabs>
          <w:tab w:leader="none" w:pos="13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payment of SOAC and DeepGreen transaction costs of $33.5 million incurred related to the closing of the Business Combination. Of that amount, $10.5 million relates to the cash settlement of deferred underwriter compensation incurred as part of SOAC’s IPO to be paid upon the consummation of a Business Combination. The remaining transaction costs of $23.0 million include direct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19"/>
        <w:spacing w:after="0" w:line="293" w:lineRule="auto"/>
        <w:rPr>
          <w:sz w:val="20"/>
          <w:szCs w:val="20"/>
          <w:color w:val="auto"/>
        </w:rPr>
      </w:pPr>
      <w:r>
        <w:rPr>
          <w:rFonts w:ascii="Arial" w:cs="Arial" w:eastAsia="Arial" w:hAnsi="Arial"/>
          <w:sz w:val="16"/>
          <w:szCs w:val="16"/>
          <w:color w:val="auto"/>
        </w:rPr>
        <w:t>incremental costs, such as legal, third-party advisory, investment banking, other miscellaneous fees and equity financing fees associated with the PIPE Financing described at Note 2(b). Transaction costs previously incurred that are not direct and incremental to the transaction have been included within the historical statement of operations of DeepGreen and SOAC. Payments above exclude 873,953 Common Shares to be issued to settle certain transaction costs totalling $8.7 million. These Common Shares were subsequently issued on October 7, 2021.</w:t>
      </w:r>
    </w:p>
    <w:p>
      <w:pPr>
        <w:spacing w:after="0" w:line="97" w:lineRule="exact"/>
        <w:rPr>
          <w:sz w:val="20"/>
          <w:szCs w:val="20"/>
          <w:color w:val="auto"/>
        </w:rPr>
      </w:pPr>
    </w:p>
    <w:p>
      <w:pPr>
        <w:ind w:left="1320" w:right="879" w:hanging="434"/>
        <w:spacing w:after="0" w:line="277" w:lineRule="auto"/>
        <w:tabs>
          <w:tab w:leader="none" w:pos="13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recapitalization of DeepGreen, including the reclassification of historical equity to Common Shares and Additional Paid in Capital.</w:t>
      </w:r>
    </w:p>
    <w:p>
      <w:pPr>
        <w:spacing w:after="0" w:line="102" w:lineRule="exact"/>
        <w:rPr>
          <w:rFonts w:ascii="Arial" w:cs="Arial" w:eastAsia="Arial" w:hAnsi="Arial"/>
          <w:sz w:val="18"/>
          <w:szCs w:val="18"/>
          <w:color w:val="auto"/>
        </w:rPr>
      </w:pPr>
    </w:p>
    <w:p>
      <w:pPr>
        <w:ind w:left="1320" w:right="739" w:hanging="434"/>
        <w:spacing w:after="0" w:line="277" w:lineRule="auto"/>
        <w:tabs>
          <w:tab w:leader="none" w:pos="13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conversion of DeepGreen’s convertible debentures into DeepGreen Common Shares immediately prior to the Business Combination reflected in equity.</w:t>
      </w:r>
    </w:p>
    <w:p>
      <w:pPr>
        <w:spacing w:after="0" w:line="89" w:lineRule="exact"/>
        <w:rPr>
          <w:rFonts w:ascii="Arial" w:cs="Arial" w:eastAsia="Arial" w:hAnsi="Arial"/>
          <w:sz w:val="18"/>
          <w:szCs w:val="18"/>
          <w:color w:val="auto"/>
        </w:rPr>
      </w:pPr>
    </w:p>
    <w:p>
      <w:pPr>
        <w:ind w:left="1320" w:right="499" w:hanging="434"/>
        <w:spacing w:after="0" w:line="286" w:lineRule="auto"/>
        <w:tabs>
          <w:tab w:leader="none" w:pos="1313"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Reflects the impact of the Third Amendment to the Pilot Mining Test Agreement (“PMTA”) executed on March 4, 2021. This agreement became effective upon the successful completion of the Business Combination and amends previous terms to the Second Amendment to the PMTA. Among other things, this amendment issued up to 10 million warrants of DeepGreen which then applies the exchange ratio similar to other DeepGreen Common Shares and allows for three potential milestone payments of $10 million each. The adjustment reflects the accumulated amortization from the beginning of the first amendment as the payments are for R&amp;D related services being evaluated in accordance with ASC 730. The third milestone liability is not determined to be probable at the time of the Business Combination in accordance with ASC 450. The warrants are contingent upon a successful completion of the PMTA as defined therein and will be accounted for under ASC 718 as share based compensation for goods and services with a performance condition. The performance condition is not determined to be probable at the time of the Business Combination and therefore, no adjustment has been reflected related to the warrants. Refer to Note 3(b) for discussion of the impact to the statement of operations associated with this amendment.</w:t>
      </w:r>
    </w:p>
    <w:p>
      <w:pPr>
        <w:spacing w:after="0" w:line="103" w:lineRule="exact"/>
        <w:rPr>
          <w:rFonts w:ascii="Arial" w:cs="Arial" w:eastAsia="Arial" w:hAnsi="Arial"/>
          <w:sz w:val="16"/>
          <w:szCs w:val="16"/>
          <w:color w:val="auto"/>
        </w:rPr>
      </w:pPr>
    </w:p>
    <w:p>
      <w:pPr>
        <w:ind w:left="1320" w:right="479" w:hanging="434"/>
        <w:spacing w:after="0" w:line="272" w:lineRule="auto"/>
        <w:tabs>
          <w:tab w:leader="none" w:pos="1308"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the reclassification of the public warrants from liability to equity. The public warrants have been determined to meet the indexation criteria and equity classification criteria in accordance with ASC 815-40. The primary change resulting in the reclassification is the change in capital structure whereby a tender offer for the common stock would result in a change in control, primarily resulting from TMC having a single voting class of common stock compared to the two classes of common stock at SOAC. Refer to Note 3(d) for the impact to the statement of operations associated with this reclassification.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Unaudited Pro Forma Condensed Combined Statements of Operations</w:t>
      </w:r>
    </w:p>
    <w:p>
      <w:pPr>
        <w:spacing w:after="0" w:line="162" w:lineRule="exact"/>
        <w:rPr>
          <w:sz w:val="20"/>
          <w:szCs w:val="20"/>
          <w:color w:val="auto"/>
        </w:rPr>
      </w:pPr>
    </w:p>
    <w:p>
      <w:pPr>
        <w:jc w:val="both"/>
        <w:ind w:left="460" w:right="939" w:firstLine="432"/>
        <w:spacing w:after="0" w:line="342" w:lineRule="auto"/>
        <w:rPr>
          <w:sz w:val="20"/>
          <w:szCs w:val="20"/>
          <w:color w:val="auto"/>
        </w:rPr>
      </w:pPr>
      <w:r>
        <w:rPr>
          <w:rFonts w:ascii="Arial" w:cs="Arial" w:eastAsia="Arial" w:hAnsi="Arial"/>
          <w:sz w:val="16"/>
          <w:szCs w:val="16"/>
          <w:color w:val="auto"/>
        </w:rPr>
        <w:t>The pro forma adjustments included in the unaudited pro forma condensed combined statements of operations for the six months ended June 30, 2021 and the year ended December 31, 2020, are as follows:</w:t>
      </w:r>
    </w:p>
    <w:p>
      <w:pPr>
        <w:spacing w:after="0" w:line="43" w:lineRule="exact"/>
        <w:rPr>
          <w:sz w:val="20"/>
          <w:szCs w:val="20"/>
          <w:color w:val="auto"/>
        </w:rPr>
      </w:pPr>
    </w:p>
    <w:p>
      <w:pPr>
        <w:ind w:left="1320" w:right="799" w:hanging="434"/>
        <w:spacing w:after="0" w:line="277" w:lineRule="auto"/>
        <w:tabs>
          <w:tab w:leader="none" w:pos="12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elimination of interest income on SOAC’s trust account for the six months ended June 30, 2021 and the year ended December 31, 2020.</w:t>
      </w:r>
    </w:p>
    <w:p>
      <w:pPr>
        <w:spacing w:after="0" w:line="102" w:lineRule="exact"/>
        <w:rPr>
          <w:rFonts w:ascii="Arial" w:cs="Arial" w:eastAsia="Arial" w:hAnsi="Arial"/>
          <w:sz w:val="18"/>
          <w:szCs w:val="18"/>
          <w:color w:val="auto"/>
        </w:rPr>
      </w:pPr>
    </w:p>
    <w:p>
      <w:pPr>
        <w:ind w:left="1320" w:right="579" w:hanging="434"/>
        <w:spacing w:after="0" w:line="254" w:lineRule="auto"/>
        <w:tabs>
          <w:tab w:leader="none" w:pos="13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amortization of the first two milestone payments associated with the third amendment to the PMTA over the effective life of the service period which was determined to start in July 2019 as the effective date of the first contract through September 2023 as the date of expected completion. The expense recognized for the year ended December 31, 2020 includes the expense from July 2019 through December 2020 while the expense included in the six months ended June 30, 2021 represents the amortization of expense for that period. Refer to Note 2(j) for further discussion.</w:t>
      </w:r>
    </w:p>
    <w:p>
      <w:pPr>
        <w:spacing w:after="0" w:line="127" w:lineRule="exact"/>
        <w:rPr>
          <w:rFonts w:ascii="Arial" w:cs="Arial" w:eastAsia="Arial" w:hAnsi="Arial"/>
          <w:sz w:val="18"/>
          <w:szCs w:val="18"/>
          <w:color w:val="auto"/>
        </w:rPr>
      </w:pPr>
    </w:p>
    <w:p>
      <w:pPr>
        <w:ind w:left="1320" w:right="719" w:hanging="434"/>
        <w:spacing w:after="0" w:line="263" w:lineRule="auto"/>
        <w:tabs>
          <w:tab w:leader="none" w:pos="12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elimination of the historical interest expense associated with the convertible debentures which converted to DeepGreen common stock immediately prior to the closing of the Business Combination.</w:t>
      </w:r>
    </w:p>
    <w:p>
      <w:pPr>
        <w:spacing w:after="0" w:line="102" w:lineRule="exact"/>
        <w:rPr>
          <w:rFonts w:ascii="Arial" w:cs="Arial" w:eastAsia="Arial" w:hAnsi="Arial"/>
          <w:sz w:val="18"/>
          <w:szCs w:val="18"/>
          <w:color w:val="auto"/>
        </w:rPr>
      </w:pPr>
    </w:p>
    <w:p>
      <w:pPr>
        <w:ind w:left="1320" w:right="719" w:hanging="434"/>
        <w:spacing w:after="0" w:line="296" w:lineRule="auto"/>
        <w:tabs>
          <w:tab w:leader="none" w:pos="13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the elimination of $12.2 million of historical fair value gains and $19.1 million of historical fair value losses associated with the public warrants for the six months ended June 30, 2021 and year ended December 31, 2020, respectively. The elimination of these fair value adjustments to the public warrants is a result of the public warrants being classified within equity upon closing of the Business Combination. Refer to Note 2(k) for more information.</w:t>
      </w:r>
    </w:p>
    <w:p>
      <w:pPr>
        <w:sectPr>
          <w:pgSz w:w="11900" w:h="16838" w:orient="portrait"/>
          <w:cols w:equalWidth="0" w:num="1">
            <w:col w:w="9019"/>
          </w:cols>
          <w:pgMar w:left="1440" w:top="274"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Loss Per Share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 Forma Weighted Average Shares (Basic and Diluted)</w:t>
      </w:r>
    </w:p>
    <w:p>
      <w:pPr>
        <w:spacing w:after="0" w:line="135"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following pro forma weighted average shares calculations have been performed for the six months ended June 30, 2021 and for the year ended December 31, 2020. The unaudited condensed combined pro forma loss per share (“LPS”), basic and diluted, are computed by dividing loss by the weighted-average number of shares of common stock outstanding during the period.</w:t>
      </w:r>
    </w:p>
    <w:p>
      <w:pPr>
        <w:spacing w:after="0" w:line="106"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Prior to the Business Combination, SOAC had two classes of shares: Class A ordinary shares and Class B ordinary shares. The Class B ordinary shares are held by the Sponsor and directors. In connection with the closing of the Business Combination, each currently issued and outstanding SOAC Class B ordinary share not converted into Sponsor Earnout Shares automatically converted on a one-for-one basis, into SOAC Class A ordinary shares. Each currently issued and outstanding SOAC Class A ordinary share has been renamed and has the rights and restrictions attached to the Common Shares.</w:t>
      </w:r>
    </w:p>
    <w:p>
      <w:pPr>
        <w:spacing w:after="0" w:line="83"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SOAC has 15 million outstanding public warrants sold during its initial public offering and 9.5 million warrants sold in a private placement, resulting in warrants to purchase an aggregate of 24.5 million Class A ordinary shares following the initial public offering. The warrants are exercisable at $11.50 per share which exceeded the average market price of SOAC’s Class A ordinary shares for the six months ended June 30, 2021 and the year ended December 31, 2020, and were considered anti-dilutive and excluded from the loss per share calculation. These warrants continued through to become warrants of TMC with the same rights.</w:t>
      </w:r>
    </w:p>
    <w:p>
      <w:pPr>
        <w:spacing w:after="0" w:line="70"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In connection with the closing of the Business Combination, a total of 136.2 million Special Shares are outstanding (or are underlying outstanding options) and convertible into Common Shares if the Common Share applicable price threshold is exceeded following the closing of the Business Combination. Because these underlying Common Shares are contingently issuable based upon the price of the Common Shares reaching specified thresholds that are not currently met, these contingent shares have been excluded from basic loss per share. The Special Shares should be considered for diluted loss per share, however, these securities would be anti-dilutive given the historical pro forma net loss and have therefore, been excluded from diluted pro forma loss per share.</w:t>
      </w:r>
    </w:p>
    <w:p>
      <w:pPr>
        <w:spacing w:after="0" w:line="97"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As part of the normal course of business, DeepGreen issued warrants to Allseas that were assumed by TMC upon consummation of the Business Combination and become exercisable into a variable number of Common Shares, contingent upon the successful completion of the PMTS. The amount of Common Shares to be issued upon exercise of the Allseas Warrant will vary depending on the date of successful completion of the PMTS. The Allseas Warrant has an exercise price of $0.01 per Common Share and is not considered dilutive until the successful completion of the PMTS.</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a result, pro forma diluted LPS is the same as pro forma basic LPS for the periods presented.</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For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For the</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six months ended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year ended</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4"/>
              <w:spacing w:after="0"/>
              <w:rPr>
                <w:sz w:val="20"/>
                <w:szCs w:val="20"/>
                <w:color w:val="auto"/>
              </w:rPr>
            </w:pPr>
            <w:r>
              <w:rPr>
                <w:rFonts w:ascii="Arial" w:cs="Arial" w:eastAsia="Arial" w:hAnsi="Arial"/>
                <w:sz w:val="16"/>
                <w:szCs w:val="16"/>
                <w:b w:val="1"/>
                <w:bCs w:val="1"/>
                <w:color w:val="auto"/>
                <w:w w:val="89"/>
              </w:rPr>
              <w:t>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14"/>
              <w:spacing w:after="0" w:line="182" w:lineRule="exact"/>
              <w:rPr>
                <w:sz w:val="20"/>
                <w:szCs w:val="20"/>
                <w:color w:val="auto"/>
              </w:rPr>
            </w:pPr>
            <w:r>
              <w:rPr>
                <w:rFonts w:ascii="Arial" w:cs="Arial" w:eastAsia="Arial" w:hAnsi="Arial"/>
                <w:sz w:val="16"/>
                <w:szCs w:val="16"/>
                <w:b w:val="1"/>
                <w:bCs w:val="1"/>
                <w:color w:val="auto"/>
                <w:w w:val="94"/>
              </w:rPr>
              <w:t>Pro Forma</w:t>
            </w:r>
          </w:p>
        </w:tc>
        <w:tc>
          <w:tcPr>
            <w:tcW w:w="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34"/>
              <w:spacing w:after="0" w:line="182" w:lineRule="exact"/>
              <w:rPr>
                <w:sz w:val="20"/>
                <w:szCs w:val="20"/>
                <w:color w:val="auto"/>
              </w:rPr>
            </w:pPr>
            <w:r>
              <w:rPr>
                <w:rFonts w:ascii="Arial" w:cs="Arial" w:eastAsia="Arial" w:hAnsi="Arial"/>
                <w:sz w:val="16"/>
                <w:szCs w:val="16"/>
                <w:b w:val="1"/>
                <w:bCs w:val="1"/>
                <w:color w:val="auto"/>
                <w:w w:val="94"/>
              </w:rPr>
              <w:t>Pro Forma</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Combined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Combined</w:t>
            </w:r>
          </w:p>
        </w:tc>
        <w:tc>
          <w:tcPr>
            <w:tcW w:w="0" w:type="dxa"/>
            <w:vAlign w:val="bottom"/>
          </w:tcPr>
          <w:p>
            <w:pPr>
              <w:spacing w:after="0"/>
              <w:rPr>
                <w:sz w:val="1"/>
                <w:szCs w:val="1"/>
                <w:color w:val="auto"/>
              </w:rPr>
            </w:pPr>
          </w:p>
        </w:tc>
      </w:tr>
      <w:tr>
        <w:trPr>
          <w:trHeight w:val="46"/>
        </w:trPr>
        <w:tc>
          <w:tcPr>
            <w:tcW w:w="5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Pro forma net loss attributable to common shareholders – basic and</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82,862,413</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81,208,861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224,385,324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224,385,324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Loss Per Share – basic and diluted</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0.37</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 Forma Weighted Average Shares – Basic and Diluted</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SOAC Public Shareholders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2,721,343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2,721,343</w:t>
            </w:r>
          </w:p>
        </w:tc>
        <w:tc>
          <w:tcPr>
            <w:tcW w:w="0" w:type="dxa"/>
            <w:vAlign w:val="bottom"/>
          </w:tcPr>
          <w:p>
            <w:pPr>
              <w:spacing w:after="0"/>
              <w:rPr>
                <w:sz w:val="1"/>
                <w:szCs w:val="1"/>
                <w:color w:val="auto"/>
              </w:rPr>
            </w:pPr>
          </w:p>
        </w:tc>
      </w:tr>
      <w:tr>
        <w:trPr>
          <w:trHeight w:val="41"/>
        </w:trPr>
        <w:tc>
          <w:tcPr>
            <w:tcW w:w="5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SOAC Initial Shareholders</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6,759,000</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6,759,000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120" w:type="dxa"/>
            <w:vAlign w:val="bottom"/>
          </w:tcPr>
          <w:p>
            <w:pPr>
              <w:spacing w:after="0"/>
              <w:rPr>
                <w:sz w:val="20"/>
                <w:szCs w:val="20"/>
                <w:color w:val="auto"/>
              </w:rPr>
            </w:pPr>
            <w:r>
              <w:rPr>
                <w:rFonts w:ascii="Arial" w:cs="Arial" w:eastAsia="Arial" w:hAnsi="Arial"/>
                <w:sz w:val="18"/>
                <w:szCs w:val="18"/>
                <w:b w:val="1"/>
                <w:bCs w:val="1"/>
                <w:color w:val="auto"/>
              </w:rPr>
              <w:t>Total SOAC</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9,480,343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9,480,343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0"/>
                <w:szCs w:val="20"/>
                <w:color w:val="auto"/>
              </w:rPr>
            </w:pPr>
            <w:r>
              <w:rPr>
                <w:rFonts w:ascii="Arial" w:cs="Arial" w:eastAsia="Arial" w:hAnsi="Arial"/>
                <w:sz w:val="18"/>
                <w:szCs w:val="18"/>
                <w:color w:val="auto"/>
              </w:rPr>
              <w:t>DeepGreen Metals shareholders</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203,874,981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203,874,981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11,030,000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120" w:type="dxa"/>
            <w:vAlign w:val="bottom"/>
          </w:tcPr>
          <w:p>
            <w:pPr>
              <w:spacing w:after="0"/>
              <w:rPr>
                <w:sz w:val="20"/>
                <w:szCs w:val="20"/>
                <w:color w:val="auto"/>
              </w:rPr>
            </w:pPr>
            <w:r>
              <w:rPr>
                <w:rFonts w:ascii="Arial" w:cs="Arial" w:eastAsia="Arial" w:hAnsi="Arial"/>
                <w:sz w:val="18"/>
                <w:szCs w:val="18"/>
                <w:b w:val="1"/>
                <w:bCs w:val="1"/>
                <w:color w:val="auto"/>
                <w:w w:val="94"/>
              </w:rPr>
              <w:t>Total Pro Forma Weighted Average Shares – basic and diluted*</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224,385,324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224,385,324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39" w:hanging="426"/>
        <w:spacing w:after="0" w:line="293" w:lineRule="auto"/>
        <w:tabs>
          <w:tab w:leader="none" w:pos="853"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Excludes 873,953 TMC Common Shares to be issued as equity consideration to settle certain transaction costs. These Common Shares were subsequently issued on October 7, 2021.</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OF TMC</w:t>
      </w:r>
    </w:p>
    <w:p>
      <w:pPr>
        <w:spacing w:after="0" w:line="148"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i w:val="1"/>
          <w:iCs w:val="1"/>
          <w:color w:val="auto"/>
        </w:rPr>
        <w:t>The following discussion reflects the business of TMC, as currently embodied by TMC. In this section, “we,” “us” and “our” generally refer to TMC in the present tense or TMC from and after the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Prior to September 9, 2021, we were a blank check company incorporated as a Cayman Islands corporation and formed for the purpose of effecting a merger, capital stock exchange, asset acquisition, stock purchase, reorganization or similar business combination with one or more businesses. On September 9, 2021, we completed the Business Combination pursuant to the Business Combination Agreement dated March 4, 2021 that we entered into with Legacy DeepGreen. Upon the completion of the Business Combination, we changed our name to “TMC the metals company Inc.” and the business of DeepGreen became our business.</w:t>
      </w:r>
    </w:p>
    <w:p>
      <w:pPr>
        <w:spacing w:after="0" w:line="97"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are a deep-sea minerals exploration company focused on the collection, processing and refining of polymetallic nodules found on the seafloor of the CCZ. The CCZ is a zone of abyssal plains and other formations in the Eastern Pacific Ocean, with a length of around 4,500 miles (7,240 km) that spans approximately 4,500,000 square kilometers (1,700,000 sq mi). Polymetallic nodules sit unattached to the seafloor and are located in significant quantities on the seafloor of the CCZ, have high concentrations of nickel, manganese, cobalt and copper in a single rock. Our subsidiaries NORI and TOML possess the exclusive exploration rights to regions within the CCZ and operate under the effective supervision, regulation and sponsorship of Nauru and Tonga, respectively. These metals are the main raw material inputs into lithium NMC battery cathodes and electric wiring often used in EV and energy storage. We have identified the potential to recover metals from polymetallic nodules to support increasing demand from battery and electric vehicle production through the development of a process that produces metals from the polymetallic nodules with near-zero solid processing waste. We have a dual mission: (1) to supply metals for the clean energy transition with low environmental and social impact; and (2) to accelerate the transition to a circular metal economy. The primary application of our mission is to solve the primary metal supply problem required for the manufacture of EV batteries.</w:t>
      </w:r>
    </w:p>
    <w:p>
      <w:pPr>
        <w:spacing w:after="0" w:line="101"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 xml:space="preserve">As compared to land-based sources, we believe that polymetallic nodule collection has many advantages that allow us to reduce the potential environmental and social impact of primary metal production, and a flow sheet that we expect could lead to the substantial reduction or elimination of tailings. Such advantages include that: (1) the nodules can be collected without the need for removing overburden to access the nodules or destructive rock cutting and excavation that is required on land; (2) land use and deforestation caused by land-based mining can be avoided when collecting nodules; (3) less ore needs to be processed to get at the same amount of metal if nodules are used as the source as compared to land-based sources; (4) unlike many land ores, nodules do not contain toxic levels of deleterious elements like arsenic and mercury, thereby making it possible to productize 100% of nodule mass and leave no solid waste streams behind; and (5) unlike with many land-based ores, in case of nodules, significant flexibility exists to transport them anywhere in the world with a deep-water port, existing infrastructure and access to renewable power. We believe that most of this reduction in potential environmental and social impact as compared to land-based mining results from the unique properties of the polymetallic nodule resource and the production design choices made by us. The explanation, supplemental support and material assumptions underlying this claim are described below under the heading “— </w:t>
      </w:r>
      <w:r>
        <w:rPr>
          <w:rFonts w:ascii="Arial" w:cs="Arial" w:eastAsia="Arial" w:hAnsi="Arial"/>
          <w:sz w:val="17"/>
          <w:szCs w:val="17"/>
          <w:i w:val="1"/>
          <w:iCs w:val="1"/>
          <w:color w:val="auto"/>
        </w:rPr>
        <w:t>Market Opportunity</w:t>
      </w:r>
      <w:r>
        <w:rPr>
          <w:rFonts w:ascii="Arial" w:cs="Arial" w:eastAsia="Arial" w:hAnsi="Arial"/>
          <w:sz w:val="17"/>
          <w:szCs w:val="17"/>
          <w:color w:val="auto"/>
        </w:rPr>
        <w:t xml:space="preserve"> — </w:t>
      </w:r>
      <w:r>
        <w:rPr>
          <w:rFonts w:ascii="Arial" w:cs="Arial" w:eastAsia="Arial" w:hAnsi="Arial"/>
          <w:sz w:val="17"/>
          <w:szCs w:val="17"/>
          <w:i w:val="1"/>
          <w:iCs w:val="1"/>
          <w:color w:val="auto"/>
        </w:rPr>
        <w:t>Environmental Market Opportunity</w:t>
      </w:r>
      <w:r>
        <w:rPr>
          <w:rFonts w:ascii="Arial" w:cs="Arial" w:eastAsia="Arial" w:hAnsi="Arial"/>
          <w:sz w:val="17"/>
          <w:szCs w:val="17"/>
          <w:color w:val="auto"/>
        </w:rPr>
        <w:t>”. However, given that no seafloor polymetallic nodule deposits have been collected on a commercial scale to date, there is some uncertainty regarding the potential impact of commercial-scale operations on biodiversity and ecosystem function on the CCZ abyssal seafloor and overlying water column. We are still in the exploration phase of the project and have not yet obtained an exploitation contract from the ISA (“ISA Exploitation Contract”) to commence commercial-scale polymetallic nodule collection in the CCZ nor have we obtained the applicable environmental permits and other permits required to build and operate commercial scale polymetallic nodule processing and refining plants on land.</w:t>
      </w:r>
    </w:p>
    <w:p>
      <w:pPr>
        <w:spacing w:after="0" w:line="116"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We, through our subsidiaries, hold (directly or indirectly) exploration or commercial rights to three polymetallic nodule contract areas in the CCZ regulated by the ISA and sponsored by the Nation States of Nauru, Tonga and Kiribati, respectively. Based on the NORI Technical Report Summary and the TOML Technical Report Summary, the NORI Contract Area (as defined below) and TOML Contract Area (as defined below), our current material mineral properties, represent an undeveloped aggregate area of 149,543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and an estimated aggregated resource base of approximately 1.6 billion tonnes (wet) of polymetallic nodules. We believe that the mineral resource in these two contract areas alone is the largest estimated single undeveloped aggregated source of battery metals in the world, with enough estimated polymetallic nodules on the seafloor to support the electrification of approximately one quarter of the current global passenger vehicle fleet.</w:t>
      </w:r>
    </w:p>
    <w:p>
      <w:pPr>
        <w:sectPr>
          <w:pgSz w:w="11900" w:h="16838" w:orient="portrait"/>
          <w:cols w:equalWidth="0" w:num="1">
            <w:col w:w="9019"/>
          </w:cols>
          <w:pgMar w:left="1440" w:top="27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ISA has issued a total of 17 polymetallic nodule exploration contracts in the CCZ covering</w:t>
      </w:r>
    </w:p>
    <w:p>
      <w:pPr>
        <w:spacing w:after="0" w:line="23" w:lineRule="exact"/>
        <w:rPr>
          <w:sz w:val="20"/>
          <w:szCs w:val="20"/>
          <w:color w:val="auto"/>
        </w:rPr>
      </w:pPr>
    </w:p>
    <w:p>
      <w:pPr>
        <w:ind w:left="460" w:right="739"/>
        <w:spacing w:after="0" w:line="237" w:lineRule="auto"/>
        <w:rPr>
          <w:sz w:val="20"/>
          <w:szCs w:val="20"/>
          <w:color w:val="auto"/>
        </w:rPr>
      </w:pPr>
      <w:r>
        <w:rPr>
          <w:rFonts w:ascii="Arial" w:cs="Arial" w:eastAsia="Arial" w:hAnsi="Arial"/>
          <w:sz w:val="18"/>
          <w:szCs w:val="18"/>
          <w:color w:val="auto"/>
        </w:rPr>
        <w:t>1.28 million km</w:t>
      </w:r>
      <w:r>
        <w:rPr>
          <w:rFonts w:ascii="Arial" w:cs="Arial" w:eastAsia="Arial" w:hAnsi="Arial"/>
          <w:sz w:val="20"/>
          <w:szCs w:val="20"/>
          <w:color w:val="auto"/>
          <w:vertAlign w:val="superscript"/>
        </w:rPr>
        <w:t>2</w:t>
      </w:r>
      <w:r>
        <w:rPr>
          <w:rFonts w:ascii="Arial" w:cs="Arial" w:eastAsia="Arial" w:hAnsi="Arial"/>
          <w:sz w:val="18"/>
          <w:szCs w:val="18"/>
          <w:color w:val="auto"/>
        </w:rPr>
        <w:t>, or 0.4% of the global seafloor. Our subsidiaries hold direct or indirect rights to three out of these 17 exploration contracts:</w:t>
      </w:r>
    </w:p>
    <w:p>
      <w:pPr>
        <w:spacing w:after="0" w:line="135" w:lineRule="exact"/>
        <w:rPr>
          <w:sz w:val="20"/>
          <w:szCs w:val="20"/>
          <w:color w:val="auto"/>
        </w:rPr>
      </w:pPr>
    </w:p>
    <w:p>
      <w:pPr>
        <w:ind w:left="460" w:right="499" w:firstLine="432"/>
        <w:spacing w:after="0" w:line="266" w:lineRule="auto"/>
        <w:rPr>
          <w:sz w:val="20"/>
          <w:szCs w:val="20"/>
          <w:color w:val="auto"/>
        </w:rPr>
      </w:pPr>
      <w:r>
        <w:rPr>
          <w:rFonts w:ascii="Arial" w:cs="Arial" w:eastAsia="Arial" w:hAnsi="Arial"/>
          <w:sz w:val="17"/>
          <w:szCs w:val="17"/>
          <w:i w:val="1"/>
          <w:iCs w:val="1"/>
          <w:color w:val="auto"/>
        </w:rPr>
        <w:t xml:space="preserve">NORI. </w:t>
      </w:r>
      <w:r>
        <w:rPr>
          <w:rFonts w:ascii="Arial" w:cs="Arial" w:eastAsia="Arial" w:hAnsi="Arial"/>
          <w:sz w:val="17"/>
          <w:szCs w:val="17"/>
          <w:color w:val="auto"/>
        </w:rPr>
        <w:t>Nauru Ocean Resources Inc. (“NORI”), our wholly-owned subsidiary, holds exploration rights to</w:t>
      </w:r>
      <w:r>
        <w:rPr>
          <w:rFonts w:ascii="Arial" w:cs="Arial" w:eastAsia="Arial" w:hAnsi="Arial"/>
          <w:sz w:val="17"/>
          <w:szCs w:val="17"/>
          <w:i w:val="1"/>
          <w:iCs w:val="1"/>
          <w:color w:val="auto"/>
        </w:rPr>
        <w:t xml:space="preserve"> </w:t>
      </w:r>
      <w:r>
        <w:rPr>
          <w:rFonts w:ascii="Arial" w:cs="Arial" w:eastAsia="Arial" w:hAnsi="Arial"/>
          <w:sz w:val="17"/>
          <w:szCs w:val="17"/>
          <w:color w:val="auto"/>
        </w:rPr>
        <w:t>four blocks (NORI Area A, B, C, and D, the “NORI Contract Area”) covering 74,830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 Mining Rules. The NORI Technical Report Summary is filed as Exhibit 96.1 to the registration statement of which this prospectus forms a part.</w:t>
      </w:r>
    </w:p>
    <w:p>
      <w:pPr>
        <w:spacing w:after="0" w:line="116"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i w:val="1"/>
          <w:iCs w:val="1"/>
          <w:color w:val="auto"/>
        </w:rPr>
        <w:t xml:space="preserve">TOML. </w:t>
      </w:r>
      <w:r>
        <w:rPr>
          <w:rFonts w:ascii="Arial" w:cs="Arial" w:eastAsia="Arial" w:hAnsi="Arial"/>
          <w:sz w:val="17"/>
          <w:szCs w:val="17"/>
          <w:color w:val="auto"/>
        </w:rPr>
        <w:t>Tonga Offshore Mining Limited (“TOML”), our wholly-owned subsidiary which we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2020, holds exploration rights to an area covering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in the CCZ that were granted by the ISA in January 2012 (the “TOML Contract Area”). On March 8, 2008, Tonga and TOML entered into a sponsorship agreement formalizing certain obligations of the parties in relation to TOML’s exploration and potential exploitation of a proposed application to the ISA (subsequently granted) for the TOML Contract Area. TOML commissioned a Technical Report Summary by AMC, dated March 2021, which is filed as Exhibit 96.2 to the registration statement of which this prospectus forms a part.</w:t>
      </w:r>
    </w:p>
    <w:p>
      <w:pPr>
        <w:spacing w:after="0" w:line="9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i w:val="1"/>
          <w:iCs w:val="1"/>
          <w:color w:val="auto"/>
        </w:rPr>
        <w:t xml:space="preserve">Marawa. </w:t>
      </w:r>
      <w:r>
        <w:rPr>
          <w:rFonts w:ascii="Arial" w:cs="Arial" w:eastAsia="Arial" w:hAnsi="Arial"/>
          <w:sz w:val="17"/>
          <w:szCs w:val="17"/>
          <w:color w:val="auto"/>
        </w:rPr>
        <w:t>DGE, our wholly-owned subsidiary, entered into agreements with Marawa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Exploration Ltd. (“Marawa”) and the Republic of Kiribati (“Kiribati”) which provide DGE with exclusive exploration rights to an area covering 74,990 km2 in the CCZ (the “Marawa Contract Area”). The exploration contract between Marawa and the ISA (the “Marawa Exploration Contract”) was signed on January 19, 2015.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research to establish the economic viability of any project in the Marawa Contract Area. Further work will need to be conducted in order to assess the viability of any potential project in the Marawa Contract Area and such work will take several years until such assessment can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83820</wp:posOffset>
            </wp:positionV>
            <wp:extent cx="3497580" cy="2700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9758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The ISA was established in 1994 pursuant to the UNCLOS. The ISA regulates the development of seabed resources in the Area beyond national jurisdiction. The ISA is in the process of finalizing regulations for the commercial exploitation of seabed minerals in the Area, including those necessary for the collection of polymetallic nodules. The ISA was intending to have these regulations finalized by July 2020, but the COVID-19 pandemic disrupted ISA meetings and discussions. Once adopted, these regulations will create the legal and technical framework for exploitation of the polymetallic nodules in the NORI, TOML and Marawa Contract Areas.</w:t>
      </w:r>
    </w:p>
    <w:p>
      <w:pPr>
        <w:spacing w:after="0" w:line="127"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1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 June 25, 2021, the Republic of Nauru submitted its notice to the ISA requesting that it completes,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 scale polymetallic nodule collection. If the ISA has not completed the adoption of such regulations within the prescribed time and an application for approval of a plan of work for exploitation is pending before the ISA, the ISA shall none the less consider and provisionally approve such plan of work based on: (i) the provisions of the UNCLOS; (ii) any rules, regulations and procedures that the ISA may have adopted provisionally at the time, (iii) on the basis of the norms contained in the UNCLOS and (iv) the principle of non-discrimination among contractors.</w:t>
      </w:r>
    </w:p>
    <w:p>
      <w:pPr>
        <w:spacing w:after="0" w:line="85"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We are still in the exploration phase of the project and have not yet obtained an ISA Exploitation Contract to commence commercial-scale polymetallic nodule collection in the CCZ nor can it provide any assurance that it will be awarded an ISA Exploitation Contract in the future.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Polymetallic Nodules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111760</wp:posOffset>
            </wp:positionV>
            <wp:extent cx="2948940" cy="2125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4894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Deep-ocean polymetallic nodules form on or just below the sediment-covered abyssal plains of the ocean. These nodules contain significant amounts of metals, and their unique characteristic compared to terrestrial deposits is the presence of multiple metals in one deposit. Additionally, polymetallic nodules in the CCZ possess a select number of key defining features such as:</w:t>
      </w:r>
    </w:p>
    <w:p>
      <w:pPr>
        <w:spacing w:after="0" w:line="119" w:lineRule="exact"/>
        <w:rPr>
          <w:sz w:val="20"/>
          <w:szCs w:val="20"/>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far removed from human communities — no need for social displacement;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unattached to the seafloor — no need for drilling and blasting;</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high-grades of four metals (nickel, copper, cobalt and manganese) in a single source — much less mass to process;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99" w:hanging="434"/>
        <w:spacing w:after="0" w:line="277"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very low hazardous elements like arsenic, antimony and mercury — which with the processing flow sheet contemplated by us would result in no toxic processing tailings;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 head-grade variability — easy to process;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2-10 cm diameter — easy to handle;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microporous — easy to smelt.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Battery Metals and EV Market Opportunity</w:t>
      </w:r>
    </w:p>
    <w:p>
      <w:pPr>
        <w:spacing w:after="0" w:line="158"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Significant growth in EV demand is now widely expected, with many countries committing to phasing out cars that burn fossil fuels and many original equipment manufacturers (“OEMs”) devoting significant resources to the electrification of their vehicle offerings. This transition to EVs will test the limits of the supply of certain metals where EVs require several times more of certain metals (such as nickel and cobalt) than cars with internal combustion engines.</w:t>
      </w:r>
    </w:p>
    <w:p>
      <w:pPr>
        <w:spacing w:after="0" w:line="12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 urgent transition away from fossil fuels is driving a very significant, transitional demand for base metals. While only 1.4 million EVs were sold globally in 2020, that number is expected to grow over 15 times to 21.8 million EVs annually by 2030 and then further accelerate to 55.5 million vehicles by 2040. The surge in electric vehicle demand is supported by shifting consumer preferences, technology advancements and government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76835</wp:posOffset>
            </wp:positionV>
            <wp:extent cx="3120390" cy="3943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2039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There has been unprecedented capital allocation towards the development and commercialization of EVs. Eight of the leading OEMs have announced target investments that total approximately $400 billion for hybrid and pure EV development. In addition to internal combustion engine (“ICE”) OEMs and EV pioneers, in the last year alone, approximately $20 billion of capital was raised through SPAC mergers to support the development and commercialization of EVs. In addition to corporate investment, many national and regional regulatory bodies have adopted legislation to incentivize or require a shift to lower-emission and zero-emission vehicles. For example, China, the United Kingdom, Sweden, Germany, and France have announced plans to either increase applicable environmental targets or outright ban the sale of new ICE vehicles by 2030 or 2040. More recently, California passed regulations requiring half of the trucks sold in the state to be zero-emissions by 2035 and 100% by 2045.</w:t>
      </w:r>
    </w:p>
    <w:p>
      <w:pPr>
        <w:spacing w:after="0" w:line="118"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Given the importance of battery metals such as nickel, manganese, cobalt and copper as critical components in the anticipated global development and commercialization of EVs, demand is expected to outpace supply and create a shortage in the coming years. By 2030, global battery demand is expected to reach 3,612 GWh, or 17 times greater than demand in 2019. The EV market is expected to drive approximately 85% of this demand. The remaining demand is comprised of energy storage applications (13%) and consumer electronics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28460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Given the projected growth in global demand for large-scale lithium-ion batteries in connection with the EV transition, the current supply of battery metals such as nickel and copper is expected to be insufficient, with shortages projected to emerge by 2024. If no new greenfield developments are added to the pipeline, existing mining operations are predicted to fall short of meeting increased demand, and could result in a deficit of up to 40% in the supply of Class 1 nickel and up to 35% in the supply of copper.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 Market Opportunity</w:t>
      </w:r>
    </w:p>
    <w:p>
      <w:pPr>
        <w:spacing w:after="0" w:line="14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Hundreds of millions of tons of nickel, cobalt, manganese and copper are required for the electrification of the global passenger fleet, and we believe there is a critical need to ensure that these large amounts of base metals are sourced with the lowest environmental, social, and economic impacts possible. As the global supply of high-grade ore remains limited and metal demand increases, we can expect a larger environmental footprint as well as potential increases in metal prices should land-based mining remain the only viable method of collection. A 2021 study by the International Energy Agency shows that the production of some minerals could increase by 600% by 2040 to meet the growing demand for clean energy technologies required to keep global warming at 1.5°C. we expect that a growing global population, rising standards of living, higher penetration of intermittent renewable energy and increased commitments to carbon neutrality will contribute to high demand for battery metals. All base metals going into EV batteries today are ultimately produced from land-based ores or recycled products. However, the land mining sector is fundamentally challenged — ore grades are falling, production is moving to some of the more biodiverse and conflict-laden regions in the world (such as DRC, Indonesia, and South Africa), and accessing ore bodies often requires a complete removal of ecosystems situated on and above such orebodies, and removing, breaking or tunneling through significant tonnage of waste rock. Toxic levels of heavy elements often found in land ore bodies often need to be removed, stored, and maintained indefinitely — a real challenge on seismically active and wet tropical islands in countries like Indonesia that is expected to account for most of future growth in nickel supply. While some market proponents have recently announced opposition to acquiring metals derived from deep-sea ore bodies on environmental grounds, we believe that deep-sea mineral production presents significant net aggregated environmental and social benefits compared to production of similar metals from land based resource deposits.</w:t>
      </w:r>
    </w:p>
    <w:p>
      <w:pPr>
        <w:spacing w:after="0" w:line="114" w:lineRule="exact"/>
        <w:rPr>
          <w:sz w:val="20"/>
          <w:szCs w:val="20"/>
          <w:color w:val="auto"/>
        </w:rPr>
      </w:pPr>
    </w:p>
    <w:p>
      <w:pPr>
        <w:ind w:left="460" w:right="599" w:firstLine="432"/>
        <w:spacing w:after="0" w:line="285" w:lineRule="auto"/>
        <w:rPr>
          <w:sz w:val="20"/>
          <w:szCs w:val="20"/>
          <w:color w:val="auto"/>
        </w:rPr>
      </w:pPr>
      <w:r>
        <w:rPr>
          <w:rFonts w:ascii="Arial" w:cs="Arial" w:eastAsia="Arial" w:hAnsi="Arial"/>
          <w:sz w:val="16"/>
          <w:szCs w:val="16"/>
          <w:color w:val="auto"/>
        </w:rPr>
        <w:t>We believe that sourcing such a large transitional demand of base metals from polymetallic nodules provides an opportunity to dramatically compress most lifecycle ESG impacts associated with conventional metal production from land-based ores. Producing metals from CCZ nodules can help avoid common ESG impacts with conventional metal production, such as child labor, deforestation, toxic tailings, and dramatically reduce other footprints like CO</w:t>
      </w:r>
      <w:r>
        <w:rPr>
          <w:rFonts w:ascii="Arial" w:cs="Arial" w:eastAsia="Arial" w:hAnsi="Arial"/>
          <w:sz w:val="18"/>
          <w:szCs w:val="18"/>
          <w:color w:val="auto"/>
          <w:vertAlign w:val="subscript"/>
        </w:rPr>
        <w:t>2,</w:t>
      </w:r>
      <w:r>
        <w:rPr>
          <w:rFonts w:ascii="Arial" w:cs="Arial" w:eastAsia="Arial" w:hAnsi="Arial"/>
          <w:sz w:val="16"/>
          <w:szCs w:val="16"/>
          <w:color w:val="auto"/>
        </w:rPr>
        <w:t xml:space="preserve"> sulphur oxide (SOx) and nitrogen oxide (NOx), water and land use. However, given that no seafloor polymetallic nodule deposit has been collected on a commercial scale to date, there is some uncertainty regarding the potential impact of commercial-scale operations on biodiversity and ecosystem function on the CCZ abyssal seafloor and overlying water column. We are still in the exploration phase of the project and have not yet obtained an ISA Exploitation Contract to commence commercial-scale nodule collection operations in the CCZ nor have we obtained the applicable environmental permits and other permits required to build and operate commercial scale polymetallic nodule processing and refining plants on land.</w:t>
      </w:r>
    </w:p>
    <w:p>
      <w:pPr>
        <w:spacing w:after="0" w:line="107"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Most of this compression is made possible by the unique properties of the polymetallic nodule resource and supported by production design choices we have made. Polymetallic nodules sit unattached to the seafloor, with over 90% of nodule mass generally presenting in the top 5 cm unobstructed by overburden. This means that the nodules can be collected without the need for removing overburden to access the nodules or destructive rock cutting and excavation that is required on land. It also means that land use and deforestation caused by land-based mining can be avoided when collecting nodules. In order to extract nickel, copper, cobalt and manganese on land, at least three different types of ores would need to be excavated on land. Nodules contain rich concentrations of all four of these critical metals in a single rock, accounting for over one-third of nodule mass. This means that, on average, four times less ore needs to be processed to get at the same amount of metal if nodules are used as the source. Furthermore, unlike many land ores, nodules do not contain toxic levels of deleterious elements like arsenic and mercury — making it possible to productize 100% of nodule mass and leave no solid waste streams behind.</w:t>
      </w:r>
    </w:p>
    <w:p>
      <w:pPr>
        <w:spacing w:after="0" w:line="87"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Nodule collection will also result in a new type of seafloor use in the CCZ abyssal plains. Some conventional projects producing metals from land ores do currently use the deep seafloor in the Coral Triangle and in the Atlantic Ocean for deposition of toxic tailings. If measured in terms of the used seafloor area (rather than the severity of impacts on the deep-sea ecosystems which are expected to be far more severe for deep-sea tailings placement), nodule collection will significantly increase the use of the seafloor. For context, it is also worth noting that if the entire CCZ area currently under exploration were to be exploited over a 30 year period, it would impact 40,000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of the abyssal seafloor per year. This is less than 1% of the estimated 4,900,000 km2 of the seafloor impacted every year by trawling primarily in highly productive coastal waters.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83" w:lineRule="auto"/>
        <w:rPr>
          <w:sz w:val="20"/>
          <w:szCs w:val="20"/>
          <w:color w:val="auto"/>
        </w:rPr>
      </w:pPr>
      <w:r>
        <w:rPr>
          <w:rFonts w:ascii="Arial" w:cs="Arial" w:eastAsia="Arial" w:hAnsi="Arial"/>
          <w:sz w:val="16"/>
          <w:szCs w:val="16"/>
          <w:color w:val="auto"/>
        </w:rPr>
        <w:t>The CCZ abyssal plains are one of the most common and least populated habitats on the planet, akin to barren deserts on land, and they on average support approximately 1,500 less biomass per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than Indonesian rainforests (the number one nickel producer today). The CCZ abyssal seafloor is plant-free, food-poor and dominated by bacterial life forms. While it has been studied extensively since the 1960s and more research is underway, some level of uncertainty about the full inventory of local biodiversity will necessarily remain; as a result, entirely eliminating the risk of biodiversity loss is not feasible. Potential future commercial-scale nodule collection operations in the CCZ are certain to disturb wildlife in the operating area. The nature and severity of these impacts on CCZ wildlife are expected to vary by species and are currently subject to significant uncertainty. Our studies cataloguing wildlife and ecosystem function, piloting the nodule collection system and assessing impacts arising from the use of this system are all currently in progress. Given the significant volume of deep water and the difficulty of sampling or retrieving biological specimens in the Area, a complete biological inventory might never be established. Accordingly, impacts on CCZ biodiversity may never be, completely and definitively known. For the same reasons, it may also not be possible to determine whether the impact of nodule collection on global biodiversity will be less significant than those estimated for land-based mining for a similar amount of produced metal.</w:t>
      </w:r>
    </w:p>
    <w:p>
      <w:pPr>
        <w:spacing w:after="0" w:line="107" w:lineRule="exact"/>
        <w:rPr>
          <w:sz w:val="20"/>
          <w:szCs w:val="20"/>
          <w:color w:val="auto"/>
        </w:rPr>
      </w:pPr>
    </w:p>
    <w:p>
      <w:pPr>
        <w:ind w:left="460" w:right="479" w:firstLine="432"/>
        <w:spacing w:after="0" w:line="280" w:lineRule="auto"/>
        <w:rPr>
          <w:sz w:val="20"/>
          <w:szCs w:val="20"/>
          <w:color w:val="auto"/>
        </w:rPr>
      </w:pPr>
      <w:r>
        <w:rPr>
          <w:rFonts w:ascii="Arial" w:cs="Arial" w:eastAsia="Arial" w:hAnsi="Arial"/>
          <w:sz w:val="16"/>
          <w:szCs w:val="16"/>
          <w:color w:val="auto"/>
        </w:rPr>
        <w:t>The issue of biodiversity loss is also faced by conventional metal producers on land, with land-based mining featuring as a significant driver of biodiversity loss and deforestation today. As a precautionary environmental management and protection measure, the ISA has set aside 1.4 million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of the CCZ as preservation zones, or Areas of Particular Environmental Interest (APEIs) that will be preserved. As a result, more area in the CCZ is currently under protection than under exploration (1.4 million vs. 1.28 million km</w:t>
      </w:r>
      <w:r>
        <w:rPr>
          <w:rFonts w:ascii="Arial" w:cs="Arial" w:eastAsia="Arial" w:hAnsi="Arial"/>
          <w:sz w:val="18"/>
          <w:szCs w:val="18"/>
          <w:color w:val="auto"/>
          <w:vertAlign w:val="superscript"/>
        </w:rPr>
        <w:t>2</w:t>
      </w:r>
      <w:r>
        <w:rPr>
          <w:rFonts w:ascii="Arial" w:cs="Arial" w:eastAsia="Arial" w:hAnsi="Arial"/>
          <w:sz w:val="16"/>
          <w:szCs w:val="16"/>
          <w:color w:val="auto"/>
        </w:rPr>
        <w:t>, respectively). Additional marine impact mitigation measures such as setting aside more areas and leaving partial nodule cover inside collection areas to aid natural recovery of bacterial and other communities are also being evaluated. We are collaborating with certain of the world’s leading researchers to conduct environmental baseline and collection impact studies and to design plans that could further mitigate marine impacts of nodule collection through its collection system and adaptive management system.</w:t>
      </w:r>
    </w:p>
    <w:p>
      <w:pPr>
        <w:spacing w:after="0" w:line="10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15% of nodule cover (by mass) and setting aside no-take zones, would aid recruitment and recovery of nodule-dependent species in impacted areas will depend on factors like habitat connectivity, which is an area that is still under study.</w:t>
      </w:r>
    </w:p>
    <w:p>
      <w:pPr>
        <w:spacing w:after="0" w:line="100"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To understand comparative ESG footprints of metal production from nodules as compared to conventional land ores, we commissioned several lifecycle assessments (LCAs) looking at the cradle-to-gate impacts of producing nickel, copper, cobalt and manganese products for “1 billion EVs by 2050” scenario. An LCA white paper looking at a comprehensive set of impacts was commissioned by us and co-authored by certain of our executive officers in 2018 and reviewed by subject matter specialists and published in April 2020 and an LCA research paper derived from the LCA white paper focusing on climate change impacts went through peer-review and was published in the Elsevier Journal of Cleaner Production in December 2020. Based on these LCA assessments that we commissioned and certain of our executive officers’ co-authored, we believe that we are positioned to become one of the lowest ESG footprint metal companies in the industry, offering an expected 70-99% reduction of most lifecycle ESG impacts. While most of these reductions are attributable to the unique advantages of the polymetallic nodule resource as described above, the elimination of solid processing waste streams onshore is due to our investment in zero-waste flowsheet design and the 70% reduction in Global Warming Potential of operations are due to our commitment to locate its onshore processing facilities in places with access to renewable power. However, although we believe that the lifecycle ESG impacts of metal production from polymetallic nodules are significantly lower than land based mining, given that no seafloor polymetallic nodule deposit has been collected on a commercial scale to date, there is some uncertainty regarding the ultimate potential impact of commercial-scale operations on wildlife and ecosystem function on the CCZ abyssal seafloor and overlying water column. There can be no assurance that the ESG impacts of metal production from nodules are not greater than anticipated.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Lifecycle ESG Impacts from Studies we Commissioned</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and Co-authored by Certain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91440</wp:posOffset>
            </wp:positionV>
            <wp:extent cx="2606040" cy="25628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604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Uncertainty around each LCA indicator is discussed at length in the April 2020 white paper and in the December 2020 climate change impacts paper. Land-based estimates were derived from public LCA databases that contain robust data for metals like nickel and copper; estimates for metals like manganese and cobalt where data in public LCA databases was sparse were augmented with more recent data from peer-reviewed research. Nodule-related estimates were based on technical scoping studies for our offshore and onshore production system that formed the basis of Canadian NI-43-101 compliant preliminary economic assessment for NORI-D (2019). The indicators with the highest level of uncertainty for both supply scenarios — land ores and nodules — were impacts on biodiversity and the risk of biodiversity loss. This type of data is not captured in public LCA databases and is further complicated by methodological difficulties of comparing marine and terrestrial life.</w:t>
      </w:r>
    </w:p>
    <w:p>
      <w:pPr>
        <w:spacing w:after="0" w:line="127"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All extractive industries result in impacts to the receiving environment. Nodule collection is no exception and will impact the deep-sea marine environment through nodule removal, disturbance of seafloor sediment and return of seawater used for nodule transport that is expected to contain residual sediment and nodule fines back in the water column (“plumes”). Baselining the impacted marine environment by characterizing the ecosystem and then developing measures to avoid and mitigate these impacts is the central focus of our Environmental and Social Impact Assessment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zones set aside by us and (2) the extent to which residual nodule cover (expected at 15% of nodule mass) will aid recruitment and recovery of these species in impacted areas. Disturbance of the seafloor by collector robots is expected to disturb (mostly microbial) organisms living in and on the sediments. Impact severity will depend on the depth of disturbance (expected to be approximately 5 cm based on modelling and lab tests) and the impact this has on benthic ecosystem function. Over 90% of the entrained sediment is expected to be separated from nodules inside the collector robot and discharged behind the collector robot, most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evades separation inside the collector robot will be transported with nodules and seawater through the riser pipe to the surface production vessel where nodules get dewatered and residual water, sediment and nodules fines are returned at some depth in the water column. Potential impacts from the mid-water sediment plume include clogging of the delicate respiratory and filter feeding structures of pelagic zooplankton species, such as jellyfish and krill. However, the mid-water discharge is expected to have very low solid particle concentration and dilute to background sedimentation levels within hours. The depth of discharge will be selected based on ESIA results to minimize impact on life in the midwater column.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4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For the following reasons, we believe that we are well positioned to compete in the global marketplace for the collection and production of certain critical metal inputs of lithium NMC (nickel-manganese-cobalt) batteries and electric wiring often used in electric vehicles:</w:t>
      </w:r>
    </w:p>
    <w:p>
      <w:pPr>
        <w:spacing w:after="0" w:line="112" w:lineRule="exact"/>
        <w:rPr>
          <w:sz w:val="20"/>
          <w:szCs w:val="20"/>
          <w:color w:val="auto"/>
        </w:rPr>
      </w:pPr>
    </w:p>
    <w:p>
      <w:pPr>
        <w:ind w:left="1320" w:right="939" w:hanging="434"/>
        <w:spacing w:after="0" w:line="252"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The world’s largest estimated single aggregated source of battery materials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have the exploration rights to 224,533 km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of CCZ seafloor that host an estimated 1.6 billion (wet) ton nodule resource.</w:t>
      </w:r>
    </w:p>
    <w:p>
      <w:pPr>
        <w:spacing w:after="0" w:line="124" w:lineRule="exact"/>
        <w:rPr>
          <w:rFonts w:ascii="Arial" w:cs="Arial" w:eastAsia="Arial" w:hAnsi="Arial"/>
          <w:sz w:val="18"/>
          <w:szCs w:val="18"/>
          <w:color w:val="auto"/>
        </w:rPr>
      </w:pPr>
    </w:p>
    <w:p>
      <w:pPr>
        <w:ind w:left="1320" w:right="499" w:hanging="434"/>
        <w:spacing w:after="0" w:line="286" w:lineRule="auto"/>
        <w:tabs>
          <w:tab w:leader="none" w:pos="1311"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Low cost of production </w:t>
      </w:r>
      <w:r>
        <w:rPr>
          <w:rFonts w:ascii="Arial" w:cs="Arial" w:eastAsia="Arial" w:hAnsi="Arial"/>
          <w:sz w:val="17"/>
          <w:szCs w:val="17"/>
          <w:color w:val="auto"/>
        </w:rPr>
        <w:t>— We intend to become the second lowest-cost nickel producer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world, and we believe that we can achieve a negative cash cost for nickel as a result of being able to sell 100% of the byproducts created through the smelting and refining process.</w:t>
      </w:r>
    </w:p>
    <w:p>
      <w:pPr>
        <w:spacing w:after="0" w:line="84" w:lineRule="exact"/>
        <w:rPr>
          <w:rFonts w:ascii="Arial" w:cs="Arial" w:eastAsia="Arial" w:hAnsi="Arial"/>
          <w:sz w:val="17"/>
          <w:szCs w:val="17"/>
          <w:color w:val="auto"/>
        </w:rPr>
      </w:pPr>
    </w:p>
    <w:p>
      <w:pPr>
        <w:ind w:left="1320" w:right="799" w:hanging="434"/>
        <w:spacing w:after="0" w:line="308" w:lineRule="auto"/>
        <w:tabs>
          <w:tab w:leader="none" w:pos="1311"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Quality resource </w:t>
      </w:r>
      <w:r>
        <w:rPr>
          <w:rFonts w:ascii="Arial" w:cs="Arial" w:eastAsia="Arial" w:hAnsi="Arial"/>
          <w:sz w:val="17"/>
          <w:szCs w:val="17"/>
          <w:color w:val="auto"/>
        </w:rPr>
        <w:t>— the polymetallic nodules that are to be collected are rich in valuable metals,</w:t>
      </w:r>
      <w:r>
        <w:rPr>
          <w:rFonts w:ascii="Arial" w:cs="Arial" w:eastAsia="Arial" w:hAnsi="Arial"/>
          <w:sz w:val="17"/>
          <w:szCs w:val="17"/>
          <w:i w:val="1"/>
          <w:iCs w:val="1"/>
          <w:color w:val="auto"/>
        </w:rPr>
        <w:t xml:space="preserve"> </w:t>
      </w:r>
      <w:r>
        <w:rPr>
          <w:rFonts w:ascii="Arial" w:cs="Arial" w:eastAsia="Arial" w:hAnsi="Arial"/>
          <w:sz w:val="17"/>
          <w:szCs w:val="17"/>
          <w:color w:val="auto"/>
        </w:rPr>
        <w:t>containing high grades of copper, nickel, cobalt and manganese in a single rock.</w:t>
      </w:r>
    </w:p>
    <w:p>
      <w:pPr>
        <w:spacing w:after="0" w:line="78" w:lineRule="exact"/>
        <w:rPr>
          <w:rFonts w:ascii="Arial" w:cs="Arial" w:eastAsia="Arial" w:hAnsi="Arial"/>
          <w:sz w:val="17"/>
          <w:szCs w:val="17"/>
          <w:color w:val="auto"/>
        </w:rPr>
      </w:pPr>
    </w:p>
    <w:p>
      <w:pPr>
        <w:ind w:left="1320" w:right="499" w:hanging="434"/>
        <w:spacing w:after="0" w:line="270" w:lineRule="auto"/>
        <w:tabs>
          <w:tab w:leader="none" w:pos="1311"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Positive ESG impacts </w:t>
      </w:r>
      <w:r>
        <w:rPr>
          <w:rFonts w:ascii="Arial" w:cs="Arial" w:eastAsia="Arial" w:hAnsi="Arial"/>
          <w:sz w:val="17"/>
          <w:szCs w:val="17"/>
          <w:color w:val="auto"/>
        </w:rPr>
        <w:t>— We believe that our business model will result in significant ESG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our on-land mining counterparts, and is expected to yield a 70 – 99% improvement in most lifecycle ESG impacts. However, although we believe that the lifecycle ESG impacts of metal production from polymetallic nodules are significantly lower than land-based mining, given that no seafloor polymetallic nodule deposit has been collected and processed on a commercial scale to date, there is some uncertainty regarding the potential impact of commercial-scale operations would have on biodiversity and ecosystem function the CCZ abyssal seafloor and overlying water column. There can be no assurance that the ESG impacts of metal production from nodules are not greater than anticipated.</w:t>
      </w:r>
    </w:p>
    <w:p>
      <w:pPr>
        <w:spacing w:after="0" w:line="113" w:lineRule="exact"/>
        <w:rPr>
          <w:rFonts w:ascii="Arial" w:cs="Arial" w:eastAsia="Arial" w:hAnsi="Arial"/>
          <w:sz w:val="17"/>
          <w:szCs w:val="17"/>
          <w:color w:val="auto"/>
        </w:rPr>
      </w:pPr>
    </w:p>
    <w:p>
      <w:pPr>
        <w:ind w:left="1320" w:right="499" w:hanging="434"/>
        <w:spacing w:after="0" w:line="263"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Best-in-class strategic partners — </w:t>
      </w:r>
      <w:r>
        <w:rPr>
          <w:rFonts w:ascii="Arial" w:cs="Arial" w:eastAsia="Arial" w:hAnsi="Arial"/>
          <w:sz w:val="18"/>
          <w:szCs w:val="18"/>
          <w:color w:val="auto"/>
        </w:rPr>
        <w:t>Our strategic partners, such as Allseas, Maersk and Glencore, are</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leaders in their respective fields, and we believe that such relationships will allow us to successfully pursue our asset-light model of development.</w:t>
      </w:r>
    </w:p>
    <w:p>
      <w:pPr>
        <w:spacing w:after="0" w:line="102" w:lineRule="exact"/>
        <w:rPr>
          <w:rFonts w:ascii="Arial" w:cs="Arial" w:eastAsia="Arial" w:hAnsi="Arial"/>
          <w:sz w:val="18"/>
          <w:szCs w:val="18"/>
          <w:color w:val="auto"/>
        </w:rPr>
      </w:pPr>
    </w:p>
    <w:p>
      <w:pPr>
        <w:ind w:left="1320" w:right="559" w:hanging="434"/>
        <w:spacing w:after="0" w:line="269" w:lineRule="auto"/>
        <w:tabs>
          <w:tab w:leader="none" w:pos="1311"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Highly qualified and knowledgeable management team — </w:t>
      </w:r>
      <w:r>
        <w:rPr>
          <w:rFonts w:ascii="Arial" w:cs="Arial" w:eastAsia="Arial" w:hAnsi="Arial"/>
          <w:sz w:val="17"/>
          <w:szCs w:val="17"/>
          <w:color w:val="auto"/>
        </w:rPr>
        <w:t>We are led by Gerard Barron,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Chairman who has a successful track-record as a serial company-builder (including battery manufacturing, telecoms and digital asset management technology) and as an investor in ocean resources; Dr. Greg Stone, our chief Ocean Scientist, who has over 30 years of experience in ocean research, conservation and policy, including approximately 10 years as Chief Scientist for Oceans at Conservation International; Erika Ilves, our Chief Strategy Officer, who has over 15 years in strategy, including six years at McKinsey &amp; Co. and five years in technology development for mining in extreme environments; Anthony O’Sullivan, our Chief Development Officer, who has 30 years of experience in both land and ocean resource development projects, and was the former Head of Base Metals Exploration at BHP; and Craig Shesky, our Chief Financial Officer, who has 15 years combined experience in public investing, metals research and investment banking.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Our contemplated business spans the entire lifecycle of the polymetallic nodule from the resource acquisition and definition stage through the collection and transportation phases into the processing and refining of nodules onshore and finally in product marketing and offtake. NORI and TOML, two of our subsidiaries, intend to operate under the effective supervision, regulation and sponsorship of Nauru and Tonga, respectively, in the CCZ. We intend to engage in processing operations in locations that have yet to be determined. We have chosen an asset-light approach to our operations and has focused on forming deep strategic partnerships with leading offshore companies in every aspect of our operations.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key strategic alliances include:</w:t>
      </w:r>
    </w:p>
    <w:p>
      <w:pPr>
        <w:spacing w:after="0" w:line="144" w:lineRule="exact"/>
        <w:rPr>
          <w:sz w:val="20"/>
          <w:szCs w:val="20"/>
          <w:color w:val="auto"/>
        </w:rPr>
      </w:pPr>
    </w:p>
    <w:p>
      <w:pPr>
        <w:jc w:val="both"/>
        <w:ind w:left="460" w:right="699" w:firstLine="432"/>
        <w:spacing w:after="0" w:line="263" w:lineRule="auto"/>
        <w:rPr>
          <w:sz w:val="20"/>
          <w:szCs w:val="20"/>
          <w:color w:val="auto"/>
        </w:rPr>
      </w:pPr>
      <w:r>
        <w:rPr>
          <w:rFonts w:ascii="Arial" w:cs="Arial" w:eastAsia="Arial" w:hAnsi="Arial"/>
          <w:sz w:val="18"/>
          <w:szCs w:val="18"/>
          <w:i w:val="1"/>
          <w:iCs w:val="1"/>
          <w:color w:val="auto"/>
        </w:rPr>
        <w:t xml:space="preserve">Allseas. </w:t>
      </w:r>
      <w:r>
        <w:rPr>
          <w:rFonts w:ascii="Arial" w:cs="Arial" w:eastAsia="Arial" w:hAnsi="Arial"/>
          <w:sz w:val="18"/>
          <w:szCs w:val="18"/>
          <w:color w:val="auto"/>
        </w:rPr>
        <w:t>Allseas, a leading global offshore contractor, is developing the pilot collection system for us,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expected to be modified into the initial smaller scale commercial production system and serve as the basis for the design of a full-scale commercial production system.</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19" w:firstLine="432"/>
        <w:spacing w:after="0" w:line="263" w:lineRule="auto"/>
        <w:rPr>
          <w:sz w:val="20"/>
          <w:szCs w:val="20"/>
          <w:color w:val="auto"/>
        </w:rPr>
      </w:pPr>
      <w:r>
        <w:rPr>
          <w:rFonts w:ascii="Arial" w:cs="Arial" w:eastAsia="Arial" w:hAnsi="Arial"/>
          <w:sz w:val="18"/>
          <w:szCs w:val="18"/>
          <w:i w:val="1"/>
          <w:iCs w:val="1"/>
          <w:color w:val="auto"/>
        </w:rPr>
        <w:t xml:space="preserve">Maersk. </w:t>
      </w:r>
      <w:r>
        <w:rPr>
          <w:rFonts w:ascii="Arial" w:cs="Arial" w:eastAsia="Arial" w:hAnsi="Arial"/>
          <w:sz w:val="18"/>
          <w:szCs w:val="18"/>
          <w:color w:val="auto"/>
        </w:rPr>
        <w:t>Maersk Supply Service, a leading offshore marine service company, has provided us with</w:t>
      </w:r>
      <w:r>
        <w:rPr>
          <w:rFonts w:ascii="Arial" w:cs="Arial" w:eastAsia="Arial" w:hAnsi="Arial"/>
          <w:sz w:val="18"/>
          <w:szCs w:val="18"/>
          <w:i w:val="1"/>
          <w:iCs w:val="1"/>
          <w:color w:val="auto"/>
        </w:rPr>
        <w:t xml:space="preserve"> </w:t>
      </w:r>
      <w:r>
        <w:rPr>
          <w:rFonts w:ascii="Arial" w:cs="Arial" w:eastAsia="Arial" w:hAnsi="Arial"/>
          <w:sz w:val="18"/>
          <w:szCs w:val="18"/>
          <w:color w:val="auto"/>
        </w:rPr>
        <w:t>vessel operations and project management services for resource definition and environmental offshore campaigns in return for equity in our company.</w:t>
      </w:r>
    </w:p>
    <w:p>
      <w:pPr>
        <w:spacing w:after="0" w:line="11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8"/>
          <w:szCs w:val="18"/>
          <w:i w:val="1"/>
          <w:iCs w:val="1"/>
          <w:color w:val="auto"/>
        </w:rPr>
        <w:t>Glencore:</w:t>
      </w:r>
      <w:r>
        <w:rPr>
          <w:sz w:val="20"/>
          <w:szCs w:val="20"/>
          <w:color w:val="auto"/>
        </w:rPr>
        <w:tab/>
      </w:r>
      <w:r>
        <w:rPr>
          <w:rFonts w:ascii="Arial" w:cs="Arial" w:eastAsia="Arial" w:hAnsi="Arial"/>
          <w:sz w:val="16"/>
          <w:szCs w:val="16"/>
          <w:color w:val="auto"/>
        </w:rPr>
        <w:t>Glencore holds offtake on 50% of the NORI nickel and copper production.</w:t>
      </w:r>
    </w:p>
    <w:p>
      <w:pPr>
        <w:spacing w:after="0" w:line="158"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In addition, we have worked with an engineering firm (Hatch) and consultants (KPM) to develop a zero solid waste flowsheet, which includes a pilot plant program which is being completed at FLSmidth’s and Glencore’s facilities. The zero solid waste flowsheet is the process design that is expected to serve as the basis for our onshore processing facilities.</w:t>
      </w:r>
    </w:p>
    <w:p>
      <w:pPr>
        <w:spacing w:after="0" w:line="106"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NORI has planned a phased development for NORI Area D. Offshore collection systems, comprising collector vehicles on the seafloor, a RALS, and a production support vessel, would collect polymetallic nodules. The nodules are expected to be transferred to transport vessels and shipped to on-shore processing facilities where established processing technology would be used to produce copper cathode, nickel sulphate and cobalt sulphate suitable for Li Ion battery cathode feedstock, nickel-copper-cobalt alloy, nickel matte, manganese silicate, and ammonium sulphate.</w:t>
      </w:r>
    </w:p>
    <w:p>
      <w:pPr>
        <w:spacing w:after="0" w:line="125"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 xml:space="preserve">Through our strategic partnership with Allseas, a former oil and gas drilling vessel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acquired by Allseas in February 2020 is being converted and modified to undertake a pre-production collector test in which a collector vehicle, RALS and other systems will be tested. The first phase of commercial production (“Project Zero”) would then be expected to commence after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has been upgraded to become a production support vessel that can produce up to 1.3 Mtpa (wet) of nodules. The nodules collected in Project Zero are expected to be processed through existing third-party facilities on a tolling basis or alternatively to seek partnerships to construct new RKEF facilities. For the next phase of development (“Project One”), production is expected to be expanded with an additional converted drillship (</w:t>
      </w:r>
      <w:r>
        <w:rPr>
          <w:rFonts w:ascii="Arial" w:cs="Arial" w:eastAsia="Arial" w:hAnsi="Arial"/>
          <w:sz w:val="16"/>
          <w:szCs w:val="16"/>
          <w:i w:val="1"/>
          <w:iCs w:val="1"/>
          <w:color w:val="auto"/>
        </w:rPr>
        <w:t>Drill Ship 2</w:t>
      </w:r>
      <w:r>
        <w:rPr>
          <w:rFonts w:ascii="Arial" w:cs="Arial" w:eastAsia="Arial" w:hAnsi="Arial"/>
          <w:sz w:val="16"/>
          <w:szCs w:val="16"/>
          <w:color w:val="auto"/>
        </w:rPr>
        <w:t xml:space="preserve">), a second upgrade to the </w:t>
      </w:r>
      <w:r>
        <w:rPr>
          <w:rFonts w:ascii="Arial" w:cs="Arial" w:eastAsia="Arial" w:hAnsi="Arial"/>
          <w:sz w:val="16"/>
          <w:szCs w:val="16"/>
          <w:i w:val="1"/>
          <w:iCs w:val="1"/>
          <w:color w:val="auto"/>
        </w:rPr>
        <w:t>Hidden Gem</w:t>
      </w:r>
      <w:r>
        <w:rPr>
          <w:rFonts w:ascii="Arial" w:cs="Arial" w:eastAsia="Arial" w:hAnsi="Arial"/>
          <w:sz w:val="16"/>
          <w:szCs w:val="16"/>
          <w:color w:val="auto"/>
        </w:rPr>
        <w:t>, and the construction of a bespoke production support vessel (</w:t>
      </w:r>
      <w:r>
        <w:rPr>
          <w:rFonts w:ascii="Arial" w:cs="Arial" w:eastAsia="Arial" w:hAnsi="Arial"/>
          <w:sz w:val="16"/>
          <w:szCs w:val="16"/>
          <w:i w:val="1"/>
          <w:iCs w:val="1"/>
          <w:color w:val="auto"/>
        </w:rPr>
        <w:t>Collector Ship 1</w:t>
      </w:r>
      <w:r>
        <w:rPr>
          <w:rFonts w:ascii="Arial" w:cs="Arial" w:eastAsia="Arial" w:hAnsi="Arial"/>
          <w:sz w:val="16"/>
          <w:szCs w:val="16"/>
          <w:color w:val="auto"/>
        </w:rPr>
        <w:t>).</w:t>
      </w:r>
    </w:p>
    <w:p>
      <w:pPr>
        <w:spacing w:after="0" w:line="99"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Ultimately, we expect that NORI will deploy a fleet of three production support vessels, each with a dedicated seafloor collection system that together would produce an average of ~11.3 Mtpa of wet nodules during steady state production. In Project One, we expect to process a majority of nodules at a new facility that has not yet been constructed, with the balance of production going to toll treatment at a third-party facility. We believe that this phased approach to development allows for management of risk and for progressive improvement of engineering and operating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80010</wp:posOffset>
            </wp:positionV>
            <wp:extent cx="5143500" cy="22371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Currently, we are an exploration stage issuer with a completed initial assessment and currently working towards a prefeasibility study. We expect to enter into the feasibility study phase in 2023 following completion of the pilot collection test in the CCZ. NORI plans to begin its pilot collection test approximately 12 months after a collector test EIS is lodged with ISA, which was submitted in July 2021.</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Mineral Resources</w:t>
      </w:r>
    </w:p>
    <w:p>
      <w:pPr>
        <w:spacing w:after="0" w:line="148" w:lineRule="exact"/>
        <w:rPr>
          <w:sz w:val="20"/>
          <w:szCs w:val="20"/>
          <w:color w:val="auto"/>
        </w:rPr>
      </w:pPr>
    </w:p>
    <w:p>
      <w:pPr>
        <w:ind w:left="460" w:right="1079" w:firstLine="432"/>
        <w:spacing w:after="0" w:line="263" w:lineRule="auto"/>
        <w:rPr>
          <w:sz w:val="20"/>
          <w:szCs w:val="20"/>
          <w:color w:val="auto"/>
        </w:rPr>
      </w:pPr>
      <w:r>
        <w:rPr>
          <w:rFonts w:ascii="Arial" w:cs="Arial" w:eastAsia="Arial" w:hAnsi="Arial"/>
          <w:sz w:val="18"/>
          <w:szCs w:val="18"/>
          <w:color w:val="auto"/>
        </w:rPr>
        <w:t>Below is a summary table of estimated mineral resources. Further information can be found in the following sections: “</w:t>
      </w:r>
      <w:r>
        <w:rPr>
          <w:rFonts w:ascii="Arial" w:cs="Arial" w:eastAsia="Arial" w:hAnsi="Arial"/>
          <w:sz w:val="18"/>
          <w:szCs w:val="18"/>
          <w:i w:val="1"/>
          <w:iCs w:val="1"/>
          <w:color w:val="auto"/>
        </w:rPr>
        <w:t>Properties — NORI Contract Area — Mineral Resource Estimates</w:t>
      </w:r>
      <w:r>
        <w:rPr>
          <w:rFonts w:ascii="Arial" w:cs="Arial" w:eastAsia="Arial" w:hAnsi="Arial"/>
          <w:sz w:val="18"/>
          <w:szCs w:val="18"/>
          <w:color w:val="auto"/>
        </w:rPr>
        <w:t>” and “</w:t>
      </w:r>
      <w:r>
        <w:rPr>
          <w:rFonts w:ascii="Arial" w:cs="Arial" w:eastAsia="Arial" w:hAnsi="Arial"/>
          <w:sz w:val="18"/>
          <w:szCs w:val="18"/>
          <w:i w:val="1"/>
          <w:iCs w:val="1"/>
          <w:color w:val="auto"/>
        </w:rPr>
        <w:t>Properties — TOML Contract Area — Mineral Resource Estimates</w:t>
      </w:r>
      <w:r>
        <w:rPr>
          <w:rFonts w:ascii="Arial" w:cs="Arial" w:eastAsia="Arial" w:hAnsi="Arial"/>
          <w:sz w:val="18"/>
          <w:szCs w:val="18"/>
          <w:color w:val="auto"/>
        </w:rPr>
        <w:t>.”</w:t>
      </w:r>
    </w:p>
    <w:p>
      <w:pPr>
        <w:spacing w:after="0" w:line="180" w:lineRule="exact"/>
        <w:rPr>
          <w:sz w:val="20"/>
          <w:szCs w:val="20"/>
          <w:color w:val="auto"/>
        </w:rPr>
      </w:pPr>
    </w:p>
    <w:p>
      <w:pPr>
        <w:ind w:left="460" w:right="499"/>
        <w:spacing w:after="0" w:line="251" w:lineRule="auto"/>
        <w:rPr>
          <w:sz w:val="20"/>
          <w:szCs w:val="20"/>
          <w:color w:val="auto"/>
        </w:rPr>
      </w:pPr>
      <w:r>
        <w:rPr>
          <w:rFonts w:ascii="Arial" w:cs="Arial" w:eastAsia="Arial" w:hAnsi="Arial"/>
          <w:sz w:val="18"/>
          <w:szCs w:val="18"/>
          <w:b w:val="1"/>
          <w:bCs w:val="1"/>
          <w:color w:val="auto"/>
        </w:rPr>
        <w:t>Summary Mineral Resources, In-Situ, at End of the Fiscal Year Ended December 31, 2020 at 4 kg/m</w:t>
      </w:r>
      <w:r>
        <w:rPr>
          <w:rFonts w:ascii="Arial" w:cs="Arial" w:eastAsia="Arial" w:hAnsi="Arial"/>
          <w:sz w:val="20"/>
          <w:szCs w:val="20"/>
          <w:b w:val="1"/>
          <w:bCs w:val="1"/>
          <w:color w:val="auto"/>
          <w:vertAlign w:val="superscript"/>
        </w:rPr>
        <w:t>2</w:t>
      </w:r>
      <w:r>
        <w:rPr>
          <w:rFonts w:ascii="Arial" w:cs="Arial" w:eastAsia="Arial" w:hAnsi="Arial"/>
          <w:sz w:val="18"/>
          <w:szCs w:val="18"/>
          <w:b w:val="1"/>
          <w:bCs w:val="1"/>
          <w:color w:val="auto"/>
        </w:rPr>
        <w:t xml:space="preserve"> abundance cut-off and based on nickel metal $16,472/t; nickel in nickel sulfate $18,807/t Ni; copper metal $6,872/t; cobalt metal $46,333/t; cobalt in cobalt sulfate $56,920/t Co; manganese in manganese silicate $4.50/dmtu Mn.</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Measured +</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5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5"/>
              </w:rPr>
              <w:t>Measured mineral</w:t>
            </w:r>
          </w:p>
        </w:tc>
        <w:tc>
          <w:tcPr>
            <w:tcW w:w="1500" w:type="dxa"/>
            <w:vAlign w:val="bottom"/>
            <w:gridSpan w:val="4"/>
          </w:tcPr>
          <w:p>
            <w:pPr>
              <w:ind w:left="60"/>
              <w:spacing w:after="0"/>
              <w:rPr>
                <w:sz w:val="20"/>
                <w:szCs w:val="20"/>
                <w:color w:val="auto"/>
              </w:rPr>
            </w:pPr>
            <w:r>
              <w:rPr>
                <w:rFonts w:ascii="Arial" w:cs="Arial" w:eastAsia="Arial" w:hAnsi="Arial"/>
                <w:sz w:val="16"/>
                <w:szCs w:val="16"/>
                <w:b w:val="1"/>
                <w:bCs w:val="1"/>
                <w:color w:val="auto"/>
              </w:rPr>
              <w:t>Indicated mineral</w:t>
            </w:r>
          </w:p>
        </w:tc>
        <w:tc>
          <w:tcPr>
            <w:tcW w:w="1460" w:type="dxa"/>
            <w:vAlign w:val="bottom"/>
            <w:gridSpan w:val="4"/>
          </w:tcPr>
          <w:p>
            <w:pPr>
              <w:ind w:left="60"/>
              <w:spacing w:after="0"/>
              <w:rPr>
                <w:sz w:val="20"/>
                <w:szCs w:val="20"/>
                <w:color w:val="auto"/>
              </w:rPr>
            </w:pPr>
            <w:r>
              <w:rPr>
                <w:rFonts w:ascii="Arial" w:cs="Arial" w:eastAsia="Arial" w:hAnsi="Arial"/>
                <w:sz w:val="16"/>
                <w:szCs w:val="16"/>
                <w:b w:val="1"/>
                <w:bCs w:val="1"/>
                <w:color w:val="auto"/>
              </w:rPr>
              <w:t>indicated mineral</w:t>
            </w:r>
          </w:p>
        </w:tc>
        <w:tc>
          <w:tcPr>
            <w:tcW w:w="1480" w:type="dxa"/>
            <w:vAlign w:val="bottom"/>
            <w:gridSpan w:val="3"/>
          </w:tcPr>
          <w:p>
            <w:pPr>
              <w:jc w:val="right"/>
              <w:ind w:right="91"/>
              <w:spacing w:after="0"/>
              <w:rPr>
                <w:sz w:val="20"/>
                <w:szCs w:val="20"/>
                <w:color w:val="auto"/>
              </w:rPr>
            </w:pPr>
            <w:r>
              <w:rPr>
                <w:rFonts w:ascii="Arial" w:cs="Arial" w:eastAsia="Arial" w:hAnsi="Arial"/>
                <w:sz w:val="16"/>
                <w:szCs w:val="16"/>
                <w:b w:val="1"/>
                <w:bCs w:val="1"/>
                <w:color w:val="auto"/>
              </w:rPr>
              <w:t>Inferred mineral</w:t>
            </w:r>
          </w:p>
        </w:tc>
      </w:tr>
      <w:tr>
        <w:trPr>
          <w:trHeight w:val="210"/>
        </w:trPr>
        <w:tc>
          <w:tcPr>
            <w:tcW w:w="2160" w:type="dxa"/>
            <w:vAlign w:val="bottom"/>
          </w:tcPr>
          <w:p>
            <w:pPr>
              <w:spacing w:after="0"/>
              <w:rPr>
                <w:sz w:val="18"/>
                <w:szCs w:val="18"/>
                <w:color w:val="auto"/>
              </w:rPr>
            </w:pPr>
          </w:p>
        </w:tc>
        <w:tc>
          <w:tcPr>
            <w:tcW w:w="1500" w:type="dxa"/>
            <w:vAlign w:val="bottom"/>
            <w:gridSpan w:val="4"/>
          </w:tcPr>
          <w:p>
            <w:pPr>
              <w:ind w:left="380"/>
              <w:spacing w:after="0"/>
              <w:rPr>
                <w:sz w:val="20"/>
                <w:szCs w:val="20"/>
                <w:color w:val="auto"/>
              </w:rPr>
            </w:pPr>
            <w:r>
              <w:rPr>
                <w:rFonts w:ascii="Arial" w:cs="Arial" w:eastAsia="Arial" w:hAnsi="Arial"/>
                <w:sz w:val="16"/>
                <w:szCs w:val="16"/>
                <w:b w:val="1"/>
                <w:bCs w:val="1"/>
                <w:color w:val="auto"/>
              </w:rPr>
              <w:t>resources</w:t>
            </w:r>
          </w:p>
        </w:tc>
        <w:tc>
          <w:tcPr>
            <w:tcW w:w="150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resources</w:t>
            </w:r>
          </w:p>
        </w:tc>
        <w:tc>
          <w:tcPr>
            <w:tcW w:w="146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resources</w:t>
            </w:r>
          </w:p>
        </w:tc>
        <w:tc>
          <w:tcPr>
            <w:tcW w:w="1480" w:type="dxa"/>
            <w:vAlign w:val="bottom"/>
            <w:gridSpan w:val="3"/>
          </w:tcPr>
          <w:p>
            <w:pPr>
              <w:jc w:val="right"/>
              <w:ind w:right="331"/>
              <w:spacing w:after="0"/>
              <w:rPr>
                <w:sz w:val="20"/>
                <w:szCs w:val="20"/>
                <w:color w:val="auto"/>
              </w:rPr>
            </w:pPr>
            <w:r>
              <w:rPr>
                <w:rFonts w:ascii="Arial" w:cs="Arial" w:eastAsia="Arial" w:hAnsi="Arial"/>
                <w:sz w:val="16"/>
                <w:szCs w:val="16"/>
                <w:b w:val="1"/>
                <w:bCs w:val="1"/>
                <w:color w:val="auto"/>
              </w:rPr>
              <w:t>resources</w:t>
            </w:r>
          </w:p>
        </w:tc>
      </w:tr>
      <w:tr>
        <w:trPr>
          <w:trHeight w:val="46"/>
        </w:trPr>
        <w:tc>
          <w:tcPr>
            <w:tcW w:w="216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2"/>
        </w:trPr>
        <w:tc>
          <w:tcPr>
            <w:tcW w:w="2160" w:type="dxa"/>
            <w:vAlign w:val="bottom"/>
          </w:tcPr>
          <w:p>
            <w:pPr>
              <w:spacing w:after="0"/>
              <w:rPr>
                <w:sz w:val="15"/>
                <w:szCs w:val="15"/>
                <w:color w:val="auto"/>
              </w:rPr>
            </w:pPr>
          </w:p>
        </w:tc>
        <w:tc>
          <w:tcPr>
            <w:tcW w:w="740" w:type="dxa"/>
            <w:vAlign w:val="bottom"/>
            <w:gridSpan w:val="2"/>
          </w:tcPr>
          <w:p>
            <w:pPr>
              <w:jc w:val="center"/>
              <w:ind w:right="160"/>
              <w:spacing w:after="0" w:line="182" w:lineRule="exact"/>
              <w:rPr>
                <w:sz w:val="20"/>
                <w:szCs w:val="20"/>
                <w:color w:val="auto"/>
              </w:rPr>
            </w:pPr>
            <w:r>
              <w:rPr>
                <w:rFonts w:ascii="Arial" w:cs="Arial" w:eastAsia="Arial" w:hAnsi="Arial"/>
                <w:sz w:val="16"/>
                <w:szCs w:val="16"/>
                <w:b w:val="1"/>
                <w:bCs w:val="1"/>
                <w:color w:val="auto"/>
                <w:w w:val="98"/>
              </w:rPr>
              <w:t>Million</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Million</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40"/>
              <w:spacing w:after="0" w:line="182" w:lineRule="exact"/>
              <w:rPr>
                <w:sz w:val="20"/>
                <w:szCs w:val="20"/>
                <w:color w:val="auto"/>
              </w:rPr>
            </w:pPr>
            <w:r>
              <w:rPr>
                <w:rFonts w:ascii="Arial" w:cs="Arial" w:eastAsia="Arial" w:hAnsi="Arial"/>
                <w:sz w:val="16"/>
                <w:szCs w:val="16"/>
                <w:b w:val="1"/>
                <w:bCs w:val="1"/>
                <w:color w:val="auto"/>
              </w:rPr>
              <w:t>Million</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40"/>
              <w:spacing w:after="0" w:line="182" w:lineRule="exact"/>
              <w:rPr>
                <w:sz w:val="20"/>
                <w:szCs w:val="20"/>
                <w:color w:val="auto"/>
              </w:rPr>
            </w:pPr>
            <w:r>
              <w:rPr>
                <w:rFonts w:ascii="Arial" w:cs="Arial" w:eastAsia="Arial" w:hAnsi="Arial"/>
                <w:sz w:val="16"/>
                <w:szCs w:val="16"/>
                <w:b w:val="1"/>
                <w:bCs w:val="1"/>
                <w:color w:val="auto"/>
              </w:rPr>
              <w:t>Million</w:t>
            </w:r>
          </w:p>
        </w:tc>
        <w:tc>
          <w:tcPr>
            <w:tcW w:w="740" w:type="dxa"/>
            <w:vAlign w:val="bottom"/>
          </w:tcPr>
          <w:p>
            <w:pPr>
              <w:spacing w:after="0"/>
              <w:rPr>
                <w:sz w:val="15"/>
                <w:szCs w:val="15"/>
                <w:color w:val="auto"/>
              </w:rPr>
            </w:pPr>
          </w:p>
        </w:tc>
      </w:tr>
      <w:tr>
        <w:trPr>
          <w:trHeight w:val="203"/>
        </w:trPr>
        <w:tc>
          <w:tcPr>
            <w:tcW w:w="216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tonnes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7"/>
              </w:rPr>
              <w:t>Grades</w:t>
            </w:r>
          </w:p>
        </w:tc>
        <w:tc>
          <w:tcPr>
            <w:tcW w:w="760" w:type="dxa"/>
            <w:vAlign w:val="bottom"/>
            <w:gridSpan w:val="2"/>
          </w:tcPr>
          <w:p>
            <w:pPr>
              <w:ind w:left="80"/>
              <w:spacing w:after="0"/>
              <w:rPr>
                <w:sz w:val="20"/>
                <w:szCs w:val="20"/>
                <w:color w:val="auto"/>
              </w:rPr>
            </w:pPr>
            <w:r>
              <w:rPr>
                <w:rFonts w:ascii="Arial" w:cs="Arial" w:eastAsia="Arial" w:hAnsi="Arial"/>
                <w:sz w:val="16"/>
                <w:szCs w:val="16"/>
                <w:b w:val="1"/>
                <w:bCs w:val="1"/>
                <w:color w:val="auto"/>
              </w:rPr>
              <w:t>tonnes</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7"/>
              </w:rPr>
              <w:t>Grades</w:t>
            </w:r>
          </w:p>
        </w:tc>
        <w:tc>
          <w:tcPr>
            <w:tcW w:w="740" w:type="dxa"/>
            <w:vAlign w:val="bottom"/>
            <w:gridSpan w:val="2"/>
          </w:tcPr>
          <w:p>
            <w:pPr>
              <w:ind w:left="80"/>
              <w:spacing w:after="0"/>
              <w:rPr>
                <w:sz w:val="20"/>
                <w:szCs w:val="20"/>
                <w:color w:val="auto"/>
              </w:rPr>
            </w:pPr>
            <w:r>
              <w:rPr>
                <w:rFonts w:ascii="Arial" w:cs="Arial" w:eastAsia="Arial" w:hAnsi="Arial"/>
                <w:sz w:val="16"/>
                <w:szCs w:val="16"/>
                <w:b w:val="1"/>
                <w:bCs w:val="1"/>
                <w:color w:val="auto"/>
              </w:rPr>
              <w:t>tonnes</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4"/>
              </w:rPr>
              <w:t>Grades</w:t>
            </w:r>
          </w:p>
        </w:tc>
        <w:tc>
          <w:tcPr>
            <w:tcW w:w="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tonnes</w:t>
            </w:r>
          </w:p>
        </w:tc>
        <w:tc>
          <w:tcPr>
            <w:tcW w:w="740" w:type="dxa"/>
            <w:vAlign w:val="bottom"/>
          </w:tcPr>
          <w:p>
            <w:pPr>
              <w:jc w:val="right"/>
              <w:ind w:right="51"/>
              <w:spacing w:after="0"/>
              <w:rPr>
                <w:sz w:val="20"/>
                <w:szCs w:val="20"/>
                <w:color w:val="auto"/>
              </w:rPr>
            </w:pPr>
            <w:r>
              <w:rPr>
                <w:rFonts w:ascii="Arial" w:cs="Arial" w:eastAsia="Arial" w:hAnsi="Arial"/>
                <w:sz w:val="16"/>
                <w:szCs w:val="16"/>
                <w:b w:val="1"/>
                <w:bCs w:val="1"/>
                <w:color w:val="auto"/>
              </w:rPr>
              <w:t>Grades</w:t>
            </w:r>
          </w:p>
        </w:tc>
      </w:tr>
      <w:tr>
        <w:trPr>
          <w:trHeight w:val="210"/>
        </w:trPr>
        <w:tc>
          <w:tcPr>
            <w:tcW w:w="216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(wet)</w:t>
            </w:r>
          </w:p>
        </w:tc>
        <w:tc>
          <w:tcPr>
            <w:tcW w:w="660" w:type="dxa"/>
            <w:vAlign w:val="bottom"/>
          </w:tcPr>
          <w:p>
            <w:pPr>
              <w:jc w:val="right"/>
              <w:ind w:right="1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6"/>
                <w:szCs w:val="16"/>
                <w:b w:val="1"/>
                <w:bCs w:val="1"/>
                <w:color w:val="auto"/>
              </w:rPr>
              <w:t>(wet)</w:t>
            </w:r>
          </w:p>
        </w:tc>
        <w:tc>
          <w:tcPr>
            <w:tcW w:w="640" w:type="dxa"/>
            <w:vAlign w:val="bottom"/>
          </w:tcPr>
          <w:p>
            <w:pPr>
              <w:jc w:val="right"/>
              <w:ind w:right="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6"/>
                <w:szCs w:val="16"/>
                <w:b w:val="1"/>
                <w:bCs w:val="1"/>
                <w:color w:val="auto"/>
              </w:rPr>
              <w:t>(wet)</w:t>
            </w:r>
          </w:p>
        </w:tc>
        <w:tc>
          <w:tcPr>
            <w:tcW w:w="620" w:type="dxa"/>
            <w:vAlign w:val="bottom"/>
          </w:tcPr>
          <w:p>
            <w:pPr>
              <w:jc w:val="right"/>
              <w:ind w:right="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(wet)</w:t>
            </w:r>
          </w:p>
        </w:tc>
        <w:tc>
          <w:tcPr>
            <w:tcW w:w="740" w:type="dxa"/>
            <w:vAlign w:val="bottom"/>
          </w:tcPr>
          <w:p>
            <w:pPr>
              <w:jc w:val="right"/>
              <w:ind w:right="151"/>
              <w:spacing w:after="0"/>
              <w:rPr>
                <w:sz w:val="20"/>
                <w:szCs w:val="20"/>
                <w:color w:val="auto"/>
              </w:rPr>
            </w:pPr>
            <w:r>
              <w:rPr>
                <w:rFonts w:ascii="Arial" w:cs="Arial" w:eastAsia="Arial" w:hAnsi="Arial"/>
                <w:sz w:val="16"/>
                <w:szCs w:val="16"/>
                <w:b w:val="1"/>
                <w:bCs w:val="1"/>
                <w:color w:val="auto"/>
              </w:rPr>
              <w:t>(%)</w:t>
            </w:r>
          </w:p>
        </w:tc>
      </w:tr>
      <w:tr>
        <w:trPr>
          <w:trHeight w:val="46"/>
        </w:trPr>
        <w:tc>
          <w:tcPr>
            <w:tcW w:w="21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57"/>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Ni</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NORI</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1"/>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A</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B</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C</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D</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TOML (Areas A to F)</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417.2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1217</w:t>
            </w: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1"/>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2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Cu</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NORI</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A</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B</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C</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D</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TOML (Areas A to F)</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417.2</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83"/>
        </w:trPr>
        <w:tc>
          <w:tcPr>
            <w:tcW w:w="2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3"/>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NORI</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A</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B</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C</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D</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TOML (Areas A to F)</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417.2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1217</w:t>
            </w:r>
          </w:p>
        </w:tc>
        <w:tc>
          <w:tcPr>
            <w:tcW w:w="7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4"/>
        </w:trPr>
        <w:tc>
          <w:tcPr>
            <w:tcW w:w="2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Mn</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NORI</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A</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41"/>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B</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2160" w:type="dxa"/>
            <w:vAlign w:val="bottom"/>
          </w:tcPr>
          <w:p>
            <w:pPr>
              <w:ind w:left="180"/>
              <w:spacing w:after="0"/>
              <w:rPr>
                <w:sz w:val="20"/>
                <w:szCs w:val="20"/>
                <w:color w:val="auto"/>
              </w:rPr>
            </w:pPr>
            <w:r>
              <w:rPr>
                <w:rFonts w:ascii="Arial" w:cs="Arial" w:eastAsia="Arial" w:hAnsi="Arial"/>
                <w:sz w:val="18"/>
                <w:szCs w:val="18"/>
                <w:color w:val="auto"/>
              </w:rPr>
              <w:t>NORI Area C</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74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41"/>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NORI Area D</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TOML (Areas A to F)</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7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40"/>
        </w:trPr>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3"/>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40"/>
        </w:trPr>
        <w:tc>
          <w:tcPr>
            <w:tcW w:w="21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460" w:right="899"/>
        <w:spacing w:after="0" w:line="278" w:lineRule="auto"/>
        <w:rPr>
          <w:sz w:val="20"/>
          <w:szCs w:val="20"/>
          <w:color w:val="auto"/>
        </w:rPr>
      </w:pPr>
      <w:r>
        <w:rPr>
          <w:rFonts w:ascii="Arial" w:cs="Arial" w:eastAsia="Arial" w:hAnsi="Arial"/>
          <w:sz w:val="16"/>
          <w:szCs w:val="16"/>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ectPr>
          <w:pgSz w:w="11900" w:h="16838" w:orient="portrait"/>
          <w:cols w:equalWidth="0" w:num="1">
            <w:col w:w="9019"/>
          </w:cols>
          <w:pgMar w:left="1440" w:top="274" w:right="1440" w:bottom="736"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736" w:gutter="0" w:footer="0" w:header="0"/>
          <w:type w:val="continuous"/>
        </w:sectPr>
      </w:pPr>
    </w:p>
    <w:bookmarkStart w:id="66" w:name="page67"/>
    <w:bookmarkEnd w:id="6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As reflected in the economic analysis of NORI Area D contained in the NORI Technical Report Summary, a discounted cash flow analysis considering the intended pre-development work 2024, discounting at 9% per annum, indicates a NORI Area D project net present value (as of January 1, 2021) of $6.8 billion. The initial assessment included in the NORI Technical Report Summary is a conceptual study of the potential viability of NORI’s mineral resources. This initial assessment indicates that development of the NORI mineral resource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11" w:lineRule="exact"/>
        <w:rPr>
          <w:sz w:val="20"/>
          <w:szCs w:val="20"/>
          <w:color w:val="auto"/>
        </w:rPr>
      </w:pPr>
    </w:p>
    <w:p>
      <w:pPr>
        <w:ind w:left="460" w:right="1139" w:firstLine="432"/>
        <w:spacing w:after="0" w:line="277" w:lineRule="auto"/>
        <w:rPr>
          <w:sz w:val="20"/>
          <w:szCs w:val="20"/>
          <w:color w:val="auto"/>
        </w:rPr>
      </w:pPr>
      <w:r>
        <w:rPr>
          <w:rFonts w:ascii="Arial" w:cs="Arial" w:eastAsia="Arial" w:hAnsi="Arial"/>
          <w:sz w:val="18"/>
          <w:szCs w:val="18"/>
          <w:color w:val="auto"/>
        </w:rPr>
        <w:t>The NORI Technical Report Summary and TOML Technical Report Summary do not include the conversion of mineral resources to mineral reserves.</w:t>
      </w:r>
    </w:p>
    <w:p>
      <w:pPr>
        <w:spacing w:after="0" w:line="9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Arial" w:cs="Arial" w:eastAsia="Arial" w:hAnsi="Arial"/>
          <w:sz w:val="17"/>
          <w:szCs w:val="17"/>
          <w:color w:val="auto"/>
        </w:rPr>
        <w:t>Inferred mineral resources have a high</w:t>
      </w:r>
      <w:r>
        <w:rPr>
          <w:rFonts w:ascii="Arial" w:cs="Arial" w:eastAsia="Arial" w:hAnsi="Arial"/>
          <w:sz w:val="17"/>
          <w:szCs w:val="17"/>
          <w:b w:val="1"/>
          <w:bCs w:val="1"/>
          <w:color w:val="auto"/>
        </w:rPr>
        <w:t xml:space="preserve"> </w:t>
      </w:r>
      <w:r>
        <w:rPr>
          <w:rFonts w:ascii="Arial" w:cs="Arial" w:eastAsia="Arial" w:hAnsi="Arial"/>
          <w:sz w:val="17"/>
          <w:szCs w:val="17"/>
          <w:color w:val="auto"/>
        </w:rPr>
        <w:t>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D Area resource is categorized as measured or indicated.</w:t>
      </w:r>
    </w:p>
    <w:p>
      <w:pPr>
        <w:spacing w:after="0" w:line="105"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Likewise, you are cautioned not to assume that all or any part of measured or indicated mineral resources will ever be upgraded to mineral reserves.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Collection and Processing of Polymetallic Nodules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Collection and Shipping</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plan for the collection of polymetallic nodules includes offshore collection systems, which are comprised of collector vehicles on the seafloor, a RALS, and a production support vessel to collect the polymetallic nodules. The nodules would be expected to be collected from the seafloor by self-propelled, tracked collector vehicles. No rock cutting, digging, drill-and-blast or other breakage are expected to be required at the point of collection. The collectors would be remotely controlled and supplied with electric power via umbilical cables from the production support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88265</wp:posOffset>
            </wp:positionV>
            <wp:extent cx="2537460" cy="25285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3746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intended seafloor production system operated at 4km depth (picture not to scale)</w:t>
      </w:r>
    </w:p>
    <w:p>
      <w:pPr>
        <w:spacing w:after="0" w:line="144"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Following collection by the production support vessel, the polymetallic nodules would be transferred to transport vessels and shipped to onshore processing facilities to produce copper cathode, nickel sulfate and cobalt sulfate suitable for Li-ion battery cathode feedstock, a manganese silicate product and ammonium sulfate.</w:t>
      </w:r>
    </w:p>
    <w:p>
      <w:pPr>
        <w:spacing w:after="0" w:line="119"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 xml:space="preserve">In order to test the collection system, a contract has been entered into with Allseas to undertake a pre-production collector test. If such test is successful, we expect that commercial production would then commence after the upgrading of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to produce a production support vessel that can produce 1.3 Mtpa (wet) of polymetallic nodules (Project Zero). Subsequent production expansions (Project One) would be expected to involve an additional converted drill ship, a second upgrade to the </w:t>
      </w:r>
      <w:r>
        <w:rPr>
          <w:rFonts w:ascii="Arial" w:cs="Arial" w:eastAsia="Arial" w:hAnsi="Arial"/>
          <w:sz w:val="16"/>
          <w:szCs w:val="16"/>
          <w:i w:val="1"/>
          <w:iCs w:val="1"/>
          <w:color w:val="auto"/>
        </w:rPr>
        <w:t>Hidden Gem</w:t>
      </w:r>
      <w:r>
        <w:rPr>
          <w:rFonts w:ascii="Arial" w:cs="Arial" w:eastAsia="Arial" w:hAnsi="Arial"/>
          <w:sz w:val="16"/>
          <w:szCs w:val="16"/>
          <w:color w:val="auto"/>
        </w:rPr>
        <w:t>, and construction of a bespoke production support vessel. We believe that a fleet of three production support vessels, each with a dedicated seafloor collection system, would be estimated to produce approximately 11.3 Mtpa of wet nodules, which we intend to be processed, either at a new facility to be constructed by us or potential processing partners, subject to available capital, or at third-party facilities pursuant to a toll treatment model.</w:t>
      </w:r>
    </w:p>
    <w:p>
      <w:pPr>
        <w:spacing w:after="0" w:line="99"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believe that this phased approach to development allows for management of risk and for progressive improvement of engineering and operating systems. The intention to implement the project in multiple phases that will allow the seafloor collection systems to be tested and then polymetallic nodule production to be gradually ramped up. We also believe that this approach will de-risk the project for a relatively low initial capital investment. Additionally, this phased development will allow for an adaptive approach to environmental management providing learning at small-scale which would be applied as the development increases scale.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Mineral Processing and Refining and Metallurgical Testing</w:t>
      </w:r>
    </w:p>
    <w:p>
      <w:pPr>
        <w:spacing w:after="0" w:line="144"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Pyrometallurgical processing of polymetallic nodules has been extensively studied from the early 1970s until the present day and appears to have been the preferred process for many other nodule processing research groups. Many groups including Kennecott (now Rio Tinto), Inco (now Vale), Cuban/Bulgarian, German, Indian, Japanese and Korean teams have studied pyrometallurgical processing of nodules at a laboratory scale; Chinese teams have studied it at a pilot plant scale.</w:t>
      </w:r>
    </w:p>
    <w:p>
      <w:pPr>
        <w:spacing w:after="0" w:line="109"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From an early stage, we have recognized that chemical and mineral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 Consequently, we have been undertaking a process development program since 2011.</w:t>
      </w:r>
    </w:p>
    <w:p>
      <w:pPr>
        <w:spacing w:after="0" w:line="10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have been working with a leading global process engineering group Hatch, and a professional services firm, to develop pyrometallurgical processing and hydrometallurgical refining technologies for the production of battery metals from nodules. Hatch has developed a zero solid waste flowsheet and is overseeing a pilot plant program which is in the process of being completed at FLSmidth’s and Glencore’s facilities. Pursuant to an engineering and consulting services agreement, Hatch is assisting and advising us during the development of the pilot test program and is analyzing and interpreting the testing results through reports provided by such test facilities. Based on the results of the pilot plant program, Hatch and we expect to expand the scope of work between us, including the development or modification of a processing plant for the recovery of battery metals from the polymetallic nodules collected.</w:t>
      </w:r>
    </w:p>
    <w:p>
      <w:pPr>
        <w:spacing w:after="0" w:line="100"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We propose that the processing of the polymetallic nodules from the NORI Contract Area would also be ramped up in phases. This plan includes toll treating polymetallic nodules at existing Rotary Kiln-Electric arc Furnace (“RKEF”) plants, utilizing existing excess industry capacity. We believe that there is significant interest to deploy underutilised RKEF plants which may have become stranded as a result of the Indonesian government nickel laterite ore export ban restricting supply of the nickel laterite feedstock that they currently utilize. These RKEF plants were originally built to convert nickel laterite to nickel pig iron and could potentially be converted to smelt polymetallic nodules. While we have not negotiated any definitive agreements with RKEF plants, we believe that we may be able to do so in the future on commercially reasonable terms. In parallel, we are actively exploring a scenario of co-locating new RKEF capacity with a potential future offtaker of our manganese silicate product.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19" w:firstLine="432"/>
        <w:spacing w:after="0" w:line="311" w:lineRule="auto"/>
        <w:rPr>
          <w:sz w:val="20"/>
          <w:szCs w:val="20"/>
          <w:color w:val="auto"/>
        </w:rPr>
      </w:pPr>
      <w:r>
        <w:rPr>
          <w:rFonts w:ascii="Arial" w:cs="Arial" w:eastAsia="Arial" w:hAnsi="Arial"/>
          <w:sz w:val="16"/>
          <w:szCs w:val="16"/>
          <w:color w:val="auto"/>
        </w:rPr>
        <w:t>In the future, based on the work performed by Hatch and subject to available capital, it is contemplated that we shall construct a processing plant(s), which may include pyrometallurgical and hydrometallurgical circuits. Nodule production would be increased in phases by treatment in this new plant or plants.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Strategic Alliances and Key Commercial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158"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On March 29, 2019, DeepGreen and Allseas entered into a Strategic Alliance Agreement, whereby DeepGreen and Allseas conduct project development of an integrated offshore nodule collection system for use by the DeepGreen’s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pilot mining test system (the “PMTS”), which would be designed and built by Allseas. The 10,000,000 shares would only be issued upon completion of the PMTS (the “Success Fee Shares”), along with an additional $30 million cash success fee that would be payable simultaneously therewith. The Strategic Alliance Agreement also contemplated that DeepGreen and Allseas would enter into other commercial arrangements following the successful completion of the PMTS.</w:t>
      </w:r>
    </w:p>
    <w:p>
      <w:pPr>
        <w:spacing w:after="0" w:line="101"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On July 8, 2019, DeepGreen and Allseas entered into the Pilot Mining Test Agreement (the “PMTA”), which governed the terms, design specifications, procedures, and timetable under which Allseas agreed to complete the PMTS, to be used by NORI. The PMTA was subsequently amended on September 1, 2019, February 2, 2020, and March 4, 2021. The Strategic Alliance Agreement was also amended on March 4, 2021 (collectively with the PMTA amendment of the same date, the “Amendment”), which Amendment became effective upon closing of the Business Combination. Pursuant to the Amendment, the cash fee payable pursuant to the PMTA was amended such that DeepGreen would pay to Allseas (i) $10,000,000 on June 30, 2021 (which DeepGreen and Allseas agreed to change to within 10 business days of the Closing of the Business Combination in a further amendment), (ii) $10,000,000 on the later of January 1, 2022 and such time that confirmation is received with respect to the successful collection of the North Sea test, and (iii) $10,000,000 upon successful completion of the PMTS. Pursuant to the Amendment, except as provided therein, Allseas may not, without DeepGreen’s prior written consent, terminate the Strategic Alliance Agreement or the PMTA before DeepGreen or its applicable affiliate receives an ISA Exploitation Contract.</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Also on March 4, 2021, DeepGreen issued the Allseas Warrant to Allseas, which shall vest upon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successful completion of the PMTS and become exercisable for 10,000,000 DeepGreen Common Shares (as it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may be adjusted based on the formula described therein) at a purchase price of $0.01 per share, and which</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became a warrant to purchase Common Shares upon the consummation of the Business Combination, in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accordance with the terms of the Allseas Warrant. The Allseas Warrant was issued to Allseas in lieu of any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obligation to issue the Success Fee Shares. The Allseas Warrant shall vest only upon (and not before)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successful completion of the PMTS. The Warrant Credit Value shall be determined as of June 1, 2022 based 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closing trading price of the Common Shares. In the event that the Warrant Credit Value is greater than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$150,000,000, then on the vesting date of the Allseas Warrant, TMC shall receive a “credit” for the amount by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such Warrant Credit Value exceeds $150,000,000. TMC will be able to exchange such credit value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goods and services from Allseas. No amount will be due or receivable under the Allseas Warrant if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 Credit Value is under $150,000,000 on June 1, 2022. The Allseas Warrant shall expire 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30, 2026.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Supply Agreements with Maersk and Maersk UK</w:t>
      </w:r>
    </w:p>
    <w:p>
      <w:pPr>
        <w:spacing w:after="0" w:line="158"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On March 21, 2017, we entered into four charter vessel agreements with Maersk and one charter vessel agreement with Maersk UK (together, the “Maersk Supply Agreements”) pursuant to which Maersk and Maersk UK agreed to supply us with vessels and offshore services for a total of five marine campaigns. By letter agreement on March 3, 2021, we agreed with Maersk to extend the arrangement until 2022.</w:t>
      </w:r>
    </w:p>
    <w:p>
      <w:pPr>
        <w:spacing w:after="0" w:line="104"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Pursuant to the Maersk Investment and Participation Agreement dated March 15, 2017 (the “Participation Agreement”), we agreed, among other things, that in return for marine cruises and related project management services provided by Maersk and Maersk UK, we will issue that number of DeepGreen Common Shares as is equal to the final cost of each marine cruise divided by $1.25 (subject to adjustment as described therein), upon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59" w:lineRule="auto"/>
        <w:rPr>
          <w:sz w:val="20"/>
          <w:szCs w:val="20"/>
          <w:color w:val="auto"/>
        </w:rPr>
      </w:pPr>
      <w:r>
        <w:rPr>
          <w:rFonts w:ascii="Arial" w:cs="Arial" w:eastAsia="Arial" w:hAnsi="Arial"/>
          <w:sz w:val="18"/>
          <w:szCs w:val="18"/>
          <w:color w:val="auto"/>
        </w:rPr>
        <w:t>completion of each marine cruise, and after agreement between the parties as to the calculation of the final cost to Maersk or Maersk UK for such cruise. As of March 2021, all unspent costs have now been agreed to be reimbursed in cash. Services valued at approximately $22.5 million have been delivered, with 17,982,123 DeepGreen Common Shares issued to Maersk under the contract.</w:t>
      </w:r>
    </w:p>
    <w:p>
      <w:pPr>
        <w:spacing w:after="0" w:line="119" w:lineRule="exact"/>
        <w:rPr>
          <w:sz w:val="20"/>
          <w:szCs w:val="20"/>
          <w:color w:val="auto"/>
        </w:rPr>
      </w:pPr>
    </w:p>
    <w:p>
      <w:pPr>
        <w:ind w:left="460" w:right="519" w:firstLine="432"/>
        <w:spacing w:after="0" w:line="284" w:lineRule="auto"/>
        <w:rPr>
          <w:sz w:val="20"/>
          <w:szCs w:val="20"/>
          <w:color w:val="auto"/>
        </w:rPr>
      </w:pPr>
      <w:r>
        <w:rPr>
          <w:rFonts w:ascii="Arial" w:cs="Arial" w:eastAsia="Arial" w:hAnsi="Arial"/>
          <w:sz w:val="16"/>
          <w:szCs w:val="16"/>
          <w:color w:val="auto"/>
        </w:rPr>
        <w:t>On March 3, 2021, we entered into a letter agreement with Maersk and Maersk UK (the “Maersk Letter Agreement”), whereby Maersk and Maersk UK agreed to, among other matters, enter into certain commercial and other changes under the Participation Agreement. Pursuant to the Maersk Letter Agreement, Maersk irrevocably (i) waived certain pro rata participation rights that it may have under the Participation Agreement in connection with the Business Combination and contemplated PIPE transaction; (ii) acknowledged that all amounts owing to Maersk for services rendered through February 5, 2021 in the aggregate amount of</w:t>
      </w:r>
    </w:p>
    <w:p>
      <w:pPr>
        <w:spacing w:after="0" w:line="4" w:lineRule="exact"/>
        <w:rPr>
          <w:sz w:val="20"/>
          <w:szCs w:val="20"/>
          <w:color w:val="auto"/>
        </w:rPr>
      </w:pPr>
    </w:p>
    <w:p>
      <w:pPr>
        <w:jc w:val="both"/>
        <w:ind w:left="460" w:right="619"/>
        <w:spacing w:after="0" w:line="253" w:lineRule="auto"/>
        <w:rPr>
          <w:sz w:val="20"/>
          <w:szCs w:val="20"/>
          <w:color w:val="auto"/>
        </w:rPr>
      </w:pPr>
      <w:r>
        <w:rPr>
          <w:rFonts w:ascii="Arial" w:cs="Arial" w:eastAsia="Arial" w:hAnsi="Arial"/>
          <w:sz w:val="18"/>
          <w:szCs w:val="18"/>
          <w:color w:val="auto"/>
        </w:rPr>
        <w:t>$4.58 million had been satisfied by the issuance of 3,666,267 DeepGreen Common Shares at a price per share of $1.25; (iii) agreed that all final costs for services rendered from and after February 5, 2021 will be settled in cash, and that Maersk shall not be entitled to any further in-kind common share investment; and (iv) agreed to lower the charter vessel hire operational day rates.</w:t>
      </w:r>
    </w:p>
    <w:p>
      <w:pPr>
        <w:spacing w:after="0" w:line="125" w:lineRule="exact"/>
        <w:rPr>
          <w:sz w:val="20"/>
          <w:szCs w:val="20"/>
          <w:color w:val="auto"/>
        </w:rPr>
      </w:pPr>
    </w:p>
    <w:p>
      <w:pPr>
        <w:ind w:left="460" w:right="599" w:firstLine="432"/>
        <w:spacing w:after="0" w:line="289" w:lineRule="auto"/>
        <w:rPr>
          <w:sz w:val="20"/>
          <w:szCs w:val="20"/>
          <w:color w:val="auto"/>
        </w:rPr>
      </w:pPr>
      <w:r>
        <w:rPr>
          <w:rFonts w:ascii="Arial" w:cs="Arial" w:eastAsia="Arial" w:hAnsi="Arial"/>
          <w:sz w:val="16"/>
          <w:szCs w:val="16"/>
          <w:color w:val="auto"/>
        </w:rPr>
        <w:t>As described herein, our agreement with Maersk is set to expire in 2022. With respect to Allseas, if the PMTS is successfully delivered, the PMTA will terminate by its terms in 2022, whereas the overarching Strategic Alliance Agreement will remain in place. While Allseas and Maersk have communicated their intention to negotiate in good faith in order to extend the applicable arrangements, there are no guarantees that we will be able to enter into new agreements on commercially reasonable terms, if at all. We do not currently have a collection and transport agreement with Allseas for the conduct of commercial operations using Allseas technology or the Hidden Gem, but principal terms have been considered in the Strategic Alliance Agreement and the parties intend to complete commercial negotiations in connection with such arrangement as soon as practicable. Nevertheless, no assurance can be given that definitive arrangements will be reached.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Offtake Agreements</w:t>
      </w:r>
    </w:p>
    <w:p>
      <w:pPr>
        <w:spacing w:after="0" w:line="144"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On May 25, 2012, our wholly-owned subsidiary, DGE, and Glencore International AG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metallurgical installation for processing owned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other of our entities in the event other entities are the ultimate processing owners for metal products. The Glencore Offtake Agreements only apply with respect to metals processed and developed from the NORI license that are processed by a facility owned by DGE and do not apply to other projects (including for example Marawa or TOML). Concurrent with entering into the Glencore Offtake Agreements, Glencore made an equity investment of $5 million into our company.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Seventeen contractors currently hold ISA exploration leases to assess the value of polymetallic nodule fields for future extraction in the Area. The Government of India holds the only lease block in the Indian Ocean. Beijing Pioneer Hi-Tech Development Corporation sponsored by the government of China holds a lease block in the Western Pacific Ocean. In addition to the TOML contract sponsored by Tonga, and the NORI contract sponsored by Nauru, other leases are in the CCZ, including two contractors sponsored by China — China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87" w:lineRule="auto"/>
        <w:rPr>
          <w:sz w:val="20"/>
          <w:szCs w:val="20"/>
          <w:color w:val="auto"/>
        </w:rPr>
      </w:pPr>
      <w:r>
        <w:rPr>
          <w:rFonts w:ascii="Arial" w:cs="Arial" w:eastAsia="Arial" w:hAnsi="Arial"/>
          <w:sz w:val="16"/>
          <w:szCs w:val="16"/>
          <w:color w:val="auto"/>
        </w:rPr>
        <w:t>Minmetals Corporation and China Ocean Mineral Resources Research and Development Association (who has two leases) — while two lease blocks for UK Seabed Resources Limited are sponsored by the UK. Belgium sponsors Global Sea Mineral Resources; Kiribati sponsors Marawa (which has a partnership with us); Germany sponsors Federal Institute for Geosciences and Natural Resources of Germany; France sponsors IFREMER; Japan sponsors Deep Ocean Resources Development Co. Limited; Jamaica sponsors Blue Minerals Jamaica Ltd, and the Russian Federation sponsors JSC Yuzhmorgeologiya. Other contractors, including Cook Islands Investment Corporation and Ocean Mineral Singapore Private Limited, are sponsored by their eponymous states. A coalition of six states, including Bulgaria, Cuba, Czech Republic, Poland, Russian Federation and Slovakia, sponsor Interoceanmetal Joint Organization. These contractors and any new entrants are potential competitors to us, NORI, TOML and Marawa with respect to the collection of polymetallic nodules and the production of nickel, manganese, copper and cobalt products.</w:t>
      </w:r>
    </w:p>
    <w:p>
      <w:pPr>
        <w:spacing w:after="0" w:line="104"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We may be unable to compete successfully with other contractors, or other mineral resource companies that provide metals for the manufacture of batteries, or that produce large volumes of manganese as we plan to do. The mining industry is competitive in all of its phases and we expect to face strong competition from other companies in connection with the production of battery metals and manganese. Many of these companies have greater financial resources and a longer operating history than we do. In addition, competition for exploration resources at all levels is very intense. Increased competition could adversely affect our ability to attract necessary capital funding for mineral exploration in the future.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Nations Convention on the Law of the Sea</w:t>
      </w:r>
    </w:p>
    <w:p>
      <w:pPr>
        <w:spacing w:after="0" w:line="158" w:lineRule="exact"/>
        <w:rPr>
          <w:sz w:val="20"/>
          <w:szCs w:val="20"/>
          <w:color w:val="auto"/>
        </w:rPr>
      </w:pPr>
    </w:p>
    <w:p>
      <w:pPr>
        <w:ind w:left="460" w:right="1059" w:firstLine="432"/>
        <w:spacing w:after="0" w:line="277" w:lineRule="auto"/>
        <w:rPr>
          <w:sz w:val="20"/>
          <w:szCs w:val="20"/>
          <w:color w:val="auto"/>
        </w:rPr>
      </w:pPr>
      <w:r>
        <w:rPr>
          <w:rFonts w:ascii="Arial" w:cs="Arial" w:eastAsia="Arial" w:hAnsi="Arial"/>
          <w:sz w:val="18"/>
          <w:szCs w:val="18"/>
          <w:color w:val="auto"/>
        </w:rPr>
        <w:t>The Area is defined as the seabed and subsoil beyond the limits of national jurisdiction (UNCLOS Article 1).</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principal policy documents governing the Area include:</w:t>
      </w:r>
    </w:p>
    <w:p>
      <w:pPr>
        <w:spacing w:after="0" w:line="158" w:lineRule="exact"/>
        <w:rPr>
          <w:sz w:val="20"/>
          <w:szCs w:val="20"/>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UNCLOS, of 10 December 1982;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1994 Implementation Agreement.</w:t>
      </w:r>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85725</wp:posOffset>
            </wp:positionV>
            <wp:extent cx="3497580" cy="1834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9758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Part XI of UNCLOS and the 1994 Implementation Agreement deal with mineral exploration and collection in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August 20, 2020, UNCLOS had been signed by 167 States (countries) and the European Union. The United States of America is currently not a party to UNCLOS, though US membership of the ISA does not have an impact on the enforceability or effectiveness of any rights granted to us through the ISA.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International Seabed Authority</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The ISA is comprised of 167 Member States, and the European Union. All parties to UNCLOS are members of the ISA. The ISA is mandated as the organization through which parties to UNCLOS shall organize and control all mineral-related activities in the Area. Two principal organs establish the policies and govern the work of ISA: the Assembly, where all 168 members are represented (the “Assembly”), and a 37-member council elected by the Assembly (the “Council”). The Council has two advisory bodies: the LTC (30 members), which advises the Council on all matters relating to the exploration and collection of non-living marine resources, such as polymetallic nodules, polymetallic sulfides and cobalt-rich ferromanganese crusts, and the Finance Committee (15 members), which deals with budgetary and related matters.</w:t>
      </w:r>
    </w:p>
    <w:p>
      <w:pPr>
        <w:spacing w:after="0" w:line="111"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All rules, regulations, and procedures issued by the ISA to regulate prospecting, exploration, and collection of marine minerals in the Area are issued within a general legal framework established by UNCLOS and the 1994 Implementation Agreement. To date, the ISA has issued the following regulations (</w:t>
      </w:r>
      <w:r>
        <w:rPr>
          <w:rFonts w:ascii="Arial" w:cs="Arial" w:eastAsia="Arial" w:hAnsi="Arial"/>
          <w:sz w:val="18"/>
          <w:szCs w:val="18"/>
          <w:i w:val="1"/>
          <w:iCs w:val="1"/>
          <w:color w:val="auto"/>
        </w:rPr>
        <w:t>https://www.isa.org.jm/mining-code/Regulations</w:t>
      </w:r>
      <w:r>
        <w:rPr>
          <w:rFonts w:ascii="Arial" w:cs="Arial" w:eastAsia="Arial" w:hAnsi="Arial"/>
          <w:sz w:val="18"/>
          <w:szCs w:val="18"/>
          <w:color w:val="auto"/>
        </w:rPr>
        <w:t>):</w:t>
      </w:r>
    </w:p>
    <w:p>
      <w:pPr>
        <w:spacing w:after="0" w:line="106" w:lineRule="exact"/>
        <w:rPr>
          <w:sz w:val="20"/>
          <w:szCs w:val="20"/>
          <w:color w:val="auto"/>
        </w:rPr>
      </w:pPr>
    </w:p>
    <w:p>
      <w:pPr>
        <w:ind w:left="1320" w:right="839" w:hanging="434"/>
        <w:spacing w:after="0" w:line="277"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Regulations on Prospecting and Exploration for Polymetallic Nodules in the Area (adopted July 13, 2000, as amended in 2013; the Regulations).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Regulations on Prospecting and Exploration for Polymetallic Sulphides (adopted May 7, 2010).</w:t>
      </w:r>
    </w:p>
    <w:p>
      <w:pPr>
        <w:spacing w:after="0" w:line="180" w:lineRule="exact"/>
        <w:rPr>
          <w:rFonts w:ascii="Arial" w:cs="Arial" w:eastAsia="Arial" w:hAnsi="Arial"/>
          <w:sz w:val="16"/>
          <w:szCs w:val="16"/>
          <w:color w:val="auto"/>
        </w:rPr>
      </w:pPr>
    </w:p>
    <w:p>
      <w:pPr>
        <w:ind w:left="1320" w:right="839" w:hanging="434"/>
        <w:spacing w:after="0" w:line="277"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Regulations on Prospecting and Exploration for Cobalt-Rich Ferromanganese Crusts in the Area (July 2012).</w:t>
      </w:r>
    </w:p>
    <w:p>
      <w:pPr>
        <w:spacing w:after="0" w:line="89" w:lineRule="exact"/>
        <w:rPr>
          <w:sz w:val="20"/>
          <w:szCs w:val="20"/>
          <w:color w:val="auto"/>
        </w:rPr>
      </w:pPr>
    </w:p>
    <w:p>
      <w:pPr>
        <w:jc w:val="both"/>
        <w:ind w:left="460" w:right="619" w:firstLine="432"/>
        <w:spacing w:after="0" w:line="286" w:lineRule="auto"/>
        <w:rPr>
          <w:sz w:val="20"/>
          <w:szCs w:val="20"/>
          <w:color w:val="auto"/>
        </w:rPr>
      </w:pPr>
      <w:r>
        <w:rPr>
          <w:rFonts w:ascii="Arial" w:cs="Arial" w:eastAsia="Arial" w:hAnsi="Arial"/>
          <w:sz w:val="16"/>
          <w:szCs w:val="16"/>
          <w:color w:val="auto"/>
        </w:rPr>
        <w:t>No commercial polymetallic nodule collection operations have started anywhere in the world. Currently, exploration activities undertaken in the Area are aimed at gathering the necessary information on the location and quality of the minerals of the seabed as well as collecting all the necessary environmental information. To date, the ISA has approved 17 contracts in the CCZ for exploration of nodules and covering more than</w:t>
      </w:r>
    </w:p>
    <w:p>
      <w:pPr>
        <w:spacing w:after="0" w:line="1" w:lineRule="exact"/>
        <w:rPr>
          <w:sz w:val="20"/>
          <w:szCs w:val="20"/>
          <w:color w:val="auto"/>
        </w:rPr>
      </w:pPr>
    </w:p>
    <w:p>
      <w:pPr>
        <w:ind w:left="460" w:right="479"/>
        <w:spacing w:after="0" w:line="287" w:lineRule="auto"/>
        <w:rPr>
          <w:sz w:val="20"/>
          <w:szCs w:val="20"/>
          <w:color w:val="auto"/>
        </w:rPr>
      </w:pPr>
      <w:r>
        <w:rPr>
          <w:rFonts w:ascii="Arial" w:cs="Arial" w:eastAsia="Arial" w:hAnsi="Arial"/>
          <w:sz w:val="16"/>
          <w:szCs w:val="16"/>
          <w:color w:val="auto"/>
        </w:rPr>
        <w:t>1.35 million square kilometers of the seabed including areas outside of the CCZ. This represents 0.7 percent of the Area and 0.3 percent of the world’s oceans. Twelve of these contracts are sponsored by developing countries (including the sponsors of our subsidiaries NORI — Nauru, and TOML — Tonga, and our partner Marawa which is sponsored by the Republic of Kiribati).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The ISA is currently working on the development of a legal framework to regulate the commercialization of mineral development activities in the Area, as described below.</w:t>
      </w:r>
    </w:p>
    <w:p>
      <w:pPr>
        <w:spacing w:after="0" w:line="102" w:lineRule="exact"/>
        <w:rPr>
          <w:sz w:val="20"/>
          <w:szCs w:val="20"/>
          <w:color w:val="auto"/>
        </w:rPr>
      </w:pPr>
    </w:p>
    <w:p>
      <w:pPr>
        <w:ind w:left="460" w:right="779" w:firstLine="432"/>
        <w:spacing w:after="0" w:line="286" w:lineRule="auto"/>
        <w:rPr>
          <w:sz w:val="20"/>
          <w:szCs w:val="20"/>
          <w:color w:val="auto"/>
        </w:rPr>
      </w:pPr>
      <w:r>
        <w:rPr>
          <w:rFonts w:ascii="Arial" w:cs="Arial" w:eastAsia="Arial" w:hAnsi="Arial"/>
          <w:sz w:val="17"/>
          <w:szCs w:val="17"/>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August 2017, the Council released the first Draft Regulations on Exploitation of Mineral Resources in the Area, as subsequently amended. In March 2019, the Council released the advance and unedited text (English only) of the Draft Regulations on Exploitation of Mineral Resources in the Area (ISBA/25/LTC/WP.1) (ISA, 2018). The revised draft exploitation regulations incorporated the consideration of requests addressed to the LTC by the Council during the first part of the 24</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intending to have these regulations finalized by July 2020, but the COVID-19 pandemic disrupted ISA meetings and discussions.</w:t>
      </w:r>
    </w:p>
    <w:p>
      <w:pPr>
        <w:spacing w:after="0" w:line="10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However, 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1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 June 25, 2021, the Republic of Nauru submitted its notice to the ISA requesting that it complete,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 scale polymetallic nodule collection.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85"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We expect the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NORI Exploration Contract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July 2011, our wholly-owned subsidiary, NORI, was granted a polymetallic nodule exploration contract</w:t>
      </w:r>
    </w:p>
    <w:p>
      <w:pPr>
        <w:spacing w:after="0" w:line="100" w:lineRule="exact"/>
        <w:rPr>
          <w:sz w:val="20"/>
          <w:szCs w:val="20"/>
          <w:color w:val="auto"/>
        </w:rPr>
      </w:pPr>
    </w:p>
    <w:p>
      <w:pPr>
        <w:ind w:left="460" w:right="639"/>
        <w:spacing w:after="0" w:line="250" w:lineRule="auto"/>
        <w:rPr>
          <w:sz w:val="20"/>
          <w:szCs w:val="20"/>
          <w:color w:val="auto"/>
        </w:rPr>
      </w:pPr>
      <w:r>
        <w:rPr>
          <w:rFonts w:ascii="Arial" w:cs="Arial" w:eastAsia="Arial" w:hAnsi="Arial"/>
          <w:sz w:val="18"/>
          <w:szCs w:val="18"/>
          <w:color w:val="auto"/>
        </w:rPr>
        <w:t>by the ISA, providing it exclusive rights to explore 74,830 km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126"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7"/>
          <w:szCs w:val="17"/>
          <w:color w:val="auto"/>
        </w:rPr>
        <w:t>The NORI Exploration Contract, which was granted pursuant to the ISA’s Regulations on Prospecting and Exploration for Polymetallic Nodules in the Area (the “Regulations”), formalized a 74,830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exploration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 As soon as practicable, NORI intends to submit an application to collect polymetallic nodules in the same area as its current exploration rights.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In March 2016, NORI submitted to the ISA its proposed activities for the second five-year period of its exploration contract. NORI indicated that work during such period would focus on:</w:t>
      </w:r>
    </w:p>
    <w:p>
      <w:pPr>
        <w:spacing w:after="0" w:line="103" w:lineRule="exact"/>
        <w:rPr>
          <w:sz w:val="20"/>
          <w:szCs w:val="20"/>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reducing project uncertainties and technical risks;</w:t>
      </w:r>
    </w:p>
    <w:p>
      <w:pPr>
        <w:spacing w:after="0" w:line="157" w:lineRule="exact"/>
        <w:rPr>
          <w:rFonts w:ascii="Arial" w:cs="Arial" w:eastAsia="Arial" w:hAnsi="Arial"/>
          <w:sz w:val="18"/>
          <w:szCs w:val="18"/>
          <w:color w:val="auto"/>
        </w:rPr>
      </w:pPr>
    </w:p>
    <w:p>
      <w:pPr>
        <w:ind w:left="1320" w:right="1279" w:hanging="434"/>
        <w:spacing w:after="0" w:line="277" w:lineRule="auto"/>
        <w:tabs>
          <w:tab w:leader="none" w:pos="13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optimizing the onshore processing and offshore production systems (including increasing performance and reliability); and</w:t>
      </w:r>
    </w:p>
    <w:p>
      <w:pPr>
        <w:spacing w:after="0" w:line="89"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improving project economics, including decreasing estimated capital and operating expenditures as well as increasing projected revenues.</w:t>
      </w:r>
    </w:p>
    <w:p>
      <w:pPr>
        <w:spacing w:after="0" w:line="103"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NORI proposed various activities under that submission, which have been undertaken and are continuing to be undertaken. Such work has included improving metal recovery from the hydrometallurgical process then being developed, including studies to improve efficiencies, reduce costs, and increase revenue streams. During the course of this second five-year period, the metallurgical process flow sheet was revised to result in perceived lower-risk and no solid waste, and a pyrometallurgical/hydrometallurgical flowsheet was developed. Studies have also been carried out to identify potential sites for the processing plant. A program of offshore campaigns has been and is in the process of being implemented, resulting in a comprehensive environmental baseline study program involving in excess of 100 separate studies and world leading researchers and institutions. This study is intended to inform NORI’s ESIA and EMMP submissions to the ISA and assist in its design and plans to manage and mitigate potential environmental impacts from operations.</w:t>
      </w:r>
    </w:p>
    <w:p>
      <w:pPr>
        <w:spacing w:after="0" w:line="101"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NORI commenced a pre-feasibility study to analyze technical and economic viability of the collection system and metallurgical process, and revised capital and operating costs.</w:t>
      </w:r>
    </w:p>
    <w:p>
      <w:pPr>
        <w:spacing w:after="0" w:line="89" w:lineRule="exact"/>
        <w:rPr>
          <w:sz w:val="20"/>
          <w:szCs w:val="20"/>
          <w:color w:val="auto"/>
        </w:rPr>
      </w:pPr>
    </w:p>
    <w:p>
      <w:pPr>
        <w:ind w:left="460" w:right="1059" w:firstLine="432"/>
        <w:spacing w:after="0" w:line="291" w:lineRule="auto"/>
        <w:rPr>
          <w:sz w:val="20"/>
          <w:szCs w:val="20"/>
          <w:color w:val="auto"/>
        </w:rPr>
      </w:pPr>
      <w:r>
        <w:rPr>
          <w:rFonts w:ascii="Arial" w:cs="Arial" w:eastAsia="Arial" w:hAnsi="Arial"/>
          <w:sz w:val="16"/>
          <w:szCs w:val="16"/>
          <w:color w:val="auto"/>
        </w:rPr>
        <w:t>NORI also proposed and has implemented or will implement a range of activities pertaining to the collector test: (i) identification and ground truthing of areas potentially suitable for the collector test;</w:t>
      </w:r>
    </w:p>
    <w:p>
      <w:pPr>
        <w:ind w:left="460" w:right="559" w:hanging="6"/>
        <w:spacing w:after="0" w:line="253" w:lineRule="auto"/>
        <w:tabs>
          <w:tab w:leader="none" w:pos="7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confirmation of a collector test site; (iii) commencement of the environmental baseline studies pertaining to the collector test environmental impact assessment (“EIA”) programme; and (iv) commencing geotechnical studies pertaining to the collector test programme. On July 29, 2021, NORI submitted its EIS on the NORI Collector Test for consideration by the ISA.</w:t>
      </w:r>
    </w:p>
    <w:p>
      <w:pPr>
        <w:spacing w:after="0" w:line="125"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The ISA Council may suspend or terminate the NORI Exploration Contract, without prejudice to any other rights that the ISA may have, if any of the following events should occur:</w:t>
      </w:r>
    </w:p>
    <w:p>
      <w:pPr>
        <w:spacing w:after="0" w:line="103" w:lineRule="exact"/>
        <w:rPr>
          <w:sz w:val="20"/>
          <w:szCs w:val="20"/>
          <w:color w:val="auto"/>
        </w:rPr>
      </w:pPr>
    </w:p>
    <w:p>
      <w:pPr>
        <w:ind w:left="1320" w:right="499" w:hanging="434"/>
        <w:spacing w:after="0" w:line="259"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w:t>
      </w:r>
    </w:p>
    <w:p>
      <w:pPr>
        <w:spacing w:after="0" w:line="105"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NORI has failed to comply with a final binding decision of the dispute settlement body applicable to it; or</w:t>
      </w:r>
    </w:p>
    <w:p>
      <w:pPr>
        <w:spacing w:after="0" w:line="102" w:lineRule="exact"/>
        <w:rPr>
          <w:rFonts w:ascii="Arial" w:cs="Arial" w:eastAsia="Arial" w:hAnsi="Arial"/>
          <w:sz w:val="18"/>
          <w:szCs w:val="18"/>
          <w:color w:val="auto"/>
        </w:rPr>
      </w:pPr>
    </w:p>
    <w:p>
      <w:pPr>
        <w:ind w:left="1320" w:right="499" w:hanging="434"/>
        <w:spacing w:after="0" w:line="255"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25"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NORI Sponsorship Agreement</w:t>
      </w:r>
    </w:p>
    <w:p>
      <w:pPr>
        <w:spacing w:after="0" w:line="144"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NauruSeabed Minerals Authority to regulate activities carried out by companies sponsored by Nauru.</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such event, if NORI does not obtain another sponsor meeting the requirements prescribed in the Regulations which submit to the ISA a certificate of sponsorship for NORI in the prescribed form within six months, the NORI Exploration Contract will terminate.</w:t>
      </w:r>
    </w:p>
    <w:p>
      <w:pPr>
        <w:spacing w:after="0" w:line="125" w:lineRule="exact"/>
        <w:rPr>
          <w:sz w:val="20"/>
          <w:szCs w:val="20"/>
          <w:color w:val="auto"/>
        </w:rPr>
      </w:pPr>
    </w:p>
    <w:p>
      <w:pPr>
        <w:ind w:left="460" w:right="639" w:firstLine="432"/>
        <w:spacing w:after="0" w:line="269" w:lineRule="auto"/>
        <w:rPr>
          <w:sz w:val="20"/>
          <w:szCs w:val="20"/>
          <w:color w:val="auto"/>
        </w:rPr>
      </w:pPr>
      <w:r>
        <w:rPr>
          <w:rFonts w:ascii="Arial" w:cs="Arial" w:eastAsia="Arial" w:hAnsi="Arial"/>
          <w:sz w:val="17"/>
          <w:szCs w:val="17"/>
          <w:color w:val="auto"/>
        </w:rPr>
        <w:t>On June 5, 2017, Nauru, the Nauru Seabed Minerals Authority and NORI entered into a sponsorship agreement (the “NORI Sponsorship Agreement”) formalizing certain obligations of the parties in relation to NORI’s exploration and potential collection of the NORI Contract Area of the CCZ. The NORI Sponsorship Agreement will remain in force for the duration of the 15-year NORI Exploration Contract, and will automatically extend for a further 20 years upon NORI reaching the minimum recovery level under an ISA Exploration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During exploration, NORI is required to, among other things:</w:t>
      </w:r>
    </w:p>
    <w:p>
      <w:pPr>
        <w:spacing w:after="0" w:line="144" w:lineRule="exact"/>
        <w:rPr>
          <w:sz w:val="20"/>
          <w:szCs w:val="20"/>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submit an annual report to the ISA;</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meet certain performance and expenditure commitments;</w:t>
      </w:r>
    </w:p>
    <w:p>
      <w:pPr>
        <w:spacing w:after="0" w:line="157" w:lineRule="exact"/>
        <w:rPr>
          <w:rFonts w:ascii="Arial" w:cs="Arial" w:eastAsia="Arial" w:hAnsi="Arial"/>
          <w:sz w:val="18"/>
          <w:szCs w:val="18"/>
          <w:color w:val="auto"/>
        </w:rPr>
      </w:pPr>
    </w:p>
    <w:p>
      <w:pPr>
        <w:ind w:left="1320" w:right="119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an annual overhead charge to cover the costs incurred by the ISA in administering and supervising the contract;</w:t>
      </w:r>
    </w:p>
    <w:p>
      <w:pPr>
        <w:spacing w:after="0" w:line="89"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implement training programs for personnel of the ISA and developing countries in accordance with a training program proposed by NORI in its license application;</w:t>
      </w:r>
    </w:p>
    <w:p>
      <w:pPr>
        <w:spacing w:after="0" w:line="102"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take measures to prevent, reduce, and control pollution and other hazards to the marine environment arising from its activities in the Area;</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appropriate insurance policies;</w:t>
      </w:r>
    </w:p>
    <w:p>
      <w:pPr>
        <w:spacing w:after="0" w:line="144"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environmental baselines against which to assess the likely effects of its program of activities on the marine environment;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and implement a program to monitor and report on such effects.</w:t>
      </w:r>
    </w:p>
    <w:p>
      <w:pPr>
        <w:spacing w:after="0" w:line="158"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In 2016, NORI submitted to the ISA proposed activities for the second five-year period of its exploration contract. NORI indicated that work during this second five-year period would focus on:</w:t>
      </w:r>
    </w:p>
    <w:p>
      <w:pPr>
        <w:spacing w:after="0" w:line="89" w:lineRule="exact"/>
        <w:rPr>
          <w:sz w:val="20"/>
          <w:szCs w:val="20"/>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reducing project uncertainties and technical risks;</w:t>
      </w:r>
    </w:p>
    <w:p>
      <w:pPr>
        <w:spacing w:after="0" w:line="157" w:lineRule="exact"/>
        <w:rPr>
          <w:rFonts w:ascii="Arial" w:cs="Arial" w:eastAsia="Arial" w:hAnsi="Arial"/>
          <w:sz w:val="18"/>
          <w:szCs w:val="18"/>
          <w:color w:val="auto"/>
        </w:rPr>
      </w:pPr>
    </w:p>
    <w:p>
      <w:pPr>
        <w:ind w:left="1320" w:right="115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optimizing the on-shore processing and off-shore production systems (including increasing performance and reliability); and</w:t>
      </w:r>
    </w:p>
    <w:p>
      <w:pPr>
        <w:spacing w:after="0" w:line="102" w:lineRule="exact"/>
        <w:rPr>
          <w:rFonts w:ascii="Arial" w:cs="Arial" w:eastAsia="Arial" w:hAnsi="Arial"/>
          <w:sz w:val="18"/>
          <w:szCs w:val="18"/>
          <w:color w:val="auto"/>
        </w:rPr>
      </w:pPr>
    </w:p>
    <w:p>
      <w:pPr>
        <w:ind w:left="1320" w:right="57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improving project economics, including decreasing estimated capital and operating expenditures as well as increasing projected revenues.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July 29, 2021, NORI submitted its EIS on the NORI Collector Test for consideration by the ISA.</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TOML Exploration Contract</w:t>
      </w:r>
    </w:p>
    <w:p>
      <w:pPr>
        <w:spacing w:after="0" w:line="158"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In March 2020, we acquired TOML, a subsidiary of the former Nautilus Minerals Group (“Nautilus”), from Deep Sea Mining Finance Limited, providing us with exclusive rights to explore a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block of the CCZ seabed. TOML holds an exploration contract granted by the ISA and sponsored by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66" w:lineRule="auto"/>
        <w:rPr>
          <w:sz w:val="20"/>
          <w:szCs w:val="20"/>
          <w:color w:val="auto"/>
        </w:rPr>
      </w:pPr>
      <w:r>
        <w:rPr>
          <w:rFonts w:ascii="Arial" w:cs="Arial" w:eastAsia="Arial" w:hAnsi="Arial"/>
          <w:sz w:val="17"/>
          <w:szCs w:val="17"/>
          <w:color w:val="auto"/>
        </w:rPr>
        <w:t>The TOML Exploration Contract was granted pursuant to the ISA’s Regulations, as well as Article 153 of UNCLOS, and formalized a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114"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In October 2016 TOML submitted to the ISA its proposed activities for the second five-year period of its exploration contract. TOML indicated that work would focus on:</w:t>
      </w:r>
    </w:p>
    <w:p>
      <w:pPr>
        <w:spacing w:after="0" w:line="103" w:lineRule="exact"/>
        <w:rPr>
          <w:sz w:val="20"/>
          <w:szCs w:val="20"/>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development and collection of environmental baseline data;</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completing pilot testing;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completing geotechnical studies;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completing feasibility studies;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drafting of the first EIA/EMMP;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continuing training.</w:t>
      </w:r>
    </w:p>
    <w:p>
      <w:pPr>
        <w:spacing w:after="0" w:line="15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Based on an expectation that the forthcoming environmental regulations pertaining to obtaining an ISA Exploitation Contract were to be completed, TOML submitted a plan that included a substantive program of environmental baseline survey and pilot collection monitoring. It also included fabrication and trials of pilot scale collection equipment, metallurgical test work, and other engineering and marketing studies as well as report drafting for environmental permitting and feasibility study purposes. The designing of TOML’s collection system called the Decoupled Underwater Collection Concept (“DUCC”) did progress to prefeasibility study state. TOML continued to advance its project design by conducting land-based tests and closing technology gaps in areas not previously piloted. A preliminary collection plan and collection equipment/schedule was completed for the TOML preliminary collection areas, but such plans are now subject to change by TOML.</w:t>
      </w:r>
    </w:p>
    <w:p>
      <w:pPr>
        <w:spacing w:after="0" w:line="85"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ISA Council may suspend or terminate the TOML Exploration Contract, without prejudice to any other rights that the ISA may have, if any of the following events should occur:</w:t>
      </w:r>
    </w:p>
    <w:p>
      <w:pPr>
        <w:spacing w:after="0" w:line="103" w:lineRule="exact"/>
        <w:rPr>
          <w:sz w:val="20"/>
          <w:szCs w:val="20"/>
          <w:color w:val="auto"/>
        </w:rPr>
      </w:pPr>
    </w:p>
    <w:p>
      <w:pPr>
        <w:ind w:left="1320" w:right="659" w:hanging="434"/>
        <w:spacing w:after="0" w:line="311" w:lineRule="auto"/>
        <w:tabs>
          <w:tab w:leader="none" w:pos="13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in spite of written warnings by the ISA, TOML has conducted its activities in such a way as to result in serious persistent and willful violations of the fundamental terms of this contract, Part XI of UNCLOS, the 1994 Agreement and the rules, regulations and procedures of the ISA;</w:t>
      </w:r>
    </w:p>
    <w:p>
      <w:pPr>
        <w:spacing w:after="0" w:line="81" w:lineRule="exact"/>
        <w:rPr>
          <w:rFonts w:ascii="Arial" w:cs="Arial" w:eastAsia="Arial" w:hAnsi="Arial"/>
          <w:sz w:val="16"/>
          <w:szCs w:val="16"/>
          <w:color w:val="auto"/>
        </w:rPr>
      </w:pPr>
    </w:p>
    <w:p>
      <w:pPr>
        <w:ind w:left="1320" w:right="1219" w:hanging="434"/>
        <w:spacing w:after="0" w:line="277"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TOML has failed to comply with a final binding decision of the dispute settlement body applicable to it; or</w:t>
      </w:r>
    </w:p>
    <w:p>
      <w:pPr>
        <w:spacing w:after="0" w:line="89" w:lineRule="exact"/>
        <w:rPr>
          <w:rFonts w:ascii="Arial" w:cs="Arial" w:eastAsia="Arial" w:hAnsi="Arial"/>
          <w:sz w:val="18"/>
          <w:szCs w:val="18"/>
          <w:color w:val="auto"/>
        </w:rPr>
      </w:pPr>
    </w:p>
    <w:p>
      <w:pPr>
        <w:jc w:val="both"/>
        <w:ind w:left="1320" w:right="939" w:hanging="434"/>
        <w:spacing w:after="0" w:line="263"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TOML becomes insolvent or commits an act of bankruptcy or enters into any agreement for composition with its creditors or goes into liquidation or receivership, whether compulsory or voluntary,</w:t>
      </w:r>
    </w:p>
    <w:p>
      <w:pPr>
        <w:spacing w:after="0" w:line="116" w:lineRule="exact"/>
        <w:rPr>
          <w:rFonts w:ascii="Arial" w:cs="Arial" w:eastAsia="Arial" w:hAnsi="Arial"/>
          <w:sz w:val="18"/>
          <w:szCs w:val="18"/>
          <w:color w:val="auto"/>
        </w:rPr>
      </w:pPr>
    </w:p>
    <w:p>
      <w:pPr>
        <w:ind w:left="1320" w:right="719" w:hanging="434"/>
        <w:spacing w:after="0" w:line="259"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19" w:lineRule="exact"/>
        <w:rPr>
          <w:sz w:val="20"/>
          <w:szCs w:val="20"/>
          <w:color w:val="auto"/>
        </w:rPr>
      </w:pPr>
    </w:p>
    <w:p>
      <w:pPr>
        <w:ind w:left="460" w:right="699" w:firstLine="432"/>
        <w:spacing w:after="0" w:line="286" w:lineRule="auto"/>
        <w:rPr>
          <w:sz w:val="20"/>
          <w:szCs w:val="20"/>
          <w:color w:val="auto"/>
        </w:rPr>
      </w:pPr>
      <w:r>
        <w:rPr>
          <w:rFonts w:ascii="Arial" w:cs="Arial" w:eastAsia="Arial" w:hAnsi="Arial"/>
          <w:sz w:val="17"/>
          <w:szCs w:val="17"/>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TOML Sponsorship Agreement</w:t>
      </w:r>
    </w:p>
    <w:p>
      <w:pPr>
        <w:spacing w:after="0" w:line="144" w:lineRule="exact"/>
        <w:rPr>
          <w:sz w:val="20"/>
          <w:szCs w:val="20"/>
          <w:color w:val="auto"/>
        </w:rPr>
      </w:pPr>
    </w:p>
    <w:p>
      <w:pPr>
        <w:ind w:left="460" w:right="799" w:firstLine="432"/>
        <w:spacing w:after="0" w:line="287" w:lineRule="auto"/>
        <w:rPr>
          <w:sz w:val="20"/>
          <w:szCs w:val="20"/>
          <w:color w:val="auto"/>
        </w:rPr>
      </w:pPr>
      <w:r>
        <w:rPr>
          <w:rFonts w:ascii="Arial" w:cs="Arial" w:eastAsia="Arial" w:hAnsi="Arial"/>
          <w:sz w:val="16"/>
          <w:szCs w:val="16"/>
          <w:color w:val="auto"/>
        </w:rPr>
        <w:t>On March 8, 2008, Tonga and TOML entered into a sponsorship agreement (the “TOML Sponsorship Agreement”) formalizing certain obligations of the parties in relation to TOML’s exploration and potential collection of a proposed application to the ISA (subsequently granted) known as the TOML Area. In</w:t>
      </w:r>
    </w:p>
    <w:p>
      <w:pPr>
        <w:spacing w:after="0" w:line="2" w:lineRule="exact"/>
        <w:rPr>
          <w:sz w:val="20"/>
          <w:szCs w:val="20"/>
          <w:color w:val="auto"/>
        </w:rPr>
      </w:pPr>
    </w:p>
    <w:p>
      <w:pPr>
        <w:ind w:left="460" w:right="499"/>
        <w:spacing w:after="0" w:line="264" w:lineRule="auto"/>
        <w:rPr>
          <w:sz w:val="20"/>
          <w:szCs w:val="20"/>
          <w:color w:val="auto"/>
        </w:rPr>
      </w:pPr>
      <w:r>
        <w:rPr>
          <w:rFonts w:ascii="Arial" w:cs="Arial" w:eastAsia="Arial" w:hAnsi="Arial"/>
          <w:sz w:val="17"/>
          <w:szCs w:val="17"/>
          <w:color w:val="auto"/>
        </w:rPr>
        <w:t>March 2020, we acquired TOML, a subsidiary of the former Nautilus, from Deep Sea Mining Finance Limited, providing exclusive rights to explore a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block of the CCZ seabed. TOML holds the TOML Exploration Contract granted by the ISA and sponsored by Tonga. Tonga recently updated the sponsorship agreement with TOML, harmonizing the terms of its engagement with TOML with those held by the Republic of Nauru. The sponsorship agreement will remain in force for the duration of TOML’s Exploration Contract and will automatically be extended for an additional term of 25 years should TOML be granted an ISA Exploitation Contract. Upon reaching the minimum recovery level within the tenement area, TOML has agreed to pay Tonga a seabed mineral recovery payment based on the polymetallic nodules recovered from the tenement area. In addition, TOML has agreed to pay the reasonable direct costs incurred by Tonga to administer the ISA obligations of Tonga to the ISA.</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15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On March 17, 2012, our wholly-owned subsidiary, DGE, entered into an Option Agreement (the “Option Agreement”) with Marawa and Kiribati. In consideration of the $250,000 option fee, Marawa granted DGE an option to purchase tenements, as may be granted to Marawa by the ISA or any other regulatory body, for $300,000, or in consideration of DGE waiving any loan and other debt obligation pursuant to the Services Agreement (as defined below), if a default event occurs. The exercise period for the option is a maximum of 40 years after the date of the execution of the Option Agreement.</w:t>
      </w:r>
    </w:p>
    <w:p>
      <w:pPr>
        <w:spacing w:after="0" w:line="110"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On July 26, 2012, the ISA Council approved a plan of work for exploration submitted by Marawa covering the Marawa Contract Area.</w:t>
      </w:r>
    </w:p>
    <w:p>
      <w:pPr>
        <w:spacing w:after="0" w:line="8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On October 1, 2013, DGE entered into an agreement (the “Services Agreement”) with the Republic of Kiribati and Marawa granting DGE the exclusive right for 40 years to carry out exploration and collection in the Marawa Contract Area as well as purchase polymetallic nodules collected from the Marawa Contract Area. The Marawa Exploration Contract was signed on January 19, 2015. Mineral resource definition work began in 2020 for the Marawa Contract Area and we expect to continue undertaking such work in the near future.</w:t>
      </w:r>
    </w:p>
    <w:p>
      <w:pPr>
        <w:spacing w:after="0" w:line="94"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DGE has the right to terminate the Services Agreement for convenience at any time at its election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of the date of such termination, provided that Marawa shall have an obligation to minimize such fees and payments to the extent practicable after the date of said termination. DGE and Marawa have considered the potential to amend the current contractual arrangements to provide additional mutual benefits in the conduct of operations, though no assurances may be given that any changes will be agreed.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Royalties and taxes</w:t>
      </w:r>
    </w:p>
    <w:p>
      <w:pPr>
        <w:spacing w:after="0" w:line="15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Royalties and taxes payable on any future production from the Area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80"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An ad hoc ISA working group workshop has met several times including most recently in February 2020 to discuss a number of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 Additional discussions have considered capping any proposed environmental levy once an agreed total value has been reached and might no longer be collected once sufficient funds are in trust. We cannot assure you that any such royalties or levies will not be greater than those discussed and could be significantly greater.</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7" w:name="page78"/>
    <w:bookmarkEnd w:id="7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Environmental Regulation</w:t>
      </w:r>
    </w:p>
    <w:p>
      <w:pPr>
        <w:spacing w:after="0" w:line="148"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The ISA is mandated through UNCLOS to “preserve and protect the marine environment” while developing the resources within CCZ. Given that the NORI Contract Area is in the Area, the ISA is responsible for assessing any environmental and social impact assessment (“ESIA”) prepared by NORI and for granting the relevant permits. NORI is currently one of 17 contractors with a license to explore for polymetallic nodules in the CCZ (refer ISBA/23/C/7, 5 June 2017). Historically, a significant amount of technical work has been undertaken within the CCZ by such contractors and a significant body of information has been acquired during the past 40 years on the likely environmental impacts of collecting nodules from the sea floor. To date, no licenses for the commercial collection of polymetallic nodules within the CCZ have been granted by the ISA.</w:t>
      </w:r>
    </w:p>
    <w:p>
      <w:pPr>
        <w:spacing w:after="0" w:line="98"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Between 1998 and 2019, the ISA held workshops and developed a number of documents to provide guidance to contractors with respect to its expectations for responsible environmental management during the exploration and collection phases of mineral development. Regulations for exploration have been established, and environmental standards and guidelines (together with environmental provisions in the Draft Regulations for Exploitation) to apply to operations are currently under development. The ISA held a workshop “towards an ISA environmental management strategy for the Area” in March 2017 in Berlin, Germany. The results of the workshop were published as ISA technical Study 17 (ISA 2017). The ISA has developed various Standards and Guidelines which are expected to be finalized and adopted by the Council when completed by the Legal and Technical Commission, and are expected to include standards concerning an environmental management and monitoring program that will be required by each contractor.</w:t>
      </w:r>
    </w:p>
    <w:p>
      <w:pPr>
        <w:spacing w:after="0" w:line="101"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The ISA has issued Regulations on Prospecting and Exploration for Polymetallic Nodules (adopted on July 13, 2000, updated on July 25, 2013). The regulations were complemented by the LTC’s recommendations for the guidance of contractors on assessing the environmental impacts of exploration. The draft exploitation regulations on deep-seabed collection were discussed at the 25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Session of the ISA in early 2020 in Kingston, Jamaica. The ISA is developing various Standards and Guidelines which are expected to be finalized by the Legal and Technical Commission and adopted by the Council, and are expected to include standards concerning the submission requirements for an ESIA that will be required by each contractor.</w:t>
      </w:r>
    </w:p>
    <w:p>
      <w:pPr>
        <w:spacing w:after="0" w:line="90"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Although the environmental impact review process has not yet been finalized, all contractors have been made aware that the ISA requires the completion of baseline studies and EIA, culminating in an environmental impact statement (“EIS”), prior to collection. Guidance for contractors in terms of what will be expected in the EIS has been provided in ISA Technical Study No. 10 (ISA 2012a). The EIS, along with an EMMP, will be required as part of the application for an ISA Exploitation Contract for operations in the contract Area. Environmental impacts of exploration and potential collection activities have been studied, and NORI is working with several of the deep-sea research institutions that are contributing to our environmental and social impact assessment program, consisting of over 100 discrete studies.</w:t>
      </w:r>
    </w:p>
    <w:p>
      <w:pPr>
        <w:spacing w:after="0" w:line="111"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NORI’s off-shore exploration campaigns have included sampling to support environmental studies, collection of high-resolution imagery, full column physical and chemical oceanographic data and environmental baseline studies. A number of future campaigns are planned to collect data on ocean currents and water quality to assist plume modelling, environmental baseline studies, box core and multicorer sampling focused on benthic ecology and sediment characteristics. NORI intends to manage the project under the governance of an EMS, which is to be developed in accordance with the international EMS standard, ISO 14001:2004. The EMS will provide the overall framework for the environmental management and monitoring plans that will be required.</w:t>
      </w:r>
    </w:p>
    <w:p>
      <w:pPr>
        <w:spacing w:after="0" w:line="9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Through a consultation process initiated by the ISA in 2013 and the feedback that was obtained from multiple stakeholder groups, the environmental permitting process is expected to involve a series of checks and balances with reviews being conducted by the ISA and LTC. The recommendations of these groups will then go before the ISA Council, which will then review and, if it deems appropriate, approve the exploitation application.</w:t>
      </w:r>
    </w:p>
    <w:p>
      <w:pPr>
        <w:spacing w:after="0" w:line="120"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The sponsoring State has a responsibility to put in place legislation to ensure the entity it has sponsored complies with UNCLOS and ISA rules and regulations. Nauru implemented the Nauru International Seabed Minerals Act in 2015.</w:t>
      </w:r>
    </w:p>
    <w:p>
      <w:pPr>
        <w:spacing w:after="0" w:line="116"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As of the date of this prospectus, we believe, based on NORI’s assessment that it is in compliance with existing exploration permits and contracts. NORI is in the middle stages of the exploitation permitting process. In addition to working on key engineering aspects of the project such as designing the nodule collector and the dewatering facility, NORI is also continuing the following tasks:</w:t>
      </w:r>
    </w:p>
    <w:p>
      <w:pPr>
        <w:spacing w:after="0" w:line="90" w:lineRule="exact"/>
        <w:rPr>
          <w:sz w:val="20"/>
          <w:szCs w:val="20"/>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delineating nodule mineralization;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characterizing the nature of the seabed, water column and biology;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conducting environmental baseline studies and impact assessments;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characterizing the nature of any materials returned to the environment;</w:t>
      </w:r>
    </w:p>
    <w:p>
      <w:pPr>
        <w:spacing w:after="0" w:line="157" w:lineRule="exact"/>
        <w:rPr>
          <w:rFonts w:ascii="Arial" w:cs="Arial" w:eastAsia="Arial" w:hAnsi="Arial"/>
          <w:sz w:val="18"/>
          <w:szCs w:val="18"/>
          <w:color w:val="auto"/>
        </w:rPr>
      </w:pPr>
    </w:p>
    <w:p>
      <w:pPr>
        <w:ind w:left="1320" w:right="109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developing oceanographic and physical information to inform models (e.g., sediment plume models);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developing other plans, including the EMMP and the various subordinate plans.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potential future on-shore environmental impacts have not yet been assessed because the processing plant that we expect to create or to partner with through a tolling or other arrangement has not been determined or otherwise has not been designed in detail, and the location and host country (and hence regulatory regime) has not been confirmed. The planned metallurgical process is not expected to generate solid waste products, and the deleterious elements (for example, cadmium and arsenic) content of the nodules is understood to be very low, indicating that with careful management, the environmental impacts of the processing operation could potentially be low.</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Our success depends in part upon its ability to obtain and maintain patent protection of its core technology and intellectual property, as well as that of its strategic partners, and particularly that it maintains its freedom to operate not being restricted by patents lodged by others. We maintain a portfolio of issued patents and pending patent applications, which relate to offshore collection systems and to the processing of polymetallic nodules for recovering metals. As we rely on a number of patents to establish and protect its intellectual property, it has obtained and filed patent applications in countries throughout North America, Europe and Asia.</w:t>
      </w:r>
    </w:p>
    <w:p>
      <w:pPr>
        <w:spacing w:after="0" w:line="97"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cannot conclusively state that any pending applications, existing patents or future patents will be definitively useful in protecting or promoting our business and growth plans. In addition, we cannot guarantee that it will be able to obtain trademark protection of the name, “The Metals Company.” Please see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for additional information on the risks associated with our intellectual property strategy and portfolio.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460" w:right="559" w:firstLine="432"/>
        <w:spacing w:after="0" w:line="258" w:lineRule="auto"/>
        <w:rPr>
          <w:sz w:val="20"/>
          <w:szCs w:val="20"/>
          <w:color w:val="auto"/>
        </w:rPr>
      </w:pPr>
      <w:r>
        <w:rPr>
          <w:rFonts w:ascii="Arial" w:cs="Arial" w:eastAsia="Arial" w:hAnsi="Arial"/>
          <w:sz w:val="18"/>
          <w:szCs w:val="18"/>
          <w:color w:val="auto"/>
        </w:rPr>
        <w:t>Founded in 2021, TMC is a corporation existing under the laws of British Columbia, Canada. TMC’s registered office is currently located at 595 Howe Street,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 Vancouver, British Columbia, Canada V6C 2T5, and its telephone number is: (574) 252-9333. The following chart illustrates our simplified corporate structure as of the date of this prospectus.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55245</wp:posOffset>
            </wp:positionV>
            <wp:extent cx="5109210" cy="27343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0921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its business. There is no material litigation, arbitration or governmental proceeding or any other legal proceeding currently pending or to our knowledge, threatened against us or any members of our management team in their capacity as such.</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ind w:left="460" w:right="739" w:firstLine="432"/>
        <w:spacing w:after="0" w:line="279" w:lineRule="auto"/>
        <w:rPr>
          <w:sz w:val="20"/>
          <w:szCs w:val="20"/>
          <w:color w:val="auto"/>
        </w:rPr>
      </w:pPr>
      <w:r>
        <w:rPr>
          <w:rFonts w:ascii="Arial" w:cs="Arial" w:eastAsia="Arial" w:hAnsi="Arial"/>
          <w:sz w:val="17"/>
          <w:szCs w:val="17"/>
          <w:color w:val="auto"/>
        </w:rPr>
        <w:t>We have approximately twenty-eight (28) employees and contractors. As of April 1, 2021, five of our staff were located in the United States, four were located in Canada, eight were located in Australia, one was located in each of Nauru and Tonga, and the rest were located in Europe and the UAE. None of our staff are represented by a labor union or subject to a collective bargaining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NORI Contract Area</w:t>
      </w:r>
    </w:p>
    <w:p>
      <w:pPr>
        <w:spacing w:after="0" w:line="162"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filed as Exhibit 96.1 to the registration statement of which this prospectus forms a part. The NORI Technical Report Summary is incorporated herein by reference and made a part hereof.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Location of the NORI Area and access</w:t>
      </w:r>
    </w:p>
    <w:p>
      <w:pPr>
        <w:spacing w:after="0" w:line="144" w:lineRule="exact"/>
        <w:rPr>
          <w:sz w:val="20"/>
          <w:szCs w:val="20"/>
          <w:color w:val="auto"/>
        </w:rPr>
      </w:pPr>
    </w:p>
    <w:p>
      <w:pPr>
        <w:ind w:left="460" w:right="499" w:firstLine="432"/>
        <w:spacing w:after="0" w:line="298" w:lineRule="auto"/>
        <w:rPr>
          <w:sz w:val="20"/>
          <w:szCs w:val="20"/>
          <w:color w:val="auto"/>
        </w:rPr>
      </w:pPr>
      <w:r>
        <w:rPr>
          <w:rFonts w:ascii="Arial" w:cs="Arial" w:eastAsia="Arial" w:hAnsi="Arial"/>
          <w:sz w:val="16"/>
          <w:szCs w:val="16"/>
          <w:color w:val="auto"/>
        </w:rPr>
        <w:t>The NORI Contract Area is located within the CCZ of the northeast Pacific Ocean. The CCZ is located in international waters between Hawaii and Mexico. The western end of the CCZ is approximately 1,000 km south of the Hawaiian island group. From here, the CCZ extends almost 5,000 km east-northeast, in an approximately 600 km wide trend, with the eastern limits approximately 2,000 km west of southern Mexico. The region is well-located to ship nodules to the American continent or across the Pacific to Asian markets. The NORI Contract Area comprises four separate blocks (A, B, C and D) in the CCZ with a combined area of 74,830 km</w:t>
      </w:r>
      <w:r>
        <w:rPr>
          <w:rFonts w:ascii="Arial" w:cs="Arial" w:eastAsia="Arial" w:hAnsi="Arial"/>
          <w:sz w:val="18"/>
          <w:szCs w:val="18"/>
          <w:color w:val="auto"/>
          <w:vertAlign w:val="superscript"/>
        </w:rPr>
        <w:t>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38100</wp:posOffset>
            </wp:positionV>
            <wp:extent cx="3617595" cy="49377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7595" cy="493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NORI Contract Area extents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Minimum</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Maximum</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Minimum</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Minimum</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Maximum</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Minimum</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UTM</w:t>
            </w:r>
          </w:p>
        </w:tc>
        <w:tc>
          <w:tcPr>
            <w:tcW w:w="0" w:type="dxa"/>
            <w:vAlign w:val="bottom"/>
          </w:tcPr>
          <w:p>
            <w:pPr>
              <w:spacing w:after="0"/>
              <w:rPr>
                <w:sz w:val="1"/>
                <w:szCs w:val="1"/>
                <w:color w:val="auto"/>
              </w:rPr>
            </w:pPr>
          </w:p>
        </w:tc>
      </w:tr>
      <w:tr>
        <w:trPr>
          <w:trHeight w:val="149"/>
        </w:trPr>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Area</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Latitude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Latitude</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Longitude</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Longitude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UTM X</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UTM X</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UTM Y</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UTM Y</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40" w:type="dxa"/>
            <w:vAlign w:val="bottom"/>
            <w:gridSpan w:val="2"/>
            <w:vMerge w:val="continue"/>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(DD)</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(DD)</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(DD)</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w:t>
            </w: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Zone</w:t>
            </w:r>
          </w:p>
        </w:tc>
        <w:tc>
          <w:tcPr>
            <w:tcW w:w="0" w:type="dxa"/>
            <w:vAlign w:val="bottom"/>
          </w:tcPr>
          <w:p>
            <w:pPr>
              <w:spacing w:after="0"/>
              <w:rPr>
                <w:sz w:val="1"/>
                <w:szCs w:val="1"/>
                <w:color w:val="auto"/>
              </w:rPr>
            </w:pPr>
          </w:p>
        </w:tc>
      </w:tr>
      <w:tr>
        <w:trPr>
          <w:trHeight w:val="25"/>
        </w:trPr>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11.5000</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13.00000</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-134.5830</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-133.8330</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545220.4</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627276.0</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1271339</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1437255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8"/>
        </w:trPr>
        <w:tc>
          <w:tcPr>
            <w:tcW w:w="1040" w:type="dxa"/>
            <w:vAlign w:val="bottom"/>
            <w:gridSpan w:val="2"/>
          </w:tcPr>
          <w:p>
            <w:pPr>
              <w:spacing w:after="0"/>
              <w:rPr>
                <w:sz w:val="20"/>
                <w:szCs w:val="20"/>
                <w:color w:val="auto"/>
              </w:rPr>
            </w:pPr>
            <w:r>
              <w:rPr>
                <w:rFonts w:ascii="Arial" w:cs="Arial" w:eastAsia="Arial" w:hAnsi="Arial"/>
                <w:sz w:val="14"/>
                <w:szCs w:val="14"/>
                <w:color w:val="auto"/>
              </w:rPr>
              <w:t>B</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13.5801</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14.00000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-134.0000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-133.2000</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607995.7</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694759.8</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1501590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1548425</w:t>
            </w: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12.0000</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14.93500</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-123.0000</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-120.5000</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500000.0</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769458.3</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1326941</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1652649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8"/>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9.8950</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11.08333</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117.8167</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116.0667</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410465.2</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602326.1</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1093913</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1225353</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76"/>
        </w:trPr>
        <w:tc>
          <w:tcPr>
            <w:tcW w:w="1040" w:type="dxa"/>
            <w:vAlign w:val="bottom"/>
            <w:gridSpan w:val="2"/>
          </w:tcPr>
          <w:p>
            <w:pPr>
              <w:spacing w:after="0"/>
              <w:rPr>
                <w:sz w:val="20"/>
                <w:szCs w:val="20"/>
                <w:color w:val="auto"/>
              </w:rPr>
            </w:pPr>
            <w:r>
              <w:rPr>
                <w:rFonts w:ascii="Arial" w:cs="Arial" w:eastAsia="Arial" w:hAnsi="Arial"/>
                <w:sz w:val="16"/>
                <w:szCs w:val="16"/>
                <w:color w:val="auto"/>
                <w:w w:val="95"/>
              </w:rPr>
              <w:t>____________</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720" w:hanging="266"/>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Decimal degrees, UTM — Universal Transverse Mercator map projection</w:t>
      </w:r>
    </w:p>
    <w:p>
      <w:pPr>
        <w:spacing w:after="0" w:line="203"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16"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See Section 3 of the NORI Technical Report Summary for further specific information of the location of the NORI Contract Area.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Tenements and permits</w:t>
      </w:r>
    </w:p>
    <w:p>
      <w:pPr>
        <w:spacing w:after="0" w:line="131" w:lineRule="exact"/>
        <w:rPr>
          <w:sz w:val="20"/>
          <w:szCs w:val="20"/>
          <w:color w:val="auto"/>
        </w:rPr>
      </w:pPr>
    </w:p>
    <w:p>
      <w:pPr>
        <w:ind w:left="460" w:right="559" w:firstLine="432"/>
        <w:spacing w:after="0" w:line="266" w:lineRule="auto"/>
        <w:rPr>
          <w:sz w:val="20"/>
          <w:szCs w:val="20"/>
          <w:color w:val="auto"/>
        </w:rPr>
      </w:pPr>
      <w:r>
        <w:rPr>
          <w:rFonts w:ascii="Arial" w:cs="Arial" w:eastAsia="Arial" w:hAnsi="Arial"/>
          <w:sz w:val="17"/>
          <w:szCs w:val="17"/>
          <w:color w:val="auto"/>
        </w:rPr>
        <w:t>In July 2011, NORI was granted the NORI Exploration Contract. The NORI Exploration Contract, which was granted pursuant to the ISA’s Regulations on Prospecting and Exploration for Polymetallic Nodules in the international seabed area (the “Regulations”), formalized a 74,830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exploration area, has an initial term of 15 years (subject to renewal for successive five-year periods), and provided for certain obligations with respect to exploration, training, and other programs of activities for the initial period of five-year period. The NORI Exploration Contract also formalized the rights of NORI around future rights. Pursuant to the Regulations, NORI has the priority right to apply for an ISA Exploitation Contract to collect polymetallic nodules in the same area (Regulation 24(2)). To date, no exploitation licenses for extracting minerals from the seafloor within the Area have been granted. The ISA is currently working on the development of a legal framework to regulate the exploitation of polymetallic nodules in the Area, as described below. ISA participants set an intention of July 2020 to have the regulations finalized; however, the July 2020 session was deferred as a result of the COVID-19 pandemic.</w:t>
      </w:r>
    </w:p>
    <w:p>
      <w:pPr>
        <w:spacing w:after="0" w:line="10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9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 June 25, 2021, the Republic of Nauru submitted its notice to the ISA requesting that it complete,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 scale polymetallic nodule collection.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99"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For more information about UNCLOS, the ISA and the NORI Exploration Contract, see “</w:t>
      </w:r>
      <w:r>
        <w:rPr>
          <w:rFonts w:ascii="Arial" w:cs="Arial" w:eastAsia="Arial" w:hAnsi="Arial"/>
          <w:sz w:val="18"/>
          <w:szCs w:val="18"/>
          <w:i w:val="1"/>
          <w:iCs w:val="1"/>
          <w:color w:val="auto"/>
        </w:rPr>
        <w:t>Business of</w:t>
      </w:r>
      <w:r>
        <w:rPr>
          <w:rFonts w:ascii="Arial" w:cs="Arial" w:eastAsia="Arial" w:hAnsi="Arial"/>
          <w:sz w:val="18"/>
          <w:szCs w:val="18"/>
          <w:color w:val="auto"/>
        </w:rPr>
        <w:t xml:space="preserve"> </w:t>
      </w:r>
      <w:r>
        <w:rPr>
          <w:rFonts w:ascii="Arial" w:cs="Arial" w:eastAsia="Arial" w:hAnsi="Arial"/>
          <w:sz w:val="18"/>
          <w:szCs w:val="18"/>
          <w:i w:val="1"/>
          <w:iCs w:val="1"/>
          <w:color w:val="auto"/>
        </w:rPr>
        <w:t>TMC — Government Regulation — The NORI Exploration Contract.</w:t>
      </w:r>
      <w:r>
        <w:rPr>
          <w:rFonts w:ascii="Arial" w:cs="Arial" w:eastAsia="Arial" w:hAnsi="Arial"/>
          <w:sz w:val="18"/>
          <w:szCs w:val="18"/>
          <w:color w:val="auto"/>
        </w:rPr>
        <w: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NORI obligations and sponsorship</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exploration, NORI, is required under the NORI Sponsorship Agreement to, among other things:</w:t>
      </w:r>
    </w:p>
    <w:p>
      <w:pPr>
        <w:spacing w:after="0" w:line="167" w:lineRule="exact"/>
        <w:rPr>
          <w:sz w:val="20"/>
          <w:szCs w:val="20"/>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submit an annual report to the ISA;</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meet certain performance and expenditure commitments;</w:t>
      </w:r>
    </w:p>
    <w:p>
      <w:pPr>
        <w:spacing w:after="0" w:line="130"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an annual overhead charge (currently $60,000) to cover the costs incurred by the ISA in administering and supervising the contract;</w:t>
      </w:r>
    </w:p>
    <w:p>
      <w:pPr>
        <w:spacing w:after="0" w:line="89" w:lineRule="exact"/>
        <w:rPr>
          <w:rFonts w:ascii="Arial" w:cs="Arial" w:eastAsia="Arial" w:hAnsi="Arial"/>
          <w:sz w:val="18"/>
          <w:szCs w:val="18"/>
          <w:color w:val="auto"/>
        </w:rPr>
      </w:pPr>
    </w:p>
    <w:p>
      <w:pPr>
        <w:ind w:left="1320" w:right="559" w:hanging="434"/>
        <w:spacing w:after="0" w:line="308" w:lineRule="auto"/>
        <w:tabs>
          <w:tab w:leader="none" w:pos="1311" w:val="left"/>
        </w:tabs>
        <w:numPr>
          <w:ilvl w:val="0"/>
          <w:numId w:val="40"/>
        </w:numPr>
        <w:rPr>
          <w:rFonts w:ascii="Arial" w:cs="Arial" w:eastAsia="Arial" w:hAnsi="Arial"/>
          <w:sz w:val="17"/>
          <w:szCs w:val="17"/>
          <w:color w:val="auto"/>
        </w:rPr>
      </w:pPr>
      <w:r>
        <w:rPr>
          <w:rFonts w:ascii="Arial" w:cs="Arial" w:eastAsia="Arial" w:hAnsi="Arial"/>
          <w:sz w:val="17"/>
          <w:szCs w:val="17"/>
          <w:color w:val="auto"/>
        </w:rPr>
        <w:t>implement training programs for personnel of the ISA and developing countries in accordance with a training program proposed by NORI in its license application and five-year work plans;</w:t>
      </w:r>
    </w:p>
    <w:p>
      <w:pPr>
        <w:spacing w:after="0" w:line="51" w:lineRule="exact"/>
        <w:rPr>
          <w:rFonts w:ascii="Arial" w:cs="Arial" w:eastAsia="Arial" w:hAnsi="Arial"/>
          <w:sz w:val="17"/>
          <w:szCs w:val="17"/>
          <w:color w:val="auto"/>
        </w:rPr>
      </w:pPr>
    </w:p>
    <w:p>
      <w:pPr>
        <w:ind w:left="1320" w:right="499" w:hanging="434"/>
        <w:spacing w:after="0" w:line="27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take measures to prevent, reduce, and control pollution and other hazards to the marine environment arising from its activities in the Area;</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 appropriate insurance policies;</w:t>
      </w:r>
    </w:p>
    <w:p>
      <w:pPr>
        <w:spacing w:after="0" w:line="144"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environmental baselines against which to assess the likely effects of its program of activities on the marine environment;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and implement a program to monitor and report on such effects.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39" w:firstLine="432"/>
        <w:spacing w:after="0" w:line="257" w:lineRule="auto"/>
        <w:rPr>
          <w:sz w:val="20"/>
          <w:szCs w:val="20"/>
          <w:color w:val="auto"/>
        </w:rPr>
      </w:pPr>
      <w:r>
        <w:rPr>
          <w:rFonts w:ascii="Arial" w:cs="Arial" w:eastAsia="Arial" w:hAnsi="Arial"/>
          <w:sz w:val="18"/>
          <w:szCs w:val="18"/>
          <w:color w:val="auto"/>
        </w:rPr>
        <w:t>NORI is sponsored to carry out its mineral exploration activities in the Area by Nauru, pursuant to a certificate of sponsorship signed by the Government of Nauru on April 11, 2011. Sponsorship of an entity requires the sponsoring State to certify that it assumes responsibility for the entity’s activities in the Area in accordance with UNCLOS. NORI is a Nauruan incorporated entity and is subject to applicable Nauruan legislation and regulations.</w:t>
      </w:r>
    </w:p>
    <w:p>
      <w:pPr>
        <w:spacing w:after="0" w:line="120" w:lineRule="exact"/>
        <w:rPr>
          <w:sz w:val="20"/>
          <w:szCs w:val="20"/>
          <w:color w:val="auto"/>
        </w:rPr>
      </w:pPr>
    </w:p>
    <w:p>
      <w:pPr>
        <w:ind w:left="460" w:right="979" w:firstLine="432"/>
        <w:spacing w:after="0" w:line="263" w:lineRule="auto"/>
        <w:rPr>
          <w:sz w:val="20"/>
          <w:szCs w:val="20"/>
          <w:color w:val="auto"/>
        </w:rPr>
      </w:pPr>
      <w:r>
        <w:rPr>
          <w:rFonts w:ascii="Arial" w:cs="Arial" w:eastAsia="Arial" w:hAnsi="Arial"/>
          <w:sz w:val="18"/>
          <w:szCs w:val="18"/>
          <w:color w:val="auto"/>
        </w:rPr>
        <w:t>In 2015, Nauru enacted the International Seabed Minerals Act, which establishes the Nauru Seabed Minerals Authority to administer Nauru’s sponsorship of activities carried out in the Area by companies sponsored by Nauru.</w:t>
      </w:r>
    </w:p>
    <w:p>
      <w:pPr>
        <w:spacing w:after="0" w:line="116"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In June 2017, Nauru and NORI entered into the NORI Sponsorship Agreement formalizing certain obligations of the parties in relation to NORI’s exploration and potential exploitation of the NORI Contract Area of the CCZ.</w:t>
      </w:r>
    </w:p>
    <w:p>
      <w:pPr>
        <w:spacing w:after="0" w:line="103"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In 2016, NORI submitted to the ISA proposed activities for the second five-year period of its exploration contract. NORI indicated that work would focus on:</w:t>
      </w:r>
    </w:p>
    <w:p>
      <w:pPr>
        <w:spacing w:after="0" w:line="103" w:lineRule="exact"/>
        <w:rPr>
          <w:sz w:val="20"/>
          <w:szCs w:val="20"/>
          <w:color w:val="auto"/>
        </w:rPr>
      </w:pPr>
    </w:p>
    <w:p>
      <w:pPr>
        <w:ind w:left="1300" w:hanging="41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reducing project uncertainties and technical risks;</w:t>
      </w:r>
    </w:p>
    <w:p>
      <w:pPr>
        <w:spacing w:after="0" w:line="157" w:lineRule="exact"/>
        <w:rPr>
          <w:rFonts w:ascii="Arial" w:cs="Arial" w:eastAsia="Arial" w:hAnsi="Arial"/>
          <w:sz w:val="18"/>
          <w:szCs w:val="18"/>
          <w:color w:val="auto"/>
        </w:rPr>
      </w:pPr>
    </w:p>
    <w:p>
      <w:pPr>
        <w:ind w:left="1320" w:right="1159" w:hanging="434"/>
        <w:spacing w:after="0" w:line="277"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optimizing the on-shore processing and off-shore production systems (including increasing performance and reliability); and</w:t>
      </w:r>
    </w:p>
    <w:p>
      <w:pPr>
        <w:spacing w:after="0" w:line="89"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improving project economics, including decreasing estimated capital and operating expenditure as well as increasing projected revenues.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Royalties and taxes</w:t>
      </w:r>
    </w:p>
    <w:p>
      <w:pPr>
        <w:spacing w:after="0" w:line="158"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Royalties and taxes payable on any future production from the NORI Area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94"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An ad hoc ISA working group workshop has met several times including most recently in February 2020 to discuss a number of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 These amounts were used for the economic analysis included in the initial assessment included in the NORI Technical Report Summary.</w:t>
      </w:r>
    </w:p>
    <w:p>
      <w:pPr>
        <w:spacing w:after="0" w:line="97"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Under the NORI Sponsorship Agreement between Nauru and NORI, upon reaching a minimum recovery level within the tenement area, NORI has agreed to pay Nauru a seabed mineral recovery payment for polymetallic nodules recovered from the tenement area, annually adjusted (from year 5 of production) on a compounding basis based on the official inflation rate in the United States.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History of previous exploration activities in the NORI Contract Area</w:t>
      </w:r>
    </w:p>
    <w:p>
      <w:pPr>
        <w:spacing w:after="0" w:line="158"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devices, along with submersible pumps and airlift technology for lifting the nodules from the deep ocean floor to the support vessel. Certain pioneer investors include those entities that carried out substantial exploration in the Area prior to the entry into force of UNCLOS, as well as those entities that inherited such exploration data.</w:t>
      </w:r>
    </w:p>
    <w:p>
      <w:pPr>
        <w:spacing w:after="0" w:line="110"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 of water. Approximately 800 tonnes of nodules were recovered.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19"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Using a different system to OMI, Ocean Mining Associates recovered approximately 500 tonnes of nodules during its trial collection in the 1970s.</w:t>
      </w:r>
    </w:p>
    <w:p>
      <w:pPr>
        <w:spacing w:after="0" w:line="103" w:lineRule="exact"/>
        <w:rPr>
          <w:sz w:val="20"/>
          <w:szCs w:val="20"/>
          <w:color w:val="auto"/>
        </w:rPr>
      </w:pPr>
    </w:p>
    <w:p>
      <w:pPr>
        <w:ind w:left="460" w:right="899" w:firstLine="432"/>
        <w:spacing w:after="0" w:line="263" w:lineRule="auto"/>
        <w:rPr>
          <w:sz w:val="20"/>
          <w:szCs w:val="20"/>
          <w:color w:val="auto"/>
        </w:rPr>
      </w:pPr>
      <w:r>
        <w:rPr>
          <w:rFonts w:ascii="Arial" w:cs="Arial" w:eastAsia="Arial" w:hAnsi="Arial"/>
          <w:sz w:val="18"/>
          <w:szCs w:val="18"/>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03"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94"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99"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68"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See Section 5 of the NORI Technical Report Summary for further specific information of the history of previous exploration of the NORI Contract Area.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Geology and sampling</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Seafloor polymetallic nodules occur in all oceans but the CCZ hosts a relatively high abundance of high Ni and Cu grade nodules. The CCZ seafloor forms part of the Abyssal Plains, which are the largest physiographic province on Earth.</w:t>
      </w:r>
    </w:p>
    <w:p>
      <w:pPr>
        <w:spacing w:after="0" w:line="116"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average depth of the seafloor in the Project Area is 3,800 to 4,200 m. Overall, the seafloor slopes at approximately 0.57˚ (1 m per km) but the Abyssal Plains are traversed by ridges, with amplitude of 50 to 300 m (maximum 1,000 m) and wavelength of 1 to 10 km. The Abyssal Plains are punctuated by extinct volcanoes rising 500 to 2,000 m above the seafloor.</w:t>
      </w:r>
    </w:p>
    <w:p>
      <w:pPr>
        <w:spacing w:after="0" w:line="106" w:lineRule="exact"/>
        <w:rPr>
          <w:sz w:val="20"/>
          <w:szCs w:val="20"/>
          <w:color w:val="auto"/>
        </w:rPr>
      </w:pPr>
    </w:p>
    <w:p>
      <w:pPr>
        <w:jc w:val="both"/>
        <w:ind w:left="460" w:right="519" w:firstLine="432"/>
        <w:spacing w:after="0" w:line="279" w:lineRule="auto"/>
        <w:rPr>
          <w:sz w:val="20"/>
          <w:szCs w:val="20"/>
          <w:color w:val="auto"/>
        </w:rPr>
      </w:pPr>
      <w:r>
        <w:rPr>
          <w:rFonts w:ascii="Arial" w:cs="Arial" w:eastAsia="Arial" w:hAnsi="Arial"/>
          <w:sz w:val="17"/>
          <w:szCs w:val="17"/>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04"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Nodules are abundant in abyssal areas with oxygenated bottom waters and low sedimentation rates (less than 10 cm per thousand years). Nodules generally range from about 1 to 12 cm in their longest dimension. Nodules of 1 to 5 cm are typically the most common in NORI Area D, where they have been classified as Type 1 nodules.</w:t>
      </w:r>
    </w:p>
    <w:p>
      <w:pPr>
        <w:spacing w:after="0" w:line="119"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The specific conditions of the CCZ (water depth, latitude, and seafloor sediment type) are considered to be the key controls for the formation of polymetallic nodules.</w:t>
      </w:r>
    </w:p>
    <w:p>
      <w:pPr>
        <w:spacing w:after="0" w:line="8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color w:val="auto"/>
        </w:rPr>
        <w:t>as part of its Geological Model Project during 2008 to 2010 (“ISA 2010”), are available. The data provide significant coverage over NORI Area D and indicate a high abundance of nodules in this region, as has been confirmed by NORI’s exploration.</w:t>
      </w:r>
    </w:p>
    <w:p>
      <w:pPr>
        <w:spacing w:after="0" w:line="116"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 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99"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NORI completed offshore exploration campaigns in 2012, 2013, 2018, 2019 and 2020. During these campaigns a variety of data was collected including:</w:t>
      </w:r>
    </w:p>
    <w:p>
      <w:pPr>
        <w:spacing w:after="0" w:line="89" w:lineRule="exact"/>
        <w:rPr>
          <w:sz w:val="20"/>
          <w:szCs w:val="20"/>
          <w:color w:val="auto"/>
        </w:rPr>
      </w:pPr>
    </w:p>
    <w:p>
      <w:pPr>
        <w:ind w:left="1320" w:right="919" w:hanging="434"/>
        <w:spacing w:after="0" w:line="311" w:lineRule="auto"/>
        <w:tabs>
          <w:tab w:leader="none" w:pos="1311"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bathymetric mapping of the whole of NORI Area D using a hull-mounted Kongsberg Simrad EM120 12 kHz, full-ocean depth multibeam echo-sounding system (MBES). This system also provided backscatter data with which seafloor characteristics could be interpreted;</w:t>
      </w:r>
    </w:p>
    <w:p>
      <w:pPr>
        <w:spacing w:after="0" w:line="81" w:lineRule="exact"/>
        <w:rPr>
          <w:rFonts w:ascii="Arial" w:cs="Arial" w:eastAsia="Arial" w:hAnsi="Arial"/>
          <w:sz w:val="16"/>
          <w:szCs w:val="16"/>
          <w:color w:val="auto"/>
        </w:rPr>
      </w:pPr>
    </w:p>
    <w:p>
      <w:pPr>
        <w:ind w:left="1320" w:right="619" w:hanging="434"/>
        <w:spacing w:after="0" w:line="277"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detailed seafloor survey work with an autonomous underwater vehicle (AUV), utilizing an MBES, Side Scan Sonar (SSS), Sub-Bottom Profiler (SBP), and camera payload; and</w:t>
      </w:r>
    </w:p>
    <w:p>
      <w:pPr>
        <w:spacing w:after="0" w:line="102" w:lineRule="exact"/>
        <w:rPr>
          <w:rFonts w:ascii="Arial" w:cs="Arial" w:eastAsia="Arial" w:hAnsi="Arial"/>
          <w:sz w:val="18"/>
          <w:szCs w:val="18"/>
          <w:color w:val="auto"/>
        </w:rPr>
      </w:pPr>
    </w:p>
    <w:p>
      <w:pPr>
        <w:ind w:left="1320" w:right="719" w:hanging="434"/>
        <w:spacing w:after="0" w:line="250"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total of 252 box core samples collected using a 0.75 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box corer, mainly on a 10 km by 10 km square grid.</w:t>
      </w:r>
    </w:p>
    <w:p>
      <w:pPr>
        <w:spacing w:after="0" w:line="112"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0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20"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For more information about the NORI exploration campaigns in 2012, 2013, 2018, 2019 and 2020, see Section 7 of the NORI Technical Report Summary.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Mineral resource estimate</w:t>
      </w:r>
    </w:p>
    <w:p>
      <w:pPr>
        <w:spacing w:after="0" w:line="144"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16"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19"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The bathymetric mapping enabled the interpretation of parts of seafloor that are possibly too steep for recovery of nodules using the systems considered by the NORI Technical Report Summary. Seafloor areas with slopes steeper than 6° were excised from the 2020 mineral resource estimate.</w:t>
      </w:r>
    </w:p>
    <w:p>
      <w:pPr>
        <w:spacing w:after="0" w:line="84"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The measured mineral resource was assigned to the area within NORI Area D where box-core sampling was conducted on a nominal 7 km by 7 km spacing and infilled with estimates of nodule abundance from seafloor photography to a spacing of 3.5 km by 3.5 km.</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indicated mineral resource was assigned to the area within NORI Area D where box-core sampling was conducted on a nominal spacing of 7 km by 7 km or 10 km by 10 km but without additional photo-estimates of nodule abundance.</w:t>
      </w:r>
    </w:p>
    <w:p>
      <w:pPr>
        <w:spacing w:after="0" w:line="116" w:lineRule="exact"/>
        <w:rPr>
          <w:sz w:val="20"/>
          <w:szCs w:val="20"/>
          <w:color w:val="auto"/>
        </w:rPr>
      </w:pPr>
    </w:p>
    <w:p>
      <w:pPr>
        <w:ind w:left="460" w:right="619" w:firstLine="432"/>
        <w:spacing w:after="0" w:line="311" w:lineRule="auto"/>
        <w:rPr>
          <w:sz w:val="20"/>
          <w:szCs w:val="20"/>
          <w:color w:val="auto"/>
        </w:rPr>
      </w:pPr>
      <w:r>
        <w:rPr>
          <w:rFonts w:ascii="Arial" w:cs="Arial" w:eastAsia="Arial" w:hAnsi="Arial"/>
          <w:sz w:val="16"/>
          <w:szCs w:val="16"/>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mineral resource estimate for NORI Area D, with an effective date of December 31, 2020, and at a 4</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kg/m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abundance cut-off is set forth below. This cut-off is derived from the estimates of costs and revenues</w:t>
      </w:r>
    </w:p>
    <w:p>
      <w:pPr>
        <w:ind w:left="460"/>
        <w:spacing w:after="0"/>
        <w:rPr>
          <w:sz w:val="20"/>
          <w:szCs w:val="20"/>
          <w:color w:val="auto"/>
        </w:rPr>
      </w:pPr>
      <w:r>
        <w:rPr>
          <w:rFonts w:ascii="Arial" w:cs="Arial" w:eastAsia="Arial" w:hAnsi="Arial"/>
          <w:sz w:val="17"/>
          <w:szCs w:val="17"/>
          <w:color w:val="auto"/>
        </w:rPr>
        <w:t>presented in the NORI Technical Report Summary, generalized as follows: 1.7 Mt minimum annual tonnage</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mined; $0.25 Million/km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for offshore operating costs; 1,036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collected area processed; $95/dry tonne for</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transport costs; $119/dry tonne for processing costs; $15/dry tonne for corporate, general and administrative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costs; $33/dry tonne for ISA and state royalties; 95% recovery of nickel at an assumed price of nickel metal</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$16,472/t; 86% recovery of copper at an assumed price of $6,872/t copper metal; 77% recovery of cobalt at an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assumed price of $46,333/t cobalt metal; and 99% recovery of manganese at an assumed price of $4.50/dmtu</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manganese in manganese silicate. The method of calculation for the cut-off determines the minimum average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nodule abundance needed during steady state operations such that the revenue minus costs (excluding capital) 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greater than zero. Revenue includes metal pricing and metallurgical processing recoveries, and the costs include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collection, transport, processing, corporate costs and royalties.</w:t>
      </w:r>
    </w:p>
    <w:p>
      <w:pPr>
        <w:spacing w:after="0" w:line="207" w:lineRule="exact"/>
        <w:rPr>
          <w:sz w:val="20"/>
          <w:szCs w:val="20"/>
          <w:color w:val="auto"/>
        </w:rPr>
      </w:pPr>
    </w:p>
    <w:p>
      <w:pPr>
        <w:ind w:left="880" w:right="1279"/>
        <w:spacing w:after="0" w:line="253" w:lineRule="auto"/>
        <w:rPr>
          <w:sz w:val="20"/>
          <w:szCs w:val="20"/>
          <w:color w:val="auto"/>
        </w:rPr>
      </w:pPr>
      <w:r>
        <w:rPr>
          <w:rFonts w:ascii="Arial" w:cs="Arial" w:eastAsia="Arial" w:hAnsi="Arial"/>
          <w:sz w:val="18"/>
          <w:szCs w:val="18"/>
          <w:b w:val="1"/>
          <w:bCs w:val="1"/>
          <w:color w:val="auto"/>
        </w:rPr>
        <w:t>NORI December 31, 2020 In-Situ Mineral Resource estimate for NORI Area D at 4 kg/m</w:t>
      </w:r>
      <w:r>
        <w:rPr>
          <w:rFonts w:ascii="Arial" w:cs="Arial" w:eastAsia="Arial" w:hAnsi="Arial"/>
          <w:sz w:val="20"/>
          <w:szCs w:val="20"/>
          <w:b w:val="1"/>
          <w:bCs w:val="1"/>
          <w:color w:val="auto"/>
          <w:vertAlign w:val="superscript"/>
        </w:rPr>
        <w:t>2</w:t>
      </w:r>
      <w:r>
        <w:rPr>
          <w:rFonts w:ascii="Arial" w:cs="Arial" w:eastAsia="Arial" w:hAnsi="Arial"/>
          <w:sz w:val="18"/>
          <w:szCs w:val="18"/>
          <w:b w:val="1"/>
          <w:bCs w:val="1"/>
          <w:color w:val="auto"/>
        </w:rPr>
        <w:t xml:space="preserve"> abundance cut-off</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Tonnes</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9"/>
              </w:rPr>
              <w:t>Abundance</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Nickel</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Copper</w:t>
            </w:r>
          </w:p>
        </w:tc>
        <w:tc>
          <w:tcPr>
            <w:tcW w:w="760" w:type="dxa"/>
            <w:vAlign w:val="bottom"/>
            <w:gridSpan w:val="2"/>
          </w:tcPr>
          <w:p>
            <w:pPr>
              <w:ind w:left="80"/>
              <w:spacing w:after="0"/>
              <w:rPr>
                <w:sz w:val="20"/>
                <w:szCs w:val="20"/>
                <w:color w:val="auto"/>
              </w:rPr>
            </w:pPr>
            <w:r>
              <w:rPr>
                <w:rFonts w:ascii="Arial" w:cs="Arial" w:eastAsia="Arial" w:hAnsi="Arial"/>
                <w:sz w:val="16"/>
                <w:szCs w:val="16"/>
                <w:b w:val="1"/>
                <w:bCs w:val="1"/>
                <w:color w:val="auto"/>
              </w:rPr>
              <w:t>Cobalt</w:t>
            </w: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Manganese</w:t>
            </w:r>
          </w:p>
        </w:tc>
        <w:tc>
          <w:tcPr>
            <w:tcW w:w="780" w:type="dxa"/>
            <w:vAlign w:val="bottom"/>
          </w:tcPr>
          <w:p>
            <w:pPr>
              <w:jc w:val="right"/>
              <w:ind w:right="95"/>
              <w:spacing w:after="0"/>
              <w:rPr>
                <w:sz w:val="20"/>
                <w:szCs w:val="20"/>
                <w:color w:val="auto"/>
              </w:rPr>
            </w:pPr>
            <w:r>
              <w:rPr>
                <w:rFonts w:ascii="Arial" w:cs="Arial" w:eastAsia="Arial" w:hAnsi="Arial"/>
                <w:sz w:val="16"/>
                <w:szCs w:val="16"/>
                <w:b w:val="1"/>
                <w:bCs w:val="1"/>
                <w:color w:val="auto"/>
              </w:rPr>
              <w:t>Silicon</w:t>
            </w:r>
          </w:p>
        </w:tc>
      </w:tr>
      <w:tr>
        <w:trPr>
          <w:trHeight w:val="253"/>
        </w:trPr>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NORI Area</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Category</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(Mt (wet))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0"/>
              </w:rPr>
              <w:t>(wet kg/m</w:t>
            </w:r>
            <w:r>
              <w:rPr>
                <w:rFonts w:ascii="Arial" w:cs="Arial" w:eastAsia="Arial" w:hAnsi="Arial"/>
                <w:sz w:val="18"/>
                <w:szCs w:val="18"/>
                <w:b w:val="1"/>
                <w:bCs w:val="1"/>
                <w:color w:val="auto"/>
                <w:w w:val="90"/>
                <w:vertAlign w:val="superscript"/>
              </w:rPr>
              <w:t>2</w:t>
            </w:r>
            <w:r>
              <w:rPr>
                <w:rFonts w:ascii="Arial" w:cs="Arial" w:eastAsia="Arial" w:hAnsi="Arial"/>
                <w:sz w:val="16"/>
                <w:szCs w:val="16"/>
                <w:b w:val="1"/>
                <w:bCs w:val="1"/>
                <w:color w:val="auto"/>
                <w:w w:val="90"/>
              </w:rPr>
              <w:t>)</w:t>
            </w:r>
          </w:p>
        </w:tc>
        <w:tc>
          <w:tcPr>
            <w:tcW w:w="640" w:type="dxa"/>
            <w:vAlign w:val="bottom"/>
          </w:tcPr>
          <w:p>
            <w:pPr>
              <w:jc w:val="right"/>
              <w:ind w:right="9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660" w:type="dxa"/>
            <w:vAlign w:val="bottom"/>
          </w:tcPr>
          <w:p>
            <w:pPr>
              <w:jc w:val="right"/>
              <w:ind w:right="11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660" w:type="dxa"/>
            <w:vAlign w:val="bottom"/>
          </w:tcPr>
          <w:p>
            <w:pPr>
              <w:jc w:val="right"/>
              <w:ind w:right="11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820" w:type="dxa"/>
            <w:vAlign w:val="bottom"/>
          </w:tcPr>
          <w:p>
            <w:pPr>
              <w:jc w:val="right"/>
              <w:ind w:right="19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780" w:type="dxa"/>
            <w:vAlign w:val="bottom"/>
          </w:tcPr>
          <w:p>
            <w:pPr>
              <w:jc w:val="right"/>
              <w:ind w:right="175"/>
              <w:spacing w:after="0"/>
              <w:rPr>
                <w:sz w:val="20"/>
                <w:szCs w:val="20"/>
                <w:color w:val="auto"/>
              </w:rPr>
            </w:pPr>
            <w:r>
              <w:rPr>
                <w:rFonts w:ascii="Arial" w:cs="Arial" w:eastAsia="Arial" w:hAnsi="Arial"/>
                <w:sz w:val="16"/>
                <w:szCs w:val="16"/>
                <w:b w:val="1"/>
                <w:bCs w:val="1"/>
                <w:color w:val="auto"/>
              </w:rPr>
              <w:t>(%)</w:t>
            </w:r>
          </w:p>
        </w:tc>
      </w:tr>
      <w:tr>
        <w:trPr>
          <w:trHeight w:val="248"/>
        </w:trPr>
        <w:tc>
          <w:tcPr>
            <w:tcW w:w="10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Measured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79"/>
              </w:rPr>
              <w:t>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43"/>
        </w:trPr>
        <w:tc>
          <w:tcPr>
            <w:tcW w:w="1140" w:type="dxa"/>
            <w:vAlign w:val="bottom"/>
            <w:gridSpan w:val="2"/>
          </w:tcPr>
          <w:p>
            <w:pPr>
              <w:spacing w:after="0"/>
              <w:rPr>
                <w:sz w:val="20"/>
                <w:szCs w:val="20"/>
                <w:color w:val="auto"/>
              </w:rPr>
            </w:pPr>
            <w:r>
              <w:rPr>
                <w:rFonts w:ascii="Arial" w:cs="Arial" w:eastAsia="Arial" w:hAnsi="Arial"/>
                <w:sz w:val="18"/>
                <w:szCs w:val="18"/>
                <w:color w:val="auto"/>
              </w:rPr>
              <w:t>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Indicated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31.2</w:t>
            </w:r>
          </w:p>
        </w:tc>
        <w:tc>
          <w:tcPr>
            <w:tcW w:w="780" w:type="dxa"/>
            <w:vAlign w:val="bottom"/>
          </w:tcPr>
          <w:p>
            <w:pPr>
              <w:jc w:val="right"/>
              <w:spacing w:after="0"/>
              <w:rPr>
                <w:sz w:val="20"/>
                <w:szCs w:val="20"/>
                <w:color w:val="auto"/>
              </w:rPr>
            </w:pPr>
            <w:r>
              <w:rPr>
                <w:rFonts w:ascii="Arial" w:cs="Arial" w:eastAsia="Arial" w:hAnsi="Arial"/>
                <w:sz w:val="18"/>
                <w:szCs w:val="18"/>
                <w:color w:val="auto"/>
              </w:rPr>
              <w:t>5.46</w:t>
            </w:r>
          </w:p>
        </w:tc>
      </w:tr>
    </w:tbl>
    <w:p>
      <w:pPr>
        <w:spacing w:after="0" w:line="26" w:lineRule="exact"/>
        <w:rPr>
          <w:sz w:val="20"/>
          <w:szCs w:val="20"/>
          <w:color w:val="auto"/>
        </w:rPr>
      </w:pPr>
    </w:p>
    <w:p>
      <w:pPr>
        <w:ind w:left="1740" w:hanging="1286"/>
        <w:spacing w:after="0"/>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Measured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300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1700" w:type="dxa"/>
            <w:vAlign w:val="bottom"/>
          </w:tcPr>
          <w:p>
            <w:pPr>
              <w:jc w:val="center"/>
              <w:ind w:left="130"/>
              <w:spacing w:after="0"/>
              <w:rPr>
                <w:sz w:val="20"/>
                <w:szCs w:val="20"/>
                <w:color w:val="auto"/>
              </w:rPr>
            </w:pPr>
            <w:r>
              <w:rPr>
                <w:rFonts w:ascii="Arial" w:cs="Arial" w:eastAsia="Arial" w:hAnsi="Arial"/>
                <w:sz w:val="18"/>
                <w:szCs w:val="18"/>
                <w:color w:val="auto"/>
                <w:w w:val="93"/>
              </w:rPr>
              <w:t>Indicated</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345</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17.1</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1.40</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0.14</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31.2</w:t>
            </w:r>
          </w:p>
        </w:tc>
        <w:tc>
          <w:tcPr>
            <w:tcW w:w="60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D</w:t>
            </w:r>
          </w:p>
        </w:tc>
        <w:tc>
          <w:tcPr>
            <w:tcW w:w="1700" w:type="dxa"/>
            <w:vAlign w:val="bottom"/>
          </w:tcPr>
          <w:p>
            <w:pPr>
              <w:jc w:val="center"/>
              <w:ind w:left="150"/>
              <w:spacing w:after="0"/>
              <w:rPr>
                <w:sz w:val="20"/>
                <w:szCs w:val="20"/>
                <w:color w:val="auto"/>
              </w:rPr>
            </w:pPr>
            <w:r>
              <w:rPr>
                <w:rFonts w:ascii="Arial" w:cs="Arial" w:eastAsia="Arial" w:hAnsi="Arial"/>
                <w:sz w:val="18"/>
                <w:szCs w:val="18"/>
                <w:color w:val="auto"/>
                <w:w w:val="93"/>
              </w:rPr>
              <w:t>Inferred</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15.6</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1.38</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0.12</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31.0</w:t>
            </w:r>
          </w:p>
        </w:tc>
        <w:tc>
          <w:tcPr>
            <w:tcW w:w="600" w:type="dxa"/>
            <w:vAlign w:val="bottom"/>
          </w:tcPr>
          <w:p>
            <w:pPr>
              <w:jc w:val="right"/>
              <w:spacing w:after="0"/>
              <w:rPr>
                <w:sz w:val="20"/>
                <w:szCs w:val="20"/>
                <w:color w:val="auto"/>
              </w:rPr>
            </w:pPr>
            <w:r>
              <w:rPr>
                <w:rFonts w:ascii="Arial" w:cs="Arial" w:eastAsia="Arial" w:hAnsi="Arial"/>
                <w:sz w:val="18"/>
                <w:szCs w:val="18"/>
                <w:color w:val="auto"/>
              </w:rPr>
              <w:t>5.50</w:t>
            </w:r>
          </w:p>
        </w:tc>
      </w:tr>
    </w:tbl>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460" w:right="619"/>
        <w:spacing w:after="0" w:line="276" w:lineRule="auto"/>
        <w:rPr>
          <w:sz w:val="20"/>
          <w:szCs w:val="20"/>
          <w:color w:val="auto"/>
        </w:rPr>
      </w:pPr>
      <w:r>
        <w:rPr>
          <w:rFonts w:ascii="Arial" w:cs="Arial" w:eastAsia="Arial" w:hAnsi="Arial"/>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13" w:lineRule="exact"/>
        <w:rPr>
          <w:sz w:val="20"/>
          <w:szCs w:val="20"/>
          <w:color w:val="auto"/>
        </w:rPr>
      </w:pPr>
    </w:p>
    <w:p>
      <w:pPr>
        <w:ind w:left="460" w:right="519" w:firstLine="432"/>
        <w:spacing w:after="0" w:line="250" w:lineRule="auto"/>
        <w:rPr>
          <w:sz w:val="20"/>
          <w:szCs w:val="20"/>
          <w:color w:val="auto"/>
        </w:rPr>
      </w:pPr>
      <w:r>
        <w:rPr>
          <w:rFonts w:ascii="Arial" w:cs="Arial" w:eastAsia="Arial" w:hAnsi="Arial"/>
          <w:sz w:val="18"/>
          <w:szCs w:val="18"/>
          <w:color w:val="auto"/>
        </w:rPr>
        <w:t>Due to the extremely low variance in the grades and the high metal content of the nodules, a cut-off based on abundance is appropriate for determining the limits of economic exploitation. A cut-off of 4 kg/m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abundance was chosen for the NORI Contract Area, based on the estimates of costs and revenues presented in the initial assessment contained in the NORI Technical Report Summary. The metal prices assumed in the calculation of the cut-off were: nickel metal $16,472/t; nickel in nickel sulphate $18,807/t Ni; copper metal $6,872/t; cobalt metal $46,333/t; cobalt in cobalt sulphate $56,920/t Co; manganese in manganese silicate $4.50/dmtu. The price estimates are long term (2034 – 2046) forecasts provided in a report by CRU International Limited (CRU, October 23, 2020). The Qualified Person considers that this timeframe is reasonable in view of the likely time required to bring the majority of the NORI mineral resources into production.</w:t>
      </w:r>
    </w:p>
    <w:p>
      <w:pPr>
        <w:spacing w:after="0" w:line="12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Sampling of NORI Area D at a spacing of 10 km by 10 km during the 2019 campaign confirmed that the nodules have low variability and high continuity. The 2020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2020 resource estimate is also slightly higher in abundance (5.4% higher), and nickel (6.1% higher), cobalt (5.4% higher) and manganese (2.2% higher) grades than the 2018 estimate.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0" w:lineRule="auto"/>
        <w:rPr>
          <w:sz w:val="20"/>
          <w:szCs w:val="20"/>
          <w:color w:val="auto"/>
        </w:rPr>
      </w:pPr>
      <w:r>
        <w:rPr>
          <w:rFonts w:ascii="Arial" w:cs="Arial" w:eastAsia="Arial" w:hAnsi="Arial"/>
          <w:sz w:val="18"/>
          <w:szCs w:val="18"/>
          <w:color w:val="auto"/>
        </w:rPr>
        <w:t>Comparison of the area covered by inferred, indicated and measured mineral resource for the 2020 estimate and the same area in the 2018 model shows that nickel grade has increased by 6% (1.32% to 1.40% Ni) while abundance has increased by 6% (16.0 to 17.0 kg/m</w:t>
      </w:r>
      <w:r>
        <w:rPr>
          <w:rFonts w:ascii="Arial" w:cs="Arial" w:eastAsia="Arial" w:hAnsi="Arial"/>
          <w:sz w:val="20"/>
          <w:szCs w:val="20"/>
          <w:color w:val="auto"/>
          <w:vertAlign w:val="superscript"/>
        </w:rPr>
        <w:t>2</w:t>
      </w:r>
      <w:r>
        <w:rPr>
          <w:rFonts w:ascii="Arial" w:cs="Arial" w:eastAsia="Arial" w:hAnsi="Arial"/>
          <w:sz w:val="18"/>
          <w:szCs w:val="18"/>
          <w:color w:val="auto"/>
        </w:rPr>
        <w:t>). Mineral resource tonnage has increased by 10% (from 10 to 11 Mt) in the inferred area and 7% (from 320 to 341 Mt) in the indicated area. The positive conversion rates arising from infilling the sampling grid with high-quality box core sample data (rather than extending the area sampled) are exceptionally high compared to the typical outcomes from infill sampling of terrestrial mineral deposits.</w:t>
      </w:r>
    </w:p>
    <w:p>
      <w:pPr>
        <w:spacing w:after="0" w:line="127" w:lineRule="exact"/>
        <w:rPr>
          <w:sz w:val="20"/>
          <w:szCs w:val="20"/>
          <w:color w:val="auto"/>
        </w:rPr>
      </w:pPr>
    </w:p>
    <w:p>
      <w:pPr>
        <w:ind w:left="460" w:right="519" w:firstLine="432"/>
        <w:spacing w:after="0" w:line="267" w:lineRule="auto"/>
        <w:rPr>
          <w:sz w:val="20"/>
          <w:szCs w:val="20"/>
          <w:color w:val="auto"/>
        </w:rPr>
      </w:pPr>
      <w:r>
        <w:rPr>
          <w:rFonts w:ascii="Arial" w:cs="Arial" w:eastAsia="Arial" w:hAnsi="Arial"/>
          <w:sz w:val="17"/>
          <w:szCs w:val="17"/>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at a 4 kg/m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176" w:lineRule="exact"/>
        <w:rPr>
          <w:sz w:val="20"/>
          <w:szCs w:val="20"/>
          <w:color w:val="auto"/>
        </w:rPr>
      </w:pPr>
    </w:p>
    <w:p>
      <w:pPr>
        <w:ind w:left="880" w:right="1359"/>
        <w:spacing w:after="0" w:line="253" w:lineRule="auto"/>
        <w:rPr>
          <w:sz w:val="20"/>
          <w:szCs w:val="20"/>
          <w:color w:val="auto"/>
        </w:rPr>
      </w:pPr>
      <w:r>
        <w:rPr>
          <w:rFonts w:ascii="Arial" w:cs="Arial" w:eastAsia="Arial" w:hAnsi="Arial"/>
          <w:sz w:val="18"/>
          <w:szCs w:val="18"/>
          <w:b w:val="1"/>
          <w:bCs w:val="1"/>
          <w:color w:val="auto"/>
        </w:rPr>
        <w:t>NORI Area A, B and C December 31, 2020 In-Situ Mineral Resource estimate at 4 kg/m</w:t>
      </w:r>
      <w:r>
        <w:rPr>
          <w:rFonts w:ascii="Arial" w:cs="Arial" w:eastAsia="Arial" w:hAnsi="Arial"/>
          <w:sz w:val="20"/>
          <w:szCs w:val="20"/>
          <w:b w:val="1"/>
          <w:bCs w:val="1"/>
          <w:color w:val="auto"/>
          <w:vertAlign w:val="superscript"/>
        </w:rPr>
        <w:t>2</w:t>
      </w:r>
      <w:r>
        <w:rPr>
          <w:rFonts w:ascii="Arial" w:cs="Arial" w:eastAsia="Arial" w:hAnsi="Arial"/>
          <w:sz w:val="18"/>
          <w:szCs w:val="18"/>
          <w:b w:val="1"/>
          <w:bCs w:val="1"/>
          <w:color w:val="auto"/>
        </w:rPr>
        <w:t xml:space="preserve"> abundance cut-off</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Nodule tonnage</w:t>
            </w: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Abundance</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Ni</w:t>
            </w:r>
          </w:p>
        </w:tc>
        <w:tc>
          <w:tcPr>
            <w:tcW w:w="8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Cu</w:t>
            </w:r>
          </w:p>
        </w:tc>
        <w:tc>
          <w:tcPr>
            <w:tcW w:w="8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Co</w:t>
            </w:r>
          </w:p>
        </w:tc>
        <w:tc>
          <w:tcPr>
            <w:tcW w:w="840" w:type="dxa"/>
            <w:vAlign w:val="bottom"/>
          </w:tcPr>
          <w:p>
            <w:pPr>
              <w:ind w:left="280"/>
              <w:spacing w:after="0"/>
              <w:rPr>
                <w:sz w:val="20"/>
                <w:szCs w:val="20"/>
                <w:color w:val="auto"/>
              </w:rPr>
            </w:pPr>
            <w:r>
              <w:rPr>
                <w:rFonts w:ascii="Arial" w:cs="Arial" w:eastAsia="Arial" w:hAnsi="Arial"/>
                <w:sz w:val="16"/>
                <w:szCs w:val="16"/>
                <w:b w:val="1"/>
                <w:bCs w:val="1"/>
                <w:color w:val="auto"/>
              </w:rPr>
              <w:t>Mn</w:t>
            </w:r>
          </w:p>
        </w:tc>
      </w:tr>
      <w:tr>
        <w:trPr>
          <w:trHeight w:val="253"/>
        </w:trPr>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NORI Area</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Category</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(Mt (wet))</w:t>
            </w: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(wet kg/m</w:t>
            </w:r>
            <w:r>
              <w:rPr>
                <w:rFonts w:ascii="Arial" w:cs="Arial" w:eastAsia="Arial" w:hAnsi="Arial"/>
                <w:sz w:val="18"/>
                <w:szCs w:val="18"/>
                <w:b w:val="1"/>
                <w:bCs w:val="1"/>
                <w:color w:val="auto"/>
                <w:vertAlign w:val="superscript"/>
              </w:rPr>
              <w:t>2</w:t>
            </w:r>
            <w:r>
              <w:rPr>
                <w:rFonts w:ascii="Arial" w:cs="Arial" w:eastAsia="Arial" w:hAnsi="Arial"/>
                <w:sz w:val="16"/>
                <w:szCs w:val="16"/>
                <w:b w:val="1"/>
                <w:bCs w:val="1"/>
                <w:color w:val="auto"/>
              </w:rPr>
              <w:t>)</w:t>
            </w:r>
          </w:p>
        </w:tc>
        <w:tc>
          <w:tcPr>
            <w:tcW w:w="740" w:type="dxa"/>
            <w:vAlign w:val="bottom"/>
          </w:tcPr>
          <w:p>
            <w:pPr>
              <w:jc w:val="right"/>
              <w:ind w:right="13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740" w:type="dxa"/>
            <w:vAlign w:val="bottom"/>
          </w:tcPr>
          <w:p>
            <w:pPr>
              <w:jc w:val="right"/>
              <w:ind w:right="15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740" w:type="dxa"/>
            <w:vAlign w:val="bottom"/>
          </w:tcPr>
          <w:p>
            <w:pPr>
              <w:jc w:val="right"/>
              <w:ind w:right="15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840" w:type="dxa"/>
            <w:vAlign w:val="bottom"/>
          </w:tcPr>
          <w:p>
            <w:pPr>
              <w:ind w:left="280"/>
              <w:spacing w:after="0"/>
              <w:rPr>
                <w:sz w:val="20"/>
                <w:szCs w:val="20"/>
                <w:color w:val="auto"/>
              </w:rPr>
            </w:pPr>
            <w:r>
              <w:rPr>
                <w:rFonts w:ascii="Arial" w:cs="Arial" w:eastAsia="Arial" w:hAnsi="Arial"/>
                <w:sz w:val="16"/>
                <w:szCs w:val="16"/>
                <w:b w:val="1"/>
                <w:bCs w:val="1"/>
                <w:color w:val="auto"/>
              </w:rPr>
              <w:t>(%)</w:t>
            </w:r>
          </w:p>
        </w:tc>
      </w:tr>
      <w:tr>
        <w:trPr>
          <w:trHeight w:val="248"/>
        </w:trPr>
        <w:tc>
          <w:tcPr>
            <w:tcW w:w="1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Inferred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79"/>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43"/>
        </w:trPr>
        <w:tc>
          <w:tcPr>
            <w:tcW w:w="1220" w:type="dxa"/>
            <w:vAlign w:val="bottom"/>
            <w:gridSpan w:val="2"/>
          </w:tcPr>
          <w:p>
            <w:pPr>
              <w:spacing w:after="0"/>
              <w:rPr>
                <w:sz w:val="20"/>
                <w:szCs w:val="20"/>
                <w:color w:val="auto"/>
              </w:rPr>
            </w:pPr>
            <w:r>
              <w:rPr>
                <w:rFonts w:ascii="Arial" w:cs="Arial" w:eastAsia="Arial" w:hAnsi="Arial"/>
                <w:sz w:val="18"/>
                <w:szCs w:val="18"/>
                <w:color w:val="auto"/>
              </w:rPr>
              <w:t>B</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Inferred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1.43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8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1"/>
        </w:trPr>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3"/>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Inferred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40"/>
        </w:trPr>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460" w:right="619"/>
        <w:spacing w:after="0" w:line="276" w:lineRule="auto"/>
        <w:rPr>
          <w:sz w:val="20"/>
          <w:szCs w:val="20"/>
          <w:color w:val="auto"/>
        </w:rPr>
      </w:pPr>
      <w:r>
        <w:rPr>
          <w:rFonts w:ascii="Arial" w:cs="Arial" w:eastAsia="Arial" w:hAnsi="Arial"/>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99"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Information concerning our mineral properties in the NORI Technical Report Summary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prospectus, the terms “mineral resource,” “measured mineral resource,” “indicated mineral resource” and “inferred mineral resource” are defined and used in accordance with the SEC Mining Rules set forth in subpart 1300 of Regulation S-K. </w:t>
      </w:r>
      <w:r>
        <w:rPr>
          <w:rFonts w:ascii="Arial" w:cs="Arial" w:eastAsia="Arial" w:hAnsi="Arial"/>
          <w:sz w:val="16"/>
          <w:szCs w:val="16"/>
          <w:b w:val="1"/>
          <w:bCs w:val="1"/>
          <w:color w:val="auto"/>
        </w:rPr>
        <w:t>You are specifically cautioned not to assume that any part or all of the mineral</w:t>
      </w:r>
      <w:r>
        <w:rPr>
          <w:rFonts w:ascii="Arial" w:cs="Arial" w:eastAsia="Arial" w:hAnsi="Arial"/>
          <w:sz w:val="16"/>
          <w:szCs w:val="16"/>
          <w:color w:val="auto"/>
        </w:rPr>
        <w:t xml:space="preserve"> </w:t>
      </w:r>
      <w:r>
        <w:rPr>
          <w:rFonts w:ascii="Arial" w:cs="Arial" w:eastAsia="Arial" w:hAnsi="Arial"/>
          <w:sz w:val="16"/>
          <w:szCs w:val="16"/>
          <w:b w:val="1"/>
          <w:bCs w:val="1"/>
          <w:color w:val="auto"/>
        </w:rPr>
        <w:t>deposits in these categories will ever be converted into mineral reserves, as defined by the SEC.</w:t>
      </w:r>
    </w:p>
    <w:p>
      <w:pPr>
        <w:spacing w:after="0" w:line="99"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D resource is defined in the measured and indicated categories. </w:t>
      </w:r>
      <w:r>
        <w:rPr>
          <w:rFonts w:ascii="Arial" w:cs="Arial" w:eastAsia="Arial" w:hAnsi="Arial"/>
          <w:sz w:val="16"/>
          <w:szCs w:val="16"/>
          <w:b w:val="1"/>
          <w:bCs w:val="1"/>
          <w:color w:val="auto"/>
        </w:rPr>
        <w:t>Therefore, you are cautioned not to assume that all or any part of</w:t>
      </w:r>
      <w:r>
        <w:rPr>
          <w:rFonts w:ascii="Arial" w:cs="Arial" w:eastAsia="Arial" w:hAnsi="Arial"/>
          <w:sz w:val="16"/>
          <w:szCs w:val="16"/>
          <w:color w:val="auto"/>
        </w:rPr>
        <w:t xml:space="preserve"> </w:t>
      </w:r>
      <w:r>
        <w:rPr>
          <w:rFonts w:ascii="Arial" w:cs="Arial" w:eastAsia="Arial" w:hAnsi="Arial"/>
          <w:sz w:val="16"/>
          <w:szCs w:val="16"/>
          <w:b w:val="1"/>
          <w:bCs w:val="1"/>
          <w:color w:val="auto"/>
        </w:rPr>
        <w:t>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Development plan</w:t>
      </w:r>
    </w:p>
    <w:p>
      <w:pPr>
        <w:spacing w:after="0" w:line="158"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NORI proposes to implement the project in multiple phases that will allow the seafloor collection systems to be tested (“Collector Test”) and then nodule production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scale.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proposed seafloor production development phases are as follows:</w:t>
      </w:r>
    </w:p>
    <w:p>
      <w:pPr>
        <w:spacing w:after="0" w:line="158" w:lineRule="exact"/>
        <w:rPr>
          <w:sz w:val="20"/>
          <w:szCs w:val="20"/>
          <w:color w:val="auto"/>
        </w:rPr>
      </w:pPr>
    </w:p>
    <w:p>
      <w:pPr>
        <w:ind w:left="1320" w:right="519" w:hanging="434"/>
        <w:spacing w:after="0" w:line="296" w:lineRule="auto"/>
        <w:tabs>
          <w:tab w:leader="none" w:pos="1311"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Collector Test is designed to perform proof of concept for the methods of collecting and lifting the nodules while acquiring sufficient data to design a commercial system. The Collector Test would use a converted sixth generation drillship,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Nodules collected during the test would be stored on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and brought to shore for use in large scale process pilot testing. The test would not demonstrate the transshipment of nodules to a shore-based facility.</w:t>
      </w:r>
    </w:p>
    <w:p>
      <w:pPr>
        <w:spacing w:after="0" w:line="93" w:lineRule="exact"/>
        <w:rPr>
          <w:rFonts w:ascii="Arial" w:cs="Arial" w:eastAsia="Arial" w:hAnsi="Arial"/>
          <w:sz w:val="16"/>
          <w:szCs w:val="16"/>
          <w:color w:val="auto"/>
        </w:rPr>
      </w:pPr>
    </w:p>
    <w:p>
      <w:pPr>
        <w:ind w:left="1320" w:right="539" w:hanging="434"/>
        <w:spacing w:after="0" w:line="293" w:lineRule="auto"/>
        <w:tabs>
          <w:tab w:leader="none" w:pos="1311"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Project Zero would be an extension of the Collector Test using an upgrade of the Hidden Gem to produce a sufficient and continuous quantity of nodules to support a relatively small commercial operation of about 1.3 Mtpa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83" w:lineRule="exact"/>
        <w:rPr>
          <w:rFonts w:ascii="Arial" w:cs="Arial" w:eastAsia="Arial" w:hAnsi="Arial"/>
          <w:sz w:val="16"/>
          <w:szCs w:val="16"/>
          <w:color w:val="auto"/>
        </w:rPr>
      </w:pPr>
    </w:p>
    <w:p>
      <w:pPr>
        <w:ind w:left="1320" w:right="499" w:hanging="434"/>
        <w:spacing w:after="0" w:line="25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Project One would increase production in a further three steps: 1) introduction of a second converted drillship (Drill Ship 2) with a capacity of up to 3.6 Mtpa (wet), 2) a further upgrade of the Hidden Gem to up to 3.6 Mtpa (wet) and 3) construction of a new purpose-built production support vessel (Collector Ship 1) with capacity of up to 8.2 Mtpa (wet). Project One would benefit from lessons learned on the Collector Test and Project Zero.</w:t>
      </w:r>
    </w:p>
    <w:p>
      <w:pPr>
        <w:spacing w:after="0" w:line="120"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processing of the polymetallic nodules would also be ramped up in phases:</w:t>
      </w:r>
    </w:p>
    <w:p>
      <w:pPr>
        <w:spacing w:after="0" w:line="157" w:lineRule="exact"/>
        <w:rPr>
          <w:rFonts w:ascii="Arial" w:cs="Arial" w:eastAsia="Arial" w:hAnsi="Arial"/>
          <w:sz w:val="18"/>
          <w:szCs w:val="18"/>
          <w:color w:val="auto"/>
        </w:rPr>
      </w:pPr>
    </w:p>
    <w:p>
      <w:pPr>
        <w:ind w:left="1320" w:right="559" w:hanging="434"/>
        <w:spacing w:after="0" w:line="273" w:lineRule="auto"/>
        <w:tabs>
          <w:tab w:leader="none" w:pos="1311"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Project Zero, NORI proposes to toll-treat polymetallic nodules at existing RKEF smelters, utilizing excess industry capacity. NORI advises there is significant interest from many parties in China to utilize RKEF plants which may become stranded as a result of the Indonesian government nickel laterite ore export ban restricting supply of the nickel laterite feedstock that they currently utilize. These RKEF plants were originally built to convert nickel laterite to nickel pig iron and could be converted to smelt polymetallic nodules.</w:t>
      </w:r>
    </w:p>
    <w:p>
      <w:pPr>
        <w:spacing w:after="0" w:line="96" w:lineRule="exact"/>
        <w:rPr>
          <w:rFonts w:ascii="Arial" w:cs="Arial" w:eastAsia="Arial" w:hAnsi="Arial"/>
          <w:sz w:val="17"/>
          <w:szCs w:val="17"/>
          <w:color w:val="auto"/>
        </w:rPr>
      </w:pPr>
    </w:p>
    <w:p>
      <w:pPr>
        <w:ind w:left="1320" w:right="519" w:hanging="434"/>
        <w:spacing w:after="0" w:line="263"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Project One, a purpose-built process plant would be constructed, including pyrometallurgical and hydrometallurgical circuits. Nodule production would be increased in phases by treatment in this new plant.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Collection methods</w:t>
      </w:r>
    </w:p>
    <w:p>
      <w:pPr>
        <w:spacing w:after="0" w:line="15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 xml:space="preserve">The main items of offshore infrastructure are the nodule collector vehicles, the riser, and three production support vessels (“PSV”): </w:t>
      </w:r>
      <w:r>
        <w:rPr>
          <w:rFonts w:ascii="Arial" w:cs="Arial" w:eastAsia="Arial" w:hAnsi="Arial"/>
          <w:sz w:val="18"/>
          <w:szCs w:val="18"/>
          <w:i w:val="1"/>
          <w:iCs w:val="1"/>
          <w:color w:val="auto"/>
        </w:rPr>
        <w:t>Hidden Gem</w:t>
      </w:r>
      <w:r>
        <w:rPr>
          <w:rFonts w:ascii="Arial" w:cs="Arial" w:eastAsia="Arial" w:hAnsi="Arial"/>
          <w:sz w:val="18"/>
          <w:szCs w:val="18"/>
          <w:color w:val="auto"/>
        </w:rPr>
        <w:t>; Drill Ship 2; and Collector Ship 1. Collector Ship 1 is intended to be supported by a collector support vessel.</w:t>
      </w:r>
    </w:p>
    <w:p>
      <w:pPr>
        <w:spacing w:after="0" w:line="116"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8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 up to 15 MPa.</w:t>
      </w:r>
    </w:p>
    <w:p>
      <w:pPr>
        <w:spacing w:after="0" w:line="80"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 in size to an Aframax or New</w:t>
      </w:r>
    </w:p>
    <w:p>
      <w:pPr>
        <w:spacing w:after="0" w:line="98"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Panamax class of tanker, displacing approximately 103,000 t, and housing a crew of around 120 personnel. Nodules are planned to be discharged from the RALS to the PSVs, where they are expected to be dewatered and temporarily stored or transferred directly to a transport vessel.</w:t>
      </w:r>
    </w:p>
    <w:p>
      <w:pPr>
        <w:spacing w:after="0" w:line="89" w:lineRule="exact"/>
        <w:rPr>
          <w:sz w:val="20"/>
          <w:szCs w:val="20"/>
          <w:color w:val="auto"/>
        </w:rPr>
      </w:pPr>
    </w:p>
    <w:p>
      <w:pPr>
        <w:jc w:val="both"/>
        <w:ind w:left="460" w:right="559" w:firstLine="432"/>
        <w:spacing w:after="0" w:line="311" w:lineRule="auto"/>
        <w:rPr>
          <w:sz w:val="20"/>
          <w:szCs w:val="20"/>
          <w:color w:val="auto"/>
        </w:rPr>
      </w:pPr>
      <w:r>
        <w:rPr>
          <w:rFonts w:ascii="Arial" w:cs="Arial" w:eastAsia="Arial" w:hAnsi="Arial"/>
          <w:sz w:val="16"/>
          <w:szCs w:val="16"/>
          <w:color w:val="auto"/>
        </w:rPr>
        <w:t>A separate collector support vessel is expected to remain at sea to support Collector Ship 1. It is expected to be configured as a subsea support platform, as commonly used in oil industry, with a displacement of around 17,250 t. The function of the collector support vessel will be to facilitate collector maintenance and repair.</w:t>
      </w:r>
    </w:p>
    <w:p>
      <w:pPr>
        <w:spacing w:after="0" w:line="6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NORI Technical Report Summary assumes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9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DRT (2015)).</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Expected Mineral Resource modifying factors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Modifying factors</w:t>
            </w:r>
          </w:p>
        </w:tc>
        <w:tc>
          <w:tcPr>
            <w:tcW w:w="580" w:type="dxa"/>
            <w:vAlign w:val="bottom"/>
          </w:tcPr>
          <w:p>
            <w:pPr>
              <w:ind w:left="100"/>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4740" w:type="dxa"/>
            <w:vAlign w:val="bottom"/>
          </w:tcPr>
          <w:p>
            <w:pPr>
              <w:ind w:left="19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46"/>
        </w:trPr>
        <w:tc>
          <w:tcPr>
            <w:tcW w:w="25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580" w:type="dxa"/>
            <w:vAlign w:val="bottom"/>
          </w:tcPr>
          <w:p>
            <w:pPr>
              <w:spacing w:after="0" w:line="195" w:lineRule="exact"/>
              <w:rPr>
                <w:sz w:val="20"/>
                <w:szCs w:val="20"/>
                <w:color w:val="auto"/>
              </w:rPr>
            </w:pPr>
            <w:r>
              <w:rPr>
                <w:rFonts w:ascii="Arial" w:cs="Arial" w:eastAsia="Arial" w:hAnsi="Arial"/>
                <w:sz w:val="18"/>
                <w:szCs w:val="18"/>
                <w:color w:val="auto"/>
              </w:rPr>
              <w:t>Resource area efficiency</w:t>
            </w:r>
          </w:p>
        </w:tc>
        <w:tc>
          <w:tcPr>
            <w:tcW w:w="100" w:type="dxa"/>
            <w:vAlign w:val="bottom"/>
            <w:vMerge w:val="continue"/>
          </w:tcPr>
          <w:p>
            <w:pPr>
              <w:spacing w:after="0"/>
              <w:rPr>
                <w:sz w:val="16"/>
                <w:szCs w:val="16"/>
                <w:color w:val="auto"/>
              </w:rPr>
            </w:pPr>
          </w:p>
        </w:tc>
        <w:tc>
          <w:tcPr>
            <w:tcW w:w="580" w:type="dxa"/>
            <w:vAlign w:val="bottom"/>
          </w:tcPr>
          <w:p>
            <w:pPr>
              <w:jc w:val="center"/>
              <w:spacing w:after="0" w:line="195" w:lineRule="exact"/>
              <w:rPr>
                <w:sz w:val="20"/>
                <w:szCs w:val="20"/>
                <w:color w:val="auto"/>
              </w:rPr>
            </w:pPr>
            <w:r>
              <w:rPr>
                <w:rFonts w:ascii="Arial" w:cs="Arial" w:eastAsia="Arial" w:hAnsi="Arial"/>
                <w:sz w:val="18"/>
                <w:szCs w:val="18"/>
                <w:color w:val="auto"/>
                <w:w w:val="94"/>
              </w:rPr>
              <w:t>92%</w:t>
            </w:r>
          </w:p>
        </w:tc>
        <w:tc>
          <w:tcPr>
            <w:tcW w:w="100" w:type="dxa"/>
            <w:vAlign w:val="bottom"/>
            <w:vMerge w:val="continue"/>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w w:val="92"/>
              </w:rPr>
              <w:t>The resource area efficiency factor is defined as the width of the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collector divided by the width of the collector path. A 0.5 m</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92"/>
              </w:rPr>
              <w:t>undisturbed strip is to be left either side of the collector. For a 12</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96"/>
              </w:rPr>
              <w:t>m wide collector, the resource area efficiency is calculated as</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8"/>
                <w:szCs w:val="18"/>
                <w:color w:val="auto"/>
              </w:rPr>
              <w:t>Collector pick-up efficiency</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90%</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This is the percentage of nodule mass passed over by the</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collector that is pickup up by the collector head.</w:t>
            </w:r>
          </w:p>
        </w:tc>
        <w:tc>
          <w:tcPr>
            <w:tcW w:w="0" w:type="dxa"/>
            <w:vAlign w:val="bottom"/>
          </w:tcPr>
          <w:p>
            <w:pPr>
              <w:spacing w:after="0"/>
              <w:rPr>
                <w:sz w:val="1"/>
                <w:szCs w:val="1"/>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8"/>
                <w:szCs w:val="18"/>
                <w:color w:val="auto"/>
              </w:rPr>
              <w:t>Collector underflow efficiency</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95%</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89"/>
              </w:rPr>
              <w:t>This is percentage of nodule mass that is pickup up that is passed</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to the collector underflow.</w:t>
            </w:r>
          </w:p>
        </w:tc>
        <w:tc>
          <w:tcPr>
            <w:tcW w:w="0" w:type="dxa"/>
            <w:vAlign w:val="bottom"/>
          </w:tcPr>
          <w:p>
            <w:pPr>
              <w:spacing w:after="0"/>
              <w:rPr>
                <w:sz w:val="1"/>
                <w:szCs w:val="1"/>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8"/>
                <w:szCs w:val="18"/>
                <w:color w:val="auto"/>
              </w:rPr>
              <w:t>Nodule attrition</w:t>
            </w: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96"/>
              </w:rPr>
              <w:t>This is the percentage of mass of nodule lost through attrition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95"/>
              </w:rPr>
              <w:t>from the sea floor to trans-shipment. It is included in the trans-</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shipment efficiency.</w:t>
            </w:r>
          </w:p>
        </w:tc>
        <w:tc>
          <w:tcPr>
            <w:tcW w:w="0" w:type="dxa"/>
            <w:vAlign w:val="bottom"/>
          </w:tcPr>
          <w:p>
            <w:pPr>
              <w:spacing w:after="0"/>
              <w:rPr>
                <w:sz w:val="1"/>
                <w:szCs w:val="1"/>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8"/>
                <w:szCs w:val="18"/>
                <w:color w:val="auto"/>
              </w:rPr>
              <w:t>Trans-shipment efficiency</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93%</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This is the percentage of nodule mass transferred from the</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production vessel to trans-shipment.</w:t>
            </w:r>
          </w:p>
        </w:tc>
        <w:tc>
          <w:tcPr>
            <w:tcW w:w="0" w:type="dxa"/>
            <w:vAlign w:val="bottom"/>
          </w:tcPr>
          <w:p>
            <w:pPr>
              <w:spacing w:after="0"/>
              <w:rPr>
                <w:sz w:val="1"/>
                <w:szCs w:val="1"/>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8"/>
                <w:szCs w:val="18"/>
                <w:color w:val="auto"/>
              </w:rPr>
              <w:t>Overall collector efficiency</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This is the percentage of nodule mass passed over by the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collector that is delivered to the transport vessel. It includes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losses in the pick-up, overflow, attrition and trans-shipment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(90%*95%*100%*93%).</w:t>
            </w:r>
          </w:p>
        </w:tc>
        <w:tc>
          <w:tcPr>
            <w:tcW w:w="0" w:type="dxa"/>
            <w:vAlign w:val="bottom"/>
          </w:tcPr>
          <w:p>
            <w:pPr>
              <w:spacing w:after="0"/>
              <w:rPr>
                <w:sz w:val="1"/>
                <w:szCs w:val="1"/>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8"/>
                <w:szCs w:val="18"/>
                <w:color w:val="auto"/>
              </w:rPr>
              <w:t>Overall resource recovery factor</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73%</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93"/>
              </w:rPr>
              <w:t>Is the product of the resource area efficiency * collector pick-up</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efficiency * collector under flow efficiency * (1 — nodule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attrition (%)), * trans-shipment efficiency</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(92%*90%*95%*100%*93%).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For more information on polymetallic nodule collection methods, see Section 13 of the NORI Technical Report Summary.</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Mineral processing and metallurgical testing</w:t>
      </w:r>
    </w:p>
    <w:p>
      <w:pPr>
        <w:spacing w:after="0" w:line="144" w:lineRule="exact"/>
        <w:rPr>
          <w:sz w:val="20"/>
          <w:szCs w:val="20"/>
          <w:color w:val="auto"/>
        </w:rPr>
      </w:pPr>
    </w:p>
    <w:p>
      <w:pPr>
        <w:ind w:left="460" w:right="659" w:firstLine="432"/>
        <w:spacing w:after="0" w:line="275" w:lineRule="auto"/>
        <w:rPr>
          <w:sz w:val="20"/>
          <w:szCs w:val="20"/>
          <w:color w:val="auto"/>
        </w:rPr>
      </w:pPr>
      <w:r>
        <w:rPr>
          <w:rFonts w:ascii="Arial" w:cs="Arial" w:eastAsia="Arial" w:hAnsi="Arial"/>
          <w:sz w:val="17"/>
          <w:szCs w:val="17"/>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09"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Pyrometallurgical processing of nodules has been extensively studied from the early 1970s until the present day and appears to be the preferred process for most of the other currently active nodule processing research groups. Many groups including: Kennecott; Inco; Cuban/Bulgarian; German; Indian; Japanese; and Korean have studied pyrometallurgical processing of nodules at a laboratory scale. The nodule samples for these tests were collected from their respective license areas in the CCZ. The nodules used in each of the studies have similar compositions but there are subtle variations that can have significant implications for pyrometallurgical processing. Of particular importance is the ratio of MnO:SiO2 in the nodules as this impacts the choice of process operating parameters for the electric furnace smelting operation.</w:t>
      </w:r>
    </w:p>
    <w:p>
      <w:pPr>
        <w:spacing w:after="0" w:line="98"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sulphate powder, copper cathode and manganese silicate, from polymetallic nodules. This is expected to allow for the proportion of toll treatment to be reduced.</w:t>
      </w:r>
    </w:p>
    <w:p>
      <w:pPr>
        <w:spacing w:after="0" w:line="107"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Four rotary kiln and electric furnaces lines (“RKEF”) and two hydrometallurgical refineries are expected to be required to meet our expected production demand.</w:t>
      </w:r>
    </w:p>
    <w:p>
      <w:pPr>
        <w:spacing w:after="0" w:line="103"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pyrometallurgical front 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pacing w:after="0" w:line="120"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The hydrometallurgical refinery concept is based on a sulphuric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sulphates is expected to use crystallization.</w:t>
      </w:r>
    </w:p>
    <w:p>
      <w:pPr>
        <w:spacing w:after="0" w:line="107" w:lineRule="exact"/>
        <w:rPr>
          <w:sz w:val="20"/>
          <w:szCs w:val="20"/>
          <w:color w:val="auto"/>
        </w:rPr>
      </w:pPr>
    </w:p>
    <w:p>
      <w:pPr>
        <w:ind w:left="460" w:right="639" w:firstLine="432"/>
        <w:spacing w:after="0" w:line="272" w:lineRule="auto"/>
        <w:rPr>
          <w:sz w:val="20"/>
          <w:szCs w:val="20"/>
          <w:color w:val="auto"/>
        </w:rPr>
      </w:pPr>
      <w:r>
        <w:rPr>
          <w:rFonts w:ascii="Arial" w:cs="Arial" w:eastAsia="Arial" w:hAnsi="Arial"/>
          <w:sz w:val="17"/>
          <w:szCs w:val="17"/>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sulphate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110"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average targeted processing rate for the new processing plant at full capacity is expected to be 6.4 Mtpa of nodules (dry basis). The location and host country of the processing operation has not yet been determined. Engineering design has not yet been undertaken. Expected metallurgical recoveries are summarized in the table below.</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Nickel</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Cobalt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Copper</w:t>
            </w:r>
          </w:p>
        </w:tc>
      </w:tr>
      <w:tr>
        <w:trPr>
          <w:trHeight w:val="203"/>
        </w:trPr>
        <w:tc>
          <w:tcPr>
            <w:tcW w:w="3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Recovery</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Recovery</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Recovery</w:t>
            </w:r>
          </w:p>
        </w:tc>
      </w:tr>
      <w:tr>
        <w:trPr>
          <w:trHeight w:val="210"/>
        </w:trPr>
        <w:tc>
          <w:tcPr>
            <w:tcW w:w="3540" w:type="dxa"/>
            <w:vAlign w:val="bottom"/>
          </w:tcPr>
          <w:p>
            <w:pPr>
              <w:spacing w:after="0"/>
              <w:rPr>
                <w:sz w:val="20"/>
                <w:szCs w:val="20"/>
                <w:color w:val="auto"/>
              </w:rPr>
            </w:pPr>
            <w:r>
              <w:rPr>
                <w:rFonts w:ascii="Arial" w:cs="Arial" w:eastAsia="Arial" w:hAnsi="Arial"/>
                <w:sz w:val="16"/>
                <w:szCs w:val="16"/>
                <w:b w:val="1"/>
                <w:bCs w:val="1"/>
                <w:color w:val="auto"/>
              </w:rPr>
              <w:t>Process Step</w:t>
            </w:r>
          </w:p>
        </w:tc>
        <w:tc>
          <w:tcPr>
            <w:tcW w:w="1940" w:type="dxa"/>
            <w:vAlign w:val="bottom"/>
            <w:gridSpan w:val="3"/>
          </w:tcPr>
          <w:p>
            <w:pPr>
              <w:jc w:val="center"/>
              <w:ind w:left="6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47"/>
        </w:trPr>
        <w:tc>
          <w:tcPr>
            <w:tcW w:w="35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Final matte</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Hydrometallurgical products before recycle</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40"/>
        </w:trPr>
        <w:tc>
          <w:tcPr>
            <w:tcW w:w="3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Recycled residue</w:t>
            </w:r>
          </w:p>
        </w:tc>
        <w:tc>
          <w:tcPr>
            <w:tcW w:w="1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Overall recovery</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445"/>
        </w:trPr>
        <w:tc>
          <w:tcPr>
            <w:tcW w:w="3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879" w:firstLine="432"/>
        <w:spacing w:after="0" w:line="311" w:lineRule="auto"/>
        <w:rPr>
          <w:sz w:val="20"/>
          <w:szCs w:val="20"/>
          <w:color w:val="auto"/>
        </w:rPr>
      </w:pPr>
      <w:r>
        <w:rPr>
          <w:rFonts w:ascii="Arial" w:cs="Arial" w:eastAsia="Arial" w:hAnsi="Arial"/>
          <w:sz w:val="16"/>
          <w:szCs w:val="16"/>
          <w:color w:val="auto"/>
        </w:rPr>
        <w:t>In addition to the above base metals, 98.9% of the manganese contained in the feed is expected to be recovered to the manganese silicate product, containing 52.6% MnO. Approximately 7.3 Mt of manganese silicate is expected to be produced per annum (from steady state operation from 2030 onwards).</w:t>
      </w:r>
    </w:p>
    <w:p>
      <w:pPr>
        <w:spacing w:after="0" w:line="81"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For more information on mineral processing and metallurgical testing, see Section 14 of the NORI Technical Report Summary.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 studies, permitting, community, or social impact</w:t>
      </w:r>
    </w:p>
    <w:p>
      <w:pPr>
        <w:spacing w:after="0" w:line="158"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 floor.</w:t>
      </w:r>
    </w:p>
    <w:p>
      <w:pPr>
        <w:spacing w:after="0" w:line="103" w:lineRule="exact"/>
        <w:rPr>
          <w:sz w:val="20"/>
          <w:szCs w:val="20"/>
          <w:color w:val="auto"/>
        </w:rPr>
      </w:pPr>
    </w:p>
    <w:p>
      <w:pPr>
        <w:ind w:left="460" w:right="679" w:firstLine="432"/>
        <w:spacing w:after="0" w:line="301" w:lineRule="auto"/>
        <w:rPr>
          <w:sz w:val="20"/>
          <w:szCs w:val="20"/>
          <w:color w:val="auto"/>
        </w:rPr>
      </w:pPr>
      <w:r>
        <w:rPr>
          <w:rFonts w:ascii="Arial" w:cs="Arial" w:eastAsia="Arial" w:hAnsi="Arial"/>
          <w:sz w:val="16"/>
          <w:szCs w:val="16"/>
          <w:color w:val="auto"/>
        </w:rPr>
        <w:t>NORI’s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spacing w:after="0" w:line="9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NORI has commenced the ESIA process in support of an application for an exploitation license for the commercial collection of deep-sea polymetallic nodules. A comprehensive program of metocean and biological data acquisition is in progress to characterize the baseline conditions at a designated Collector Test site and control sites in the NORI Contract Area.</w:t>
      </w:r>
    </w:p>
    <w:p>
      <w:pPr>
        <w:spacing w:after="0" w:line="119"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10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120"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social impacts of the offshore operation are expected to be positive. The CCZ is uninhabited by people, and there are no landowners associated with the CCZ. No significant commercial fishing is carried out in the area. The projects are expected to provide a source of revenue to our sponsor countries, Nauru, Tonga, Kiribati and the ISA.</w:t>
      </w:r>
    </w:p>
    <w:p>
      <w:pPr>
        <w:spacing w:after="0" w:line="119"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onshore environmental and social impacts have not yet been assessed because the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95"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For more information on environmental studies, permitting and social or community impact, see Section 17 of the NORI Technical Report Summary.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Economic analysis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have developed in-house a financial model based on estimates of future cash flows derived from extraction of nodules from the NORI D project. AMC reviewed the logic, input assumptions and integrity of the calculations and forecasts. The financial model is for NORI Area D only, which is at a preliminary level of planning and design.</w:t>
      </w:r>
    </w:p>
    <w:p>
      <w:pPr>
        <w:spacing w:after="0" w:line="119"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For the initial assessment, the offshore cost estimates were developed based upon the guidelines of the AACE (Association for the Advancement of Cost Engineering) International Recommended Practice No. 18R-</w:t>
      </w:r>
    </w:p>
    <w:p>
      <w:pPr>
        <w:ind w:left="460" w:right="619" w:hanging="6"/>
        <w:spacing w:after="0" w:line="253" w:lineRule="auto"/>
        <w:tabs>
          <w:tab w:leader="none" w:pos="7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engineering studies performed previously by Deep Reach Technology (DRT) for Deep Green Resources and the experience in trial mining of deep sea nodules by DRT personnel, the cost estimate was considered to be a class 4. Off-shore capital costs were estimated to accuracy levels of -30% +40%. On-shore capital costs were estimated according to an AACE Class 5 level of accuracy (–35% +50%). A contingency of 25% was applied to the off-shore</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1" w:name="page92"/>
    <w:bookmarkEnd w:id="9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57" w:lineRule="auto"/>
        <w:rPr>
          <w:sz w:val="20"/>
          <w:szCs w:val="20"/>
          <w:color w:val="auto"/>
        </w:rPr>
      </w:pPr>
      <w:r>
        <w:rPr>
          <w:rFonts w:ascii="Arial" w:cs="Arial" w:eastAsia="Arial" w:hAnsi="Arial"/>
          <w:sz w:val="18"/>
          <w:szCs w:val="18"/>
          <w:color w:val="auto"/>
        </w:rPr>
        <w:t>and on-shore capital cost estimates. The collection plan considered in the NORI Technical Report Summary contemplates a 23-year production period. The expected production period is within the expected duration of a NORI Area D ISA Exploitation Contract which would be thirty (30) years (with possible extensions by periods of ten (10) years) as outlined in the current draft of the regulations for exploitation of mineral resources in the Area (ISBA/25/C/WP.1).</w:t>
      </w:r>
    </w:p>
    <w:p>
      <w:pPr>
        <w:spacing w:after="0" w:line="120" w:lineRule="exact"/>
        <w:rPr>
          <w:sz w:val="20"/>
          <w:szCs w:val="20"/>
          <w:color w:val="auto"/>
        </w:rPr>
      </w:pPr>
    </w:p>
    <w:p>
      <w:pPr>
        <w:ind w:left="460" w:right="759" w:firstLine="432"/>
        <w:spacing w:after="0" w:line="291" w:lineRule="auto"/>
        <w:rPr>
          <w:sz w:val="20"/>
          <w:szCs w:val="20"/>
          <w:color w:val="auto"/>
        </w:rPr>
      </w:pPr>
      <w:r>
        <w:rPr>
          <w:rFonts w:ascii="Arial" w:cs="Arial" w:eastAsia="Arial" w:hAnsi="Arial"/>
          <w:sz w:val="16"/>
          <w:szCs w:val="16"/>
          <w:color w:val="auto"/>
        </w:rPr>
        <w:t>After the initial 23-year period, substantial resources will remain in the other NORI Areas that could support future collection (combined inferred mineral resource in NORI Areas A, B and C of 510 Mt (wet) at</w:t>
      </w:r>
    </w:p>
    <w:p>
      <w:pPr>
        <w:ind w:left="460" w:right="579"/>
        <w:spacing w:after="0" w:line="262" w:lineRule="auto"/>
        <w:rPr>
          <w:sz w:val="20"/>
          <w:szCs w:val="20"/>
          <w:color w:val="auto"/>
        </w:rPr>
      </w:pPr>
      <w:r>
        <w:rPr>
          <w:rFonts w:ascii="Arial" w:cs="Arial" w:eastAsia="Arial" w:hAnsi="Arial"/>
          <w:sz w:val="17"/>
          <w:szCs w:val="17"/>
          <w:color w:val="auto"/>
        </w:rPr>
        <w:t>1.28% Ni, 0.21% Co, 1.04% Cu, 28.3% Mn, at an average abundance of 11 kg (wet)/m</w:t>
      </w:r>
      <w:r>
        <w:rPr>
          <w:rFonts w:ascii="Arial" w:cs="Arial" w:eastAsia="Arial" w:hAnsi="Arial"/>
          <w:sz w:val="19"/>
          <w:szCs w:val="19"/>
          <w:color w:val="auto"/>
          <w:vertAlign w:val="superscript"/>
        </w:rPr>
        <w:t>2</w:t>
      </w:r>
      <w:r>
        <w:rPr>
          <w:rFonts w:ascii="Arial" w:cs="Arial" w:eastAsia="Arial" w:hAnsi="Arial"/>
          <w:sz w:val="17"/>
          <w:szCs w:val="17"/>
          <w:color w:val="auto"/>
        </w:rPr>
        <w:t>). The proposed project schedule is shown in the Gantt chart in Figure 19.1 of the NORI Technical Report Summary.</w:t>
      </w:r>
    </w:p>
    <w:p>
      <w:pPr>
        <w:spacing w:after="0" w:line="114"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In Project Zero, NORI expects to toll treat the nodules in third-party pyrometallurgical plants and sell the RKEF products into the alloy market. This will be expected to generate revenue while its pyrometallurgical and hydrometallurgical facilities are planned to be built.</w:t>
      </w:r>
    </w:p>
    <w:p>
      <w:pPr>
        <w:spacing w:after="0" w:line="103"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In Project One, NORI expects to stage the construction of its multiple pyrometallurgical and hydrometallurgical lines to flatten out capital expenditure requirements. Nodule production is expected to be directed preferentially to the NORI pyrometallurgical plants as this is expected to be the lowest operating cost option. Whenever these facilities are at maximum capacity (particularly during the ramp-up phase), the surplus nodules are expected to be sent for toll treatment.</w:t>
      </w:r>
    </w:p>
    <w:p>
      <w:pPr>
        <w:spacing w:after="0" w:line="12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NORI expects that it will ensure that its own hydrometallurgical refineries are filled up to maximum capacity, as this is expected to produce the highest value products. Whenever its own hydrometallurgical refineries are at full capacity, NORI expects to sell the surplus product from its pyrometallurgical plant directly to the matte market. While the matte is not as valuable as the refined products from the hydrometallurgical plant (nickel sulphate, cobalt sulphate, and copper cathode), it still provides a consistent revenue stream and assists for periods when the refineries are at full capacity.</w:t>
      </w:r>
    </w:p>
    <w:p>
      <w:pPr>
        <w:spacing w:after="0" w:line="110"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Some of the alloy production from toll treatment of NORI nodules are expected to be shipped to the NORI hydrometallurgical plants to make use of spare capacity. This will require the alloy from the third-party RKEF to be sulphidized prior to hydrometallurgical treatment.</w:t>
      </w:r>
    </w:p>
    <w:p>
      <w:pPr>
        <w:spacing w:after="0" w:line="103"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Based on preliminary discussions with potential buyers, NORI believes that there is sufficient demand for the alloy and matte over the life of the project.</w:t>
      </w:r>
    </w:p>
    <w:p>
      <w:pPr>
        <w:spacing w:after="0" w:line="103"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The analysis was performed on a 100% ownership basis and excludes consideration of financing costs and forward metal sales. The analysis assumes the economic parameters listed in the table below.</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Assumed Economic Inputs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340" w:type="dxa"/>
            <w:vAlign w:val="bottom"/>
          </w:tcPr>
          <w:p>
            <w:pPr>
              <w:spacing w:after="0"/>
              <w:rPr>
                <w:sz w:val="20"/>
                <w:szCs w:val="20"/>
                <w:color w:val="auto"/>
              </w:rPr>
            </w:pPr>
            <w:r>
              <w:rPr>
                <w:rFonts w:ascii="Arial" w:cs="Arial" w:eastAsia="Arial" w:hAnsi="Arial"/>
                <w:sz w:val="16"/>
                <w:szCs w:val="16"/>
                <w:b w:val="1"/>
                <w:bCs w:val="1"/>
                <w:color w:val="auto"/>
              </w:rPr>
              <w:t>Parameters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Units</w:t>
            </w:r>
          </w:p>
        </w:tc>
        <w:tc>
          <w:tcPr>
            <w:tcW w:w="1020" w:type="dxa"/>
            <w:vAlign w:val="bottom"/>
          </w:tcPr>
          <w:p>
            <w:pPr>
              <w:jc w:val="right"/>
              <w:ind w:right="191"/>
              <w:spacing w:after="0"/>
              <w:rPr>
                <w:sz w:val="20"/>
                <w:szCs w:val="20"/>
                <w:color w:val="auto"/>
              </w:rPr>
            </w:pPr>
            <w:r>
              <w:rPr>
                <w:rFonts w:ascii="Arial" w:cs="Arial" w:eastAsia="Arial" w:hAnsi="Arial"/>
                <w:sz w:val="16"/>
                <w:szCs w:val="16"/>
                <w:b w:val="1"/>
                <w:bCs w:val="1"/>
                <w:color w:val="auto"/>
              </w:rPr>
              <w:t>Values</w:t>
            </w:r>
          </w:p>
        </w:tc>
      </w:tr>
      <w:tr>
        <w:trPr>
          <w:trHeight w:val="46"/>
        </w:trPr>
        <w:tc>
          <w:tcPr>
            <w:tcW w:w="33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Hydrometallurgical plant Ni recovery</w:t>
            </w: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Mn recovery</w:t>
            </w:r>
          </w:p>
        </w:tc>
        <w:tc>
          <w:tcPr>
            <w:tcW w:w="3640" w:type="dxa"/>
            <w:vAlign w:val="bottom"/>
            <w:gridSpan w:val="3"/>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40"/>
        </w:trPr>
        <w:tc>
          <w:tcPr>
            <w:tcW w:w="3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Hydrometallurgical plant Cu recovery</w:t>
            </w:r>
          </w:p>
        </w:tc>
        <w:tc>
          <w:tcPr>
            <w:tcW w:w="3640" w:type="dxa"/>
            <w:vAlign w:val="bottom"/>
            <w:tcBorders>
              <w:bottom w:val="single" w:sz="8" w:color="CCEEFF"/>
            </w:tcBorders>
            <w:gridSpan w:val="3"/>
            <w:shd w:val="clear" w:color="auto" w:fill="CCEEFF"/>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Hydrometallurgical plant Co recovery</w:t>
            </w:r>
          </w:p>
        </w:tc>
        <w:tc>
          <w:tcPr>
            <w:tcW w:w="3640" w:type="dxa"/>
            <w:vAlign w:val="bottom"/>
            <w:gridSpan w:val="3"/>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40"/>
        </w:trPr>
        <w:tc>
          <w:tcPr>
            <w:tcW w:w="3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Pyrometallurgical plant Cu recovery</w:t>
            </w:r>
          </w:p>
        </w:tc>
        <w:tc>
          <w:tcPr>
            <w:tcW w:w="3640" w:type="dxa"/>
            <w:vAlign w:val="bottom"/>
            <w:tcBorders>
              <w:bottom w:val="single" w:sz="8" w:color="CCEEFF"/>
            </w:tcBorders>
            <w:gridSpan w:val="3"/>
            <w:shd w:val="clear" w:color="auto" w:fill="CCEEFF"/>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Pyrometallurgical plant Cu recovery</w:t>
            </w:r>
          </w:p>
        </w:tc>
        <w:tc>
          <w:tcPr>
            <w:tcW w:w="3640" w:type="dxa"/>
            <w:vAlign w:val="bottom"/>
            <w:gridSpan w:val="3"/>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40"/>
        </w:trPr>
        <w:tc>
          <w:tcPr>
            <w:tcW w:w="3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Pyrometallurgical plant Co recovery</w:t>
            </w:r>
          </w:p>
        </w:tc>
        <w:tc>
          <w:tcPr>
            <w:tcW w:w="3640" w:type="dxa"/>
            <w:vAlign w:val="bottom"/>
            <w:tcBorders>
              <w:bottom w:val="single" w:sz="8" w:color="CCEEFF"/>
            </w:tcBorders>
            <w:gridSpan w:val="3"/>
            <w:shd w:val="clear" w:color="auto" w:fill="CCEEFF"/>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Mn silicate grade</w:t>
            </w:r>
          </w:p>
        </w:tc>
        <w:tc>
          <w:tcPr>
            <w:tcW w:w="3640" w:type="dxa"/>
            <w:vAlign w:val="bottom"/>
            <w:gridSpan w:val="3"/>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40"/>
        </w:trPr>
        <w:tc>
          <w:tcPr>
            <w:tcW w:w="3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 cathode grade</w:t>
            </w:r>
          </w:p>
        </w:tc>
        <w:tc>
          <w:tcPr>
            <w:tcW w:w="3640" w:type="dxa"/>
            <w:vAlign w:val="bottom"/>
            <w:tcBorders>
              <w:bottom w:val="single" w:sz="8" w:color="CCEEFF"/>
            </w:tcBorders>
            <w:gridSpan w:val="3"/>
            <w:shd w:val="clear" w:color="auto" w:fill="CCEEFF"/>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Payability of Cu content in cathode</w:t>
            </w:r>
          </w:p>
        </w:tc>
        <w:tc>
          <w:tcPr>
            <w:tcW w:w="3640" w:type="dxa"/>
            <w:vAlign w:val="bottom"/>
            <w:gridSpan w:val="3"/>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1"/>
        </w:trPr>
        <w:tc>
          <w:tcPr>
            <w:tcW w:w="3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Nodule moisture content</w:t>
            </w:r>
          </w:p>
        </w:tc>
        <w:tc>
          <w:tcPr>
            <w:tcW w:w="3640" w:type="dxa"/>
            <w:vAlign w:val="bottom"/>
            <w:tcBorders>
              <w:bottom w:val="single" w:sz="8" w:color="CCEEFF"/>
            </w:tcBorders>
            <w:gridSpan w:val="3"/>
            <w:shd w:val="clear" w:color="auto" w:fill="CCEEFF"/>
          </w:tcPr>
          <w:p>
            <w:pPr>
              <w:jc w:val="center"/>
              <w:ind w:left="24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On-shore tax rate</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2"/>
              </w:rPr>
              <w:t>% of taxable</w:t>
            </w:r>
          </w:p>
        </w:tc>
        <w:tc>
          <w:tcPr>
            <w:tcW w:w="1020" w:type="dxa"/>
            <w:vAlign w:val="bottom"/>
          </w:tcPr>
          <w:p>
            <w:pPr>
              <w:spacing w:after="0"/>
              <w:rPr>
                <w:sz w:val="17"/>
                <w:szCs w:val="17"/>
                <w:color w:val="auto"/>
              </w:rPr>
            </w:pPr>
          </w:p>
        </w:tc>
      </w:tr>
      <w:tr>
        <w:trPr>
          <w:trHeight w:val="230"/>
        </w:trPr>
        <w:tc>
          <w:tcPr>
            <w:tcW w:w="3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0"/>
        </w:trPr>
        <w:tc>
          <w:tcPr>
            <w:tcW w:w="3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off-shore tax (to ISA)</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2"/>
              </w:rPr>
              <w:t>% of taxable</w:t>
            </w:r>
          </w:p>
        </w:tc>
        <w:tc>
          <w:tcPr>
            <w:tcW w:w="1020" w:type="dxa"/>
            <w:vAlign w:val="bottom"/>
            <w:shd w:val="clear" w:color="auto" w:fill="CCEEFF"/>
          </w:tcPr>
          <w:p>
            <w:pPr>
              <w:spacing w:after="0"/>
              <w:rPr>
                <w:sz w:val="17"/>
                <w:szCs w:val="17"/>
                <w:color w:val="auto"/>
              </w:rPr>
            </w:pPr>
          </w:p>
        </w:tc>
      </w:tr>
      <w:tr>
        <w:trPr>
          <w:trHeight w:val="251"/>
        </w:trPr>
        <w:tc>
          <w:tcPr>
            <w:tcW w:w="33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income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405"/>
        </w:trPr>
        <w:tc>
          <w:tcPr>
            <w:tcW w:w="33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Prices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Project revenues will come from the following sources:</w:t>
      </w:r>
    </w:p>
    <w:p>
      <w:pPr>
        <w:spacing w:after="0" w:line="158" w:lineRule="exact"/>
        <w:rPr>
          <w:sz w:val="20"/>
          <w:szCs w:val="20"/>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nickel sulphate product;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copper cathode product;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cobalt sulphate product;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manganese silicate product;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ammonium sulphate product;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nickel alloy product containing copper and cobalt; and</w:t>
      </w:r>
    </w:p>
    <w:p>
      <w:pPr>
        <w:spacing w:after="0" w:line="157" w:lineRule="exact"/>
        <w:rPr>
          <w:rFonts w:ascii="Arial" w:cs="Arial" w:eastAsia="Arial" w:hAnsi="Arial"/>
          <w:sz w:val="18"/>
          <w:szCs w:val="18"/>
          <w:color w:val="auto"/>
        </w:rPr>
      </w:pPr>
    </w:p>
    <w:p>
      <w:pPr>
        <w:ind w:left="1320" w:right="93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matte product from the NORI pyrometallurgical plants containing nickel, copper and cobalt, which would be sold to the matte market.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NORI has used the following payable percentages for the alloy:</w:t>
      </w:r>
    </w:p>
    <w:p>
      <w:pPr>
        <w:spacing w:after="0" w:line="144" w:lineRule="exact"/>
        <w:rPr>
          <w:sz w:val="20"/>
          <w:szCs w:val="20"/>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Nickel: 80% of in-situ value in the alloy;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Copper: 40% of in-situ value in the alloy;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Cobalt: 80% of in-situ value in the alloy.</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estimates for treatment charges and refining charges for the alloy product were used in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NORI financial model:</w:t>
      </w:r>
    </w:p>
    <w:p>
      <w:pPr>
        <w:spacing w:after="0" w:line="143" w:lineRule="exact"/>
        <w:rPr>
          <w:sz w:val="20"/>
          <w:szCs w:val="20"/>
          <w:color w:val="auto"/>
        </w:rPr>
      </w:pPr>
    </w:p>
    <w:p>
      <w:pPr>
        <w:ind w:left="1300" w:hanging="41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refining charge of $1,697/tonne of contained nickel in the alloy;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refining charge of $800/tonne of contained nickel in the alloy;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refining charge of $6,700/tonne of contained nickel in the alloy;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treatment charge $300/tonne of alloy.</w:t>
      </w:r>
    </w:p>
    <w:p>
      <w:pPr>
        <w:spacing w:after="0" w:line="144"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For the matte product, NORI has used a used a payables figure of 83% of the market metal price of nickel, copper and cobalt. The metal recoveries for the matte and alloy are those from the pyrometallurgical plant, whilst the refined products (nickel sulphate, copper cathode and cobalt sulphate) are from the hydrometallurgical refinery metal recoveries.</w:t>
      </w:r>
    </w:p>
    <w:p>
      <w:pPr>
        <w:spacing w:after="0" w:line="119"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prices forecast by CRU and adopted for use in the economic analysis were derived from a report prepared by CRU dated October 23, 2020 and are listed in the table below. The Qualified Person considers the metal price assumptions underpinning the analysis are reasonable.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Commodity prices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2034 –</w:t>
            </w:r>
          </w:p>
        </w:tc>
      </w:tr>
      <w:tr>
        <w:trPr>
          <w:trHeight w:val="203"/>
        </w:trPr>
        <w:tc>
          <w:tcPr>
            <w:tcW w:w="154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2027</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2028</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2029</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2030</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2031</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2032</w:t>
            </w:r>
          </w:p>
        </w:tc>
        <w:tc>
          <w:tcPr>
            <w:tcW w:w="8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b w:val="1"/>
                <w:bCs w:val="1"/>
                <w:color w:val="auto"/>
              </w:rPr>
              <w:t>2033</w:t>
            </w:r>
          </w:p>
        </w:tc>
        <w:tc>
          <w:tcPr>
            <w:tcW w:w="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2046</w:t>
            </w:r>
          </w:p>
        </w:tc>
      </w:tr>
      <w:tr>
        <w:trPr>
          <w:trHeight w:val="210"/>
        </w:trPr>
        <w:tc>
          <w:tcPr>
            <w:tcW w:w="154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47"/>
        </w:trPr>
        <w:tc>
          <w:tcPr>
            <w:tcW w:w="15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182"/>
        </w:trPr>
        <w:tc>
          <w:tcPr>
            <w:tcW w:w="1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Ni metal, LME</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51"/>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14,067</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14,467</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14,868</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15,269</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15,670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16,071</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16,472</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16,472</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16,472</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16,472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16,472</w:t>
            </w:r>
          </w:p>
        </w:tc>
      </w:tr>
      <w:tr>
        <w:trPr>
          <w:trHeight w:val="243"/>
        </w:trPr>
        <w:tc>
          <w:tcPr>
            <w:tcW w:w="1540" w:type="dxa"/>
            <w:vAlign w:val="bottom"/>
          </w:tcPr>
          <w:p>
            <w:pPr>
              <w:spacing w:after="0"/>
              <w:rPr>
                <w:sz w:val="20"/>
                <w:szCs w:val="20"/>
                <w:color w:val="auto"/>
              </w:rPr>
            </w:pPr>
            <w:r>
              <w:rPr>
                <w:rFonts w:ascii="Arial" w:cs="Arial" w:eastAsia="Arial" w:hAnsi="Arial"/>
                <w:sz w:val="18"/>
                <w:szCs w:val="18"/>
                <w:color w:val="auto"/>
              </w:rPr>
              <w:t>Ni Sulphate (/t)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15,610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16,027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16,443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16,860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17,269</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17,678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18,087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18,087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18,087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18,087</w:t>
            </w:r>
          </w:p>
        </w:tc>
        <w:tc>
          <w:tcPr>
            <w:tcW w:w="760" w:type="dxa"/>
            <w:vAlign w:val="bottom"/>
          </w:tcPr>
          <w:p>
            <w:pPr>
              <w:jc w:val="right"/>
              <w:spacing w:after="0"/>
              <w:rPr>
                <w:sz w:val="20"/>
                <w:szCs w:val="20"/>
                <w:color w:val="auto"/>
              </w:rPr>
            </w:pPr>
            <w:r>
              <w:rPr>
                <w:rFonts w:ascii="Arial" w:cs="Arial" w:eastAsia="Arial" w:hAnsi="Arial"/>
                <w:sz w:val="18"/>
                <w:szCs w:val="18"/>
                <w:color w:val="auto"/>
              </w:rPr>
              <w:t>18,807</w:t>
            </w:r>
          </w:p>
        </w:tc>
      </w:tr>
      <w:tr>
        <w:trPr>
          <w:trHeight w:val="40"/>
        </w:trPr>
        <w:tc>
          <w:tcPr>
            <w:tcW w:w="1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SiMn, China</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import, 44% Mn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51"/>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(/dmtu)</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Cu, Grade A</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1540" w:type="dxa"/>
            <w:vAlign w:val="bottom"/>
          </w:tcPr>
          <w:p>
            <w:pPr>
              <w:ind w:left="180"/>
              <w:spacing w:after="0"/>
              <w:rPr>
                <w:sz w:val="20"/>
                <w:szCs w:val="20"/>
                <w:color w:val="auto"/>
              </w:rPr>
            </w:pPr>
            <w:r>
              <w:rPr>
                <w:rFonts w:ascii="Arial" w:cs="Arial" w:eastAsia="Arial" w:hAnsi="Arial"/>
                <w:sz w:val="18"/>
                <w:szCs w:val="18"/>
                <w:color w:val="auto"/>
              </w:rPr>
              <w:t>cathode – LME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1540" w:type="dxa"/>
            <w:vAlign w:val="bottom"/>
          </w:tcPr>
          <w:p>
            <w:pPr>
              <w:ind w:left="180"/>
              <w:spacing w:after="0"/>
              <w:rPr>
                <w:sz w:val="20"/>
                <w:szCs w:val="20"/>
                <w:color w:val="auto"/>
              </w:rPr>
            </w:pPr>
            <w:r>
              <w:rPr>
                <w:rFonts w:ascii="Arial" w:cs="Arial" w:eastAsia="Arial" w:hAnsi="Arial"/>
                <w:sz w:val="18"/>
                <w:szCs w:val="18"/>
                <w:color w:val="auto"/>
              </w:rPr>
              <w:t>cash (/t)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6,435</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6,497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6,557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6,615</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6,673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6,730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6,787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6,805</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6,822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6,839</w:t>
            </w:r>
          </w:p>
        </w:tc>
        <w:tc>
          <w:tcPr>
            <w:tcW w:w="760" w:type="dxa"/>
            <w:vAlign w:val="bottom"/>
          </w:tcPr>
          <w:p>
            <w:pPr>
              <w:jc w:val="right"/>
              <w:spacing w:after="0"/>
              <w:rPr>
                <w:sz w:val="20"/>
                <w:szCs w:val="20"/>
                <w:color w:val="auto"/>
              </w:rPr>
            </w:pPr>
            <w:r>
              <w:rPr>
                <w:rFonts w:ascii="Arial" w:cs="Arial" w:eastAsia="Arial" w:hAnsi="Arial"/>
                <w:sz w:val="18"/>
                <w:szCs w:val="18"/>
                <w:color w:val="auto"/>
              </w:rPr>
              <w:t>6,872</w:t>
            </w:r>
          </w:p>
        </w:tc>
      </w:tr>
      <w:tr>
        <w:trPr>
          <w:trHeight w:val="41"/>
        </w:trPr>
        <w:tc>
          <w:tcPr>
            <w:tcW w:w="1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 EU Co 99.8%</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51"/>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 (EXW) (/t)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52,881</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39,914</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38,204</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41,526</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45,137</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49,062</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51,106</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50,600</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49,126</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47,695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46,333</w:t>
            </w: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Co Sulphate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1540" w:type="dxa"/>
            <w:vAlign w:val="bottom"/>
          </w:tcPr>
          <w:p>
            <w:pPr>
              <w:ind w:left="180"/>
              <w:spacing w:after="0"/>
              <w:rPr>
                <w:sz w:val="20"/>
                <w:szCs w:val="20"/>
                <w:color w:val="auto"/>
              </w:rPr>
            </w:pPr>
            <w:r>
              <w:rPr>
                <w:rFonts w:ascii="Arial" w:cs="Arial" w:eastAsia="Arial" w:hAnsi="Arial"/>
                <w:sz w:val="18"/>
                <w:szCs w:val="18"/>
                <w:color w:val="auto"/>
                <w:w w:val="97"/>
              </w:rPr>
              <w:t>premium over Co</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540" w:type="dxa"/>
            <w:vAlign w:val="bottom"/>
          </w:tcPr>
          <w:p>
            <w:pPr>
              <w:ind w:left="180"/>
              <w:spacing w:after="0"/>
              <w:rPr>
                <w:sz w:val="20"/>
                <w:szCs w:val="20"/>
                <w:color w:val="auto"/>
              </w:rPr>
            </w:pPr>
            <w:r>
              <w:rPr>
                <w:rFonts w:ascii="Arial" w:cs="Arial" w:eastAsia="Arial" w:hAnsi="Arial"/>
                <w:sz w:val="18"/>
                <w:szCs w:val="18"/>
                <w:color w:val="auto"/>
              </w:rPr>
              <w:t>metal (ex-China)</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1540" w:type="dxa"/>
            <w:vAlign w:val="bottom"/>
          </w:tcPr>
          <w:p>
            <w:pPr>
              <w:ind w:left="180"/>
              <w:spacing w:after="0"/>
              <w:rPr>
                <w:sz w:val="20"/>
                <w:szCs w:val="20"/>
                <w:color w:val="auto"/>
              </w:rPr>
            </w:pPr>
            <w:r>
              <w:rPr>
                <w:rFonts w:ascii="Arial" w:cs="Arial" w:eastAsia="Arial" w:hAnsi="Arial"/>
                <w:sz w:val="18"/>
                <w:szCs w:val="18"/>
                <w:color w:val="auto"/>
              </w:rPr>
              <w:t>(/t)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64,250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49,035</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46,933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51,014</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55,450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60,272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62,784</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62,162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60,351</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58,594</w:t>
            </w:r>
          </w:p>
        </w:tc>
        <w:tc>
          <w:tcPr>
            <w:tcW w:w="760" w:type="dxa"/>
            <w:vAlign w:val="bottom"/>
          </w:tcPr>
          <w:p>
            <w:pPr>
              <w:jc w:val="right"/>
              <w:spacing w:after="0"/>
              <w:rPr>
                <w:sz w:val="20"/>
                <w:szCs w:val="20"/>
                <w:color w:val="auto"/>
              </w:rPr>
            </w:pPr>
            <w:r>
              <w:rPr>
                <w:rFonts w:ascii="Arial" w:cs="Arial" w:eastAsia="Arial" w:hAnsi="Arial"/>
                <w:sz w:val="18"/>
                <w:szCs w:val="18"/>
                <w:color w:val="auto"/>
              </w:rPr>
              <w:t>56,920</w:t>
            </w: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3" w:name="page94"/>
    <w:bookmarkEnd w:id="9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Production schedule</w:t>
      </w:r>
    </w:p>
    <w:p>
      <w:pPr>
        <w:spacing w:after="0" w:line="144"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The production schedule on which the economic analysis is based was developed on an annual basis. The Qualified Person cautions that a prefeasibility study has not been undertaken and that the seafloor production schedule is preliminary in nature and should not be interpreted as a mineral reserve. Approximately 96% of the mineral resource within NORI Area D is classified as indicated and a further 1% is classified as measured resource. The life of mine (“LOM”) production sequence includes 6 Mt (wet) of nodules that are classified as inferred mineral resources. This is approximately 2% of the total LOM production.</w:t>
      </w:r>
    </w:p>
    <w:p>
      <w:pPr>
        <w:spacing w:after="0" w:line="97" w:lineRule="exact"/>
        <w:rPr>
          <w:sz w:val="20"/>
          <w:szCs w:val="20"/>
          <w:color w:val="auto"/>
        </w:rPr>
      </w:pPr>
    </w:p>
    <w:p>
      <w:pPr>
        <w:ind w:left="460" w:right="839" w:firstLine="432"/>
        <w:spacing w:after="0" w:line="308" w:lineRule="auto"/>
        <w:rPr>
          <w:sz w:val="20"/>
          <w:szCs w:val="20"/>
          <w:color w:val="auto"/>
        </w:rPr>
      </w:pPr>
      <w:r>
        <w:rPr>
          <w:rFonts w:ascii="Arial" w:cs="Arial" w:eastAsia="Arial" w:hAnsi="Arial"/>
          <w:sz w:val="17"/>
          <w:szCs w:val="17"/>
          <w:color w:val="auto"/>
        </w:rPr>
        <w:t>The production schedule assumes staged operation initially of the Hidden Gem, then Drill Ship 2 and finally Collector Vessel 1, as outlined in Section 16.1 of the NORI Technical Report Summary.</w:t>
      </w:r>
    </w:p>
    <w:p>
      <w:pPr>
        <w:spacing w:after="0" w:line="7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nodule metal grades and nodule abundance varying annually according to the LOM schedule. The grades and nodule abundance for the mine plan were derived from a preliminary production schedule developed by AMC as outlined in Section 16.7 of the NORI Technical Report Summary. The higher abundance areas were targeted by the production schedule. The metal grades and abundance used in the schedule (the “IA”) are compared to the averages (of all mineral resource categories) for NORI Area D in the table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IA mine plan to Mineral Resource for NORI Area 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Mineral</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Resource in</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Seafloor</w:t>
            </w:r>
          </w:p>
        </w:tc>
        <w:tc>
          <w:tcPr>
            <w:tcW w:w="118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NORI Area 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production</w:t>
            </w:r>
          </w:p>
        </w:tc>
        <w:tc>
          <w:tcPr>
            <w:tcW w:w="1180" w:type="dxa"/>
            <w:vAlign w:val="bottom"/>
          </w:tcPr>
          <w:p>
            <w:pPr>
              <w:jc w:val="right"/>
              <w:ind w:right="172"/>
              <w:spacing w:after="0"/>
              <w:rPr>
                <w:sz w:val="20"/>
                <w:szCs w:val="20"/>
                <w:color w:val="auto"/>
              </w:rPr>
            </w:pPr>
            <w:r>
              <w:rPr>
                <w:rFonts w:ascii="Arial" w:cs="Arial" w:eastAsia="Arial" w:hAnsi="Arial"/>
                <w:sz w:val="16"/>
                <w:szCs w:val="16"/>
                <w:b w:val="1"/>
                <w:bCs w:val="1"/>
                <w:color w:val="auto"/>
              </w:rPr>
              <w:t>Difference</w:t>
            </w:r>
          </w:p>
        </w:tc>
      </w:tr>
      <w:tr>
        <w:trPr>
          <w:trHeight w:val="210"/>
        </w:trPr>
        <w:tc>
          <w:tcPr>
            <w:tcW w:w="45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(all categories)</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plan</w:t>
            </w:r>
          </w:p>
        </w:tc>
        <w:tc>
          <w:tcPr>
            <w:tcW w:w="118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r>
      <w:tr>
        <w:trPr>
          <w:trHeight w:val="47"/>
        </w:trPr>
        <w:tc>
          <w:tcPr>
            <w:tcW w:w="45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3"/>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Tonnage (Mt wet)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83"/>
        </w:trPr>
        <w:tc>
          <w:tcPr>
            <w:tcW w:w="4520" w:type="dxa"/>
            <w:vAlign w:val="bottom"/>
          </w:tcPr>
          <w:p>
            <w:pPr>
              <w:spacing w:after="0"/>
              <w:rPr>
                <w:sz w:val="20"/>
                <w:szCs w:val="20"/>
                <w:color w:val="auto"/>
              </w:rPr>
            </w:pPr>
            <w:r>
              <w:rPr>
                <w:rFonts w:ascii="Arial" w:cs="Arial" w:eastAsia="Arial" w:hAnsi="Arial"/>
                <w:sz w:val="18"/>
                <w:szCs w:val="18"/>
                <w:color w:val="auto"/>
              </w:rPr>
              <w:t>Nodule abundance (kg/m</w:t>
            </w:r>
            <w:r>
              <w:rPr>
                <w:rFonts w:ascii="Arial" w:cs="Arial" w:eastAsia="Arial" w:hAnsi="Arial"/>
                <w:sz w:val="20"/>
                <w:szCs w:val="20"/>
                <w:color w:val="auto"/>
                <w:vertAlign w:val="superscript"/>
              </w:rPr>
              <w:t>2</w:t>
            </w: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63"/>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Ni grade (%)</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Mn grade (%)</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0"/>
        </w:trPr>
        <w:tc>
          <w:tcPr>
            <w:tcW w:w="4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 grade (%)</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Co grade (%)</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202"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production ramp-up discussed in Section 17 of the NORI Technical Report Summary was adopted for the production schedule. The Qualified Person considers the assumptions underpinning the initial assessment and economic analysis are reasonable.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and operating costs</w:t>
      </w:r>
    </w:p>
    <w:p>
      <w:pPr>
        <w:spacing w:after="0" w:line="158"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The capital cost estimates for the Project are summarized below. Pre-project items include data gathering and studies that will occur prior to construction. Offshore project costs include the procurement and integration of the PSVs, the collector support vessel, the fabrication of the collectors, and the RALS. On-shore project costs consist principally of the construction of the minerals processing pyrometallurgical plant and hydrometallurgical refinery. Sustaining costs are for both on-shore and off-shore assets, and closure costs are principally for rehabilitation of the onshore minerals processing site.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92"/>
              <w:spacing w:after="0"/>
              <w:rPr>
                <w:sz w:val="20"/>
                <w:szCs w:val="20"/>
                <w:color w:val="auto"/>
              </w:rPr>
            </w:pPr>
            <w:r>
              <w:rPr>
                <w:rFonts w:ascii="Arial" w:cs="Arial" w:eastAsia="Arial" w:hAnsi="Arial"/>
                <w:sz w:val="16"/>
                <w:szCs w:val="16"/>
                <w:b w:val="1"/>
                <w:bCs w:val="1"/>
                <w:color w:val="auto"/>
              </w:rPr>
              <w:t>Cost estimate</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Section</w:t>
            </w:r>
          </w:p>
        </w:tc>
        <w:tc>
          <w:tcPr>
            <w:tcW w:w="1260" w:type="dxa"/>
            <w:vAlign w:val="bottom"/>
          </w:tcPr>
          <w:p>
            <w:pPr>
              <w:jc w:val="right"/>
              <w:ind w:right="192"/>
              <w:spacing w:after="0"/>
              <w:rPr>
                <w:sz w:val="20"/>
                <w:szCs w:val="20"/>
                <w:color w:val="auto"/>
              </w:rPr>
            </w:pPr>
            <w:r>
              <w:rPr>
                <w:rFonts w:ascii="Arial" w:cs="Arial" w:eastAsia="Arial" w:hAnsi="Arial"/>
                <w:sz w:val="16"/>
                <w:szCs w:val="16"/>
                <w:b w:val="1"/>
                <w:bCs w:val="1"/>
                <w:color w:val="auto"/>
              </w:rPr>
              <w:t>($ million)</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Pre-project costs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Project costs</w:t>
            </w:r>
          </w:p>
        </w:tc>
        <w:tc>
          <w:tcPr>
            <w:tcW w:w="1260" w:type="dxa"/>
            <w:vAlign w:val="bottom"/>
          </w:tcPr>
          <w:p>
            <w:pPr>
              <w:spacing w:after="0"/>
              <w:rPr>
                <w:sz w:val="21"/>
                <w:szCs w:val="21"/>
                <w:color w:val="auto"/>
              </w:rPr>
            </w:pPr>
          </w:p>
        </w:tc>
      </w:tr>
      <w:tr>
        <w:trPr>
          <w:trHeight w:val="41"/>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Off-shore project costs</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Project Zero</w:t>
            </w:r>
          </w:p>
        </w:tc>
        <w:tc>
          <w:tcPr>
            <w:tcW w:w="12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Project One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r>
      <w:tr>
        <w:trPr>
          <w:trHeight w:val="243"/>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color w:val="auto"/>
              </w:rPr>
              <w:t>2,448</w:t>
            </w:r>
          </w:p>
        </w:tc>
      </w:tr>
      <w:tr>
        <w:trPr>
          <w:trHeight w:val="41"/>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On-shore project costs</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Project One</w:t>
            </w:r>
          </w:p>
        </w:tc>
        <w:tc>
          <w:tcPr>
            <w:tcW w:w="1260" w:type="dxa"/>
            <w:vAlign w:val="bottom"/>
          </w:tcPr>
          <w:p>
            <w:pPr>
              <w:jc w:val="right"/>
              <w:spacing w:after="0"/>
              <w:rPr>
                <w:sz w:val="20"/>
                <w:szCs w:val="20"/>
                <w:color w:val="auto"/>
              </w:rPr>
            </w:pPr>
            <w:r>
              <w:rPr>
                <w:rFonts w:ascii="Arial" w:cs="Arial" w:eastAsia="Arial" w:hAnsi="Arial"/>
                <w:sz w:val="18"/>
                <w:szCs w:val="18"/>
                <w:color w:val="auto"/>
              </w:rPr>
              <w:t>4,786</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4,786</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Total project costs</w:t>
            </w:r>
          </w:p>
        </w:tc>
        <w:tc>
          <w:tcPr>
            <w:tcW w:w="1260" w:type="dxa"/>
            <w:vAlign w:val="bottom"/>
          </w:tcPr>
          <w:p>
            <w:pPr>
              <w:jc w:val="right"/>
              <w:spacing w:after="0"/>
              <w:rPr>
                <w:sz w:val="20"/>
                <w:szCs w:val="20"/>
                <w:color w:val="auto"/>
              </w:rPr>
            </w:pPr>
            <w:r>
              <w:rPr>
                <w:rFonts w:ascii="Arial" w:cs="Arial" w:eastAsia="Arial" w:hAnsi="Arial"/>
                <w:sz w:val="18"/>
                <w:szCs w:val="18"/>
                <w:color w:val="auto"/>
              </w:rPr>
              <w:t>7,234</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Sustaining capital costs (on-shore and off-shore)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r>
      <w:tr>
        <w:trPr>
          <w:trHeight w:val="257"/>
        </w:trPr>
        <w:tc>
          <w:tcPr>
            <w:tcW w:w="6840" w:type="dxa"/>
            <w:vAlign w:val="bottom"/>
            <w:gridSpan w:val="2"/>
          </w:tcPr>
          <w:p>
            <w:pPr>
              <w:spacing w:after="0"/>
              <w:rPr>
                <w:sz w:val="20"/>
                <w:szCs w:val="20"/>
                <w:color w:val="auto"/>
              </w:rPr>
            </w:pPr>
            <w:r>
              <w:rPr>
                <w:rFonts w:ascii="Arial" w:cs="Arial" w:eastAsia="Arial" w:hAnsi="Arial"/>
                <w:sz w:val="18"/>
                <w:szCs w:val="18"/>
                <w:color w:val="auto"/>
              </w:rPr>
              <w:t>Closure costs</w:t>
            </w: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Operating costs have been estimated at $1.8 billion per annum during steady state production (from 2030 onwards). Expenditure of a total of $37.5 billion over the life of the project on operating costs is expected. On-shore processing is the most significant operating cost.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Average operating cost estimates during steady state operation (from 2030 onwards)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Operating Cost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Average Unit</w:t>
            </w:r>
          </w:p>
        </w:tc>
        <w:tc>
          <w:tcPr>
            <w:tcW w:w="12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Average Unit</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over Life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Cost (/t – wet</w:t>
            </w:r>
          </w:p>
        </w:tc>
        <w:tc>
          <w:tcPr>
            <w:tcW w:w="12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w w:val="94"/>
              </w:rPr>
              <w:t>Cost (/t – dry</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Mine</w:t>
            </w:r>
          </w:p>
        </w:tc>
        <w:tc>
          <w:tcPr>
            <w:tcW w:w="6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7"/>
              </w:rPr>
              <w:t>tonne nodules</w:t>
            </w:r>
          </w:p>
        </w:tc>
        <w:tc>
          <w:tcPr>
            <w:tcW w:w="12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tonne</w:t>
            </w:r>
          </w:p>
        </w:tc>
      </w:tr>
      <w:tr>
        <w:trPr>
          <w:trHeight w:val="210"/>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Section</w:t>
            </w:r>
          </w:p>
        </w:tc>
        <w:tc>
          <w:tcPr>
            <w:tcW w:w="260" w:type="dxa"/>
            <w:vAlign w:val="bottom"/>
          </w:tcPr>
          <w:p>
            <w:pPr>
              <w:ind w:left="120"/>
              <w:spacing w:after="0"/>
              <w:rPr>
                <w:sz w:val="20"/>
                <w:szCs w:val="20"/>
                <w:color w:val="auto"/>
              </w:rPr>
            </w:pPr>
            <w:r>
              <w:rPr>
                <w:rFonts w:ascii="Arial" w:cs="Arial" w:eastAsia="Arial" w:hAnsi="Arial"/>
                <w:sz w:val="16"/>
                <w:szCs w:val="16"/>
                <w:b w:val="1"/>
                <w:bCs w:val="1"/>
                <w:color w:val="auto"/>
                <w:w w:val="84"/>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4"/>
              </w:rPr>
              <w:t>million pa)</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recovered)</w:t>
            </w:r>
          </w:p>
        </w:tc>
        <w:tc>
          <w:tcPr>
            <w:tcW w:w="120" w:type="dxa"/>
            <w:vAlign w:val="bottom"/>
          </w:tcPr>
          <w:p>
            <w:pPr>
              <w:spacing w:after="0"/>
              <w:rPr>
                <w:sz w:val="18"/>
                <w:szCs w:val="18"/>
                <w:color w:val="auto"/>
              </w:rPr>
            </w:pPr>
          </w:p>
        </w:tc>
        <w:tc>
          <w:tcPr>
            <w:tcW w:w="1160" w:type="dxa"/>
            <w:vAlign w:val="bottom"/>
          </w:tcPr>
          <w:p>
            <w:pPr>
              <w:jc w:val="center"/>
              <w:ind w:right="34"/>
              <w:spacing w:after="0"/>
              <w:rPr>
                <w:sz w:val="20"/>
                <w:szCs w:val="20"/>
                <w:color w:val="auto"/>
              </w:rPr>
            </w:pPr>
            <w:r>
              <w:rPr>
                <w:rFonts w:ascii="Arial" w:cs="Arial" w:eastAsia="Arial" w:hAnsi="Arial"/>
                <w:sz w:val="16"/>
                <w:szCs w:val="16"/>
                <w:b w:val="1"/>
                <w:bCs w:val="1"/>
                <w:color w:val="auto"/>
                <w:w w:val="84"/>
              </w:rPr>
              <w:t>processed)</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Off-shore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Shipping</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254.37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26.84</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On-shore</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1,286.19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135.71</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w:t>
            </w:r>
          </w:p>
        </w:tc>
      </w:tr>
      <w:tr>
        <w:trPr>
          <w:trHeight w:val="40"/>
        </w:trPr>
        <w:tc>
          <w:tcPr>
            <w:tcW w:w="4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For more information on capital and operating costs, see Section 18 of the NORI Technical Report Summary.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analysis</w:t>
      </w:r>
    </w:p>
    <w:p>
      <w:pPr>
        <w:spacing w:after="0" w:line="15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economic analysis set forth in Section 19 of the NORI Technical Report Summary presents a post-tax, real (uninflated) cash flows analysis. The valuation date is January 1, 2021. The analysis was performed on a 100% ownership basis and excludes consideration of financing costs and forward metal sales. The initial assessment indicates a positive economic outcome. Undiscounted post-tax net cash flow of $30.6 billion is expected. An internal rate of return of 27% has been estimated from the financial model. Discounted cash flow analysis of unleveraged real cashflows, discounting at 9% per annum, indicates a pre-tax project net present value (NPV) of $11.2 billion and a post-tax project NPV of $6.8 billion, which includes the LOM production of polymetallic nodules that are presently classified as inferred mineral resources, representing approximately 2% of the total LOM production. Excluding the inferred mineral resources from the economic analysis, the post-tax project NPV is estimated at $6.7 billion, which is not a significant difference from the economic analysis that includes the inferred mineral resources. The project reaches its lowest cumulative undiscounted cashflow figure of $4.0 billion in 2026. Undiscounted payback period is 6.6 years after commencement of production.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total cashflows are summarized below:</w:t>
      </w:r>
    </w:p>
    <w:p>
      <w:pPr>
        <w:spacing w:after="0" w:line="199"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Value</w:t>
      </w:r>
    </w:p>
    <w:p>
      <w:pPr>
        <w:spacing w:after="0" w:line="26" w:lineRule="exact"/>
        <w:rPr>
          <w:sz w:val="20"/>
          <w:szCs w:val="20"/>
          <w:color w:val="auto"/>
        </w:rPr>
      </w:pPr>
    </w:p>
    <w:p>
      <w:pPr>
        <w:ind w:left="7560"/>
        <w:spacing w:after="0"/>
        <w:rPr>
          <w:sz w:val="20"/>
          <w:szCs w:val="20"/>
          <w:color w:val="auto"/>
        </w:rPr>
      </w:pPr>
      <w:r>
        <w:rPr>
          <w:rFonts w:ascii="Arial" w:cs="Arial" w:eastAsia="Arial" w:hAnsi="Arial"/>
          <w:sz w:val="15"/>
          <w:szCs w:val="15"/>
          <w:b w:val="1"/>
          <w:bCs w:val="1"/>
          <w:color w:val="auto"/>
        </w:rPr>
        <w:t>($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48895</wp:posOffset>
            </wp:positionV>
            <wp:extent cx="514350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Cashflow item</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Ni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Mn revenue</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Cu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 revenue</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Ammonium sulphate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revenue</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Pre-project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Off-shore construction</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On-shore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Off-shore sustaining capital</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On-shore sustaining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Closure costs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Off-shore operating costs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Shipping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On-shore operating costs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Corporate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operating costs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Onshore tax</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775" w:hanging="775"/>
        <w:spacing w:after="0"/>
        <w:tabs>
          <w:tab w:leader="none" w:pos="775" w:val="left"/>
        </w:tabs>
        <w:numPr>
          <w:ilvl w:val="0"/>
          <w:numId w:val="49"/>
        </w:numPr>
        <w:rPr>
          <w:rFonts w:ascii="Arial" w:cs="Arial" w:eastAsia="Arial" w:hAnsi="Arial"/>
          <w:sz w:val="16"/>
          <w:szCs w:val="16"/>
          <w:color w:val="auto"/>
        </w:rPr>
      </w:pPr>
      <w:r>
        <w:rPr>
          <w:rFonts w:ascii="Arial" w:cs="Arial" w:eastAsia="Arial" w:hAnsi="Arial"/>
          <w:sz w:val="16"/>
          <w:szCs w:val="16"/>
          <w:color w:val="auto"/>
        </w:rPr>
        <w:t>44,106</w:t>
      </w:r>
    </w:p>
    <w:p>
      <w:pPr>
        <w:spacing w:after="0" w:line="100" w:lineRule="exact"/>
        <w:rPr>
          <w:sz w:val="20"/>
          <w:szCs w:val="20"/>
          <w:color w:val="auto"/>
        </w:rPr>
      </w:pPr>
    </w:p>
    <w:p>
      <w:pPr>
        <w:ind w:left="775" w:hanging="775"/>
        <w:spacing w:after="0"/>
        <w:tabs>
          <w:tab w:leader="none" w:pos="7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26,785</w:t>
      </w:r>
    </w:p>
    <w:p>
      <w:pPr>
        <w:spacing w:after="0" w:line="100" w:lineRule="exact"/>
        <w:rPr>
          <w:sz w:val="20"/>
          <w:szCs w:val="20"/>
          <w:color w:val="auto"/>
        </w:rPr>
      </w:pPr>
    </w:p>
    <w:p>
      <w:pPr>
        <w:ind w:left="775" w:hanging="775"/>
        <w:spacing w:after="0"/>
        <w:tabs>
          <w:tab w:leader="none" w:pos="775" w:val="left"/>
        </w:tabs>
        <w:numPr>
          <w:ilvl w:val="0"/>
          <w:numId w:val="51"/>
        </w:numPr>
        <w:rPr>
          <w:rFonts w:ascii="Arial" w:cs="Arial" w:eastAsia="Arial" w:hAnsi="Arial"/>
          <w:sz w:val="16"/>
          <w:szCs w:val="16"/>
          <w:color w:val="auto"/>
        </w:rPr>
      </w:pPr>
      <w:r>
        <w:rPr>
          <w:rFonts w:ascii="Arial" w:cs="Arial" w:eastAsia="Arial" w:hAnsi="Arial"/>
          <w:sz w:val="16"/>
          <w:szCs w:val="16"/>
          <w:color w:val="auto"/>
        </w:rPr>
        <w:t>12,685</w:t>
      </w:r>
    </w:p>
    <w:p>
      <w:pPr>
        <w:spacing w:after="0" w:line="100" w:lineRule="exact"/>
        <w:rPr>
          <w:sz w:val="20"/>
          <w:szCs w:val="20"/>
          <w:color w:val="auto"/>
        </w:rPr>
      </w:pPr>
    </w:p>
    <w:p>
      <w:pPr>
        <w:ind w:left="775" w:hanging="775"/>
        <w:spacing w:after="0"/>
        <w:tabs>
          <w:tab w:leader="none" w:pos="775" w:val="left"/>
        </w:tabs>
        <w:numPr>
          <w:ilvl w:val="0"/>
          <w:numId w:val="52"/>
        </w:numPr>
        <w:rPr>
          <w:rFonts w:ascii="Arial" w:cs="Arial" w:eastAsia="Arial" w:hAnsi="Arial"/>
          <w:sz w:val="16"/>
          <w:szCs w:val="16"/>
          <w:color w:val="auto"/>
        </w:rPr>
      </w:pPr>
      <w:r>
        <w:rPr>
          <w:rFonts w:ascii="Arial" w:cs="Arial" w:eastAsia="Arial" w:hAnsi="Arial"/>
          <w:sz w:val="16"/>
          <w:szCs w:val="16"/>
          <w:color w:val="auto"/>
        </w:rPr>
        <w:t>11,075</w:t>
      </w:r>
    </w:p>
    <w:p>
      <w:pPr>
        <w:spacing w:after="0" w:line="113" w:lineRule="exact"/>
        <w:rPr>
          <w:sz w:val="20"/>
          <w:szCs w:val="20"/>
          <w:color w:val="auto"/>
        </w:rPr>
      </w:pPr>
    </w:p>
    <w:p>
      <w:pPr>
        <w:ind w:left="995" w:hanging="995"/>
        <w:spacing w:after="0"/>
        <w:tabs>
          <w:tab w:leader="none" w:pos="9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439</w:t>
      </w:r>
    </w:p>
    <w:p>
      <w:pPr>
        <w:spacing w:after="0" w:line="96" w:lineRule="exact"/>
        <w:rPr>
          <w:sz w:val="20"/>
          <w:szCs w:val="20"/>
          <w:color w:val="auto"/>
        </w:rPr>
      </w:pPr>
    </w:p>
    <w:p>
      <w:pPr>
        <w:ind w:left="775" w:hanging="775"/>
        <w:spacing w:after="0"/>
        <w:tabs>
          <w:tab w:leader="none" w:pos="775"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95,090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8058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70" w:lineRule="exact"/>
        <w:rPr>
          <w:sz w:val="20"/>
          <w:szCs w:val="20"/>
          <w:color w:val="auto"/>
        </w:rPr>
      </w:pPr>
    </w:p>
    <w:p>
      <w:pPr>
        <w:ind w:left="995" w:hanging="995"/>
        <w:spacing w:after="0"/>
        <w:tabs>
          <w:tab w:leader="none" w:pos="9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237</w:t>
      </w:r>
    </w:p>
    <w:p>
      <w:pPr>
        <w:spacing w:after="0" w:line="100" w:lineRule="exact"/>
        <w:rPr>
          <w:sz w:val="20"/>
          <w:szCs w:val="20"/>
          <w:color w:val="auto"/>
        </w:rPr>
      </w:pPr>
    </w:p>
    <w:p>
      <w:pPr>
        <w:ind w:left="855" w:hanging="855"/>
        <w:spacing w:after="0"/>
        <w:tabs>
          <w:tab w:leader="none" w:pos="8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2,448</w:t>
      </w:r>
    </w:p>
    <w:p>
      <w:pPr>
        <w:spacing w:after="0" w:line="100" w:lineRule="exact"/>
        <w:rPr>
          <w:sz w:val="20"/>
          <w:szCs w:val="20"/>
          <w:color w:val="auto"/>
        </w:rPr>
      </w:pPr>
    </w:p>
    <w:p>
      <w:pPr>
        <w:ind w:left="855" w:hanging="855"/>
        <w:spacing w:after="0"/>
        <w:tabs>
          <w:tab w:leader="none" w:pos="8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4,786</w:t>
      </w:r>
    </w:p>
    <w:p>
      <w:pPr>
        <w:spacing w:after="0" w:line="100" w:lineRule="exact"/>
        <w:rPr>
          <w:sz w:val="20"/>
          <w:szCs w:val="20"/>
          <w:color w:val="auto"/>
        </w:rPr>
      </w:pPr>
    </w:p>
    <w:p>
      <w:pPr>
        <w:ind w:left="855" w:hanging="855"/>
        <w:spacing w:after="0"/>
        <w:tabs>
          <w:tab w:leader="none" w:pos="8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1,418</w:t>
      </w:r>
    </w:p>
    <w:p>
      <w:pPr>
        <w:spacing w:after="0" w:line="100" w:lineRule="exact"/>
        <w:rPr>
          <w:sz w:val="20"/>
          <w:szCs w:val="20"/>
          <w:color w:val="auto"/>
        </w:rPr>
      </w:pPr>
    </w:p>
    <w:p>
      <w:pPr>
        <w:ind w:left="855" w:hanging="855"/>
        <w:spacing w:after="0"/>
        <w:tabs>
          <w:tab w:leader="none" w:pos="8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1,219</w:t>
      </w:r>
    </w:p>
    <w:p>
      <w:pPr>
        <w:spacing w:after="0" w:line="113" w:lineRule="exact"/>
        <w:rPr>
          <w:sz w:val="20"/>
          <w:szCs w:val="20"/>
          <w:color w:val="auto"/>
        </w:rPr>
      </w:pPr>
    </w:p>
    <w:p>
      <w:pPr>
        <w:ind w:left="995" w:hanging="995"/>
        <w:spacing w:after="0"/>
        <w:tabs>
          <w:tab w:leader="none" w:pos="9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8058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76" w:lineRule="exact"/>
        <w:rPr>
          <w:sz w:val="20"/>
          <w:szCs w:val="20"/>
          <w:color w:val="auto"/>
        </w:rPr>
      </w:pPr>
    </w:p>
    <w:p>
      <w:pPr>
        <w:ind w:left="775" w:hanging="775"/>
        <w:spacing w:after="0"/>
        <w:tabs>
          <w:tab w:leader="none" w:pos="775"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10,607</w:t>
      </w:r>
    </w:p>
    <w:p>
      <w:pPr>
        <w:spacing w:after="0" w:line="90" w:lineRule="exact"/>
        <w:rPr>
          <w:sz w:val="20"/>
          <w:szCs w:val="20"/>
          <w:color w:val="auto"/>
        </w:rPr>
      </w:pPr>
    </w:p>
    <w:p>
      <w:pPr>
        <w:ind w:left="855" w:hanging="855"/>
        <w:spacing w:after="0"/>
        <w:tabs>
          <w:tab w:leader="none" w:pos="8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5,154</w:t>
      </w:r>
    </w:p>
    <w:p>
      <w:pPr>
        <w:spacing w:after="0" w:line="100" w:lineRule="exact"/>
        <w:rPr>
          <w:sz w:val="20"/>
          <w:szCs w:val="20"/>
          <w:color w:val="auto"/>
        </w:rPr>
      </w:pPr>
    </w:p>
    <w:p>
      <w:pPr>
        <w:ind w:left="855" w:hanging="855"/>
        <w:spacing w:after="0"/>
        <w:tabs>
          <w:tab w:leader="none" w:pos="8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5,266</w:t>
      </w:r>
    </w:p>
    <w:p>
      <w:pPr>
        <w:spacing w:after="0" w:line="100" w:lineRule="exact"/>
        <w:rPr>
          <w:sz w:val="20"/>
          <w:szCs w:val="20"/>
          <w:color w:val="auto"/>
        </w:rPr>
      </w:pPr>
    </w:p>
    <w:p>
      <w:pPr>
        <w:ind w:left="775" w:hanging="775"/>
        <w:spacing w:after="0"/>
        <w:tabs>
          <w:tab w:leader="none" w:pos="775" w:val="left"/>
        </w:tabs>
        <w:numPr>
          <w:ilvl w:val="0"/>
          <w:numId w:val="64"/>
        </w:numPr>
        <w:rPr>
          <w:rFonts w:ascii="Arial" w:cs="Arial" w:eastAsia="Arial" w:hAnsi="Arial"/>
          <w:sz w:val="16"/>
          <w:szCs w:val="16"/>
          <w:color w:val="auto"/>
        </w:rPr>
      </w:pPr>
      <w:r>
        <w:rPr>
          <w:rFonts w:ascii="Arial" w:cs="Arial" w:eastAsia="Arial" w:hAnsi="Arial"/>
          <w:sz w:val="16"/>
          <w:szCs w:val="16"/>
          <w:color w:val="auto"/>
        </w:rPr>
        <w:t>26,544</w:t>
      </w:r>
    </w:p>
    <w:p>
      <w:pPr>
        <w:spacing w:after="0" w:line="113" w:lineRule="exact"/>
        <w:rPr>
          <w:sz w:val="20"/>
          <w:szCs w:val="20"/>
          <w:color w:val="auto"/>
        </w:rPr>
      </w:pPr>
    </w:p>
    <w:p>
      <w:pPr>
        <w:ind w:left="995" w:hanging="995"/>
        <w:spacing w:after="0"/>
        <w:tabs>
          <w:tab w:leader="none" w:pos="995" w:val="left"/>
        </w:tabs>
        <w:numPr>
          <w:ilvl w:val="0"/>
          <w:numId w:val="65"/>
        </w:numPr>
        <w:rPr>
          <w:rFonts w:ascii="Arial" w:cs="Arial" w:eastAsia="Arial" w:hAnsi="Arial"/>
          <w:sz w:val="16"/>
          <w:szCs w:val="16"/>
          <w:color w:val="auto"/>
        </w:rPr>
      </w:pPr>
      <w:r>
        <w:rPr>
          <w:rFonts w:ascii="Arial" w:cs="Arial" w:eastAsia="Arial" w:hAnsi="Arial"/>
          <w:sz w:val="16"/>
          <w:szCs w:val="16"/>
          <w:color w:val="auto"/>
        </w:rPr>
        <w:t>560</w:t>
      </w:r>
    </w:p>
    <w:p>
      <w:pPr>
        <w:spacing w:after="0" w:line="96" w:lineRule="exact"/>
        <w:rPr>
          <w:sz w:val="20"/>
          <w:szCs w:val="20"/>
          <w:color w:val="auto"/>
        </w:rPr>
      </w:pPr>
    </w:p>
    <w:p>
      <w:pPr>
        <w:ind w:left="775" w:hanging="775"/>
        <w:spacing w:after="0"/>
        <w:tabs>
          <w:tab w:leader="none" w:pos="775"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37,524</w:t>
      </w:r>
    </w:p>
    <w:p>
      <w:pPr>
        <w:spacing w:after="0" w:line="90" w:lineRule="exact"/>
        <w:rPr>
          <w:rFonts w:ascii="Arial" w:cs="Arial" w:eastAsia="Arial" w:hAnsi="Arial"/>
          <w:sz w:val="16"/>
          <w:szCs w:val="16"/>
          <w:b w:val="1"/>
          <w:bCs w:val="1"/>
          <w:color w:val="auto"/>
        </w:rPr>
      </w:pPr>
    </w:p>
    <w:p>
      <w:pPr>
        <w:ind w:left="855" w:hanging="855"/>
        <w:spacing w:after="0"/>
        <w:tabs>
          <w:tab w:leader="none" w:pos="8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7,195</w:t>
      </w:r>
    </w:p>
    <w:p>
      <w:pPr>
        <w:spacing w:after="0" w:line="113" w:lineRule="exact"/>
        <w:rPr>
          <w:rFonts w:ascii="Arial" w:cs="Arial" w:eastAsia="Arial" w:hAnsi="Arial"/>
          <w:sz w:val="16"/>
          <w:szCs w:val="16"/>
          <w:color w:val="auto"/>
        </w:rPr>
      </w:pPr>
    </w:p>
    <w:p>
      <w:pPr>
        <w:ind w:left="855" w:hanging="855"/>
        <w:spacing w:after="0"/>
        <w:tabs>
          <w:tab w:leader="none" w:pos="8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9,123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8058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6565" w:space="720"/>
            <w:col w:w="1734"/>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57"/>
        </w:trPr>
        <w:tc>
          <w:tcPr>
            <w:tcW w:w="6820" w:type="dxa"/>
            <w:vAlign w:val="bottom"/>
          </w:tcPr>
          <w:p>
            <w:pPr>
              <w:spacing w:after="0"/>
              <w:rPr>
                <w:sz w:val="20"/>
                <w:szCs w:val="20"/>
                <w:color w:val="auto"/>
              </w:rPr>
            </w:pPr>
            <w:r>
              <w:rPr>
                <w:rFonts w:ascii="Arial" w:cs="Arial" w:eastAsia="Arial" w:hAnsi="Arial"/>
                <w:sz w:val="18"/>
                <w:szCs w:val="18"/>
                <w:b w:val="1"/>
                <w:bCs w:val="1"/>
                <w:color w:val="auto"/>
              </w:rPr>
              <w:t>Taxes and royalties</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16,318</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undiscounted cashflow</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30,641</w:t>
            </w:r>
          </w:p>
        </w:tc>
      </w:tr>
      <w:tr>
        <w:trPr>
          <w:trHeight w:val="20"/>
        </w:trPr>
        <w:tc>
          <w:tcPr>
            <w:tcW w:w="6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Project revenues are expected to come from the following sources: (a) a nickel sulphate product; (b) a copper cathode product; (c) a cobalt sulphate product; (d) a manganese silicate product; (e) an ammonium sulphate product; (f) a nickel alloy product containing copper and cobalt; and (g) a matte product from the NORI pyrometallurgical plants containing nickel, copper and cobalt which would be sold to the matte market.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discounted cashflows and progressive NPVs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22542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22542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6" w:name="page97"/>
    <w:bookmarkEnd w:id="9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date of the investment decision is expected to be on or around June 30, 2023. The analysis assumes NORI spending of $237 million on pre-project activities between 2021 and 2024. The future value of the project on June 30, 2023 (after the pre-project expenditure is sunk and time has elapsed) is expected to be $8.6 billion and the initial rate of return from that point is expected to be 29%.</w:t>
      </w:r>
    </w:p>
    <w:p>
      <w:pPr>
        <w:spacing w:after="0" w:line="119"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The sensitivity of project economics to changes in the main variables was tested by selecting high and low values that represent a likely range of potential operating conditions. The variables with the biggest negative impact on NPV are all metal prices, total OPEX, collector speed, nickel sulphate price and development capex. In general, revenue drivers have the biggest impact, followed by OPEX variables and then CAPEX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66040</wp:posOffset>
            </wp:positionV>
            <wp:extent cx="4457700" cy="25717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4577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Tornado diagram of NPV sensitivity to variables</w:t>
      </w:r>
    </w:p>
    <w:p>
      <w:pPr>
        <w:spacing w:after="0" w:line="15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The initial assessment is preliminary in nature, and further planning, engineering studies, design, cost estimation and seafloor tests are required before mineral resources can be converted to mineral reserves. There is no certainty that the proposals and results presented in the initial assessment will be realized. A prefeasibility study has not yet been undertaken. Mineral resources are not mineral reserves and do not have demonstrated economic viability.</w:t>
      </w:r>
    </w:p>
    <w:p>
      <w:pPr>
        <w:spacing w:after="0" w:line="107"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The initial assessment included in the NORI Technical Report Summary indicates that the NORI Area mineral resource is potentially economic. The Qualified Person recommends that further data gathering, analysis, design and cost estimation be undertaken to advance the project.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 controls and data verification</w:t>
      </w:r>
    </w:p>
    <w:p>
      <w:pPr>
        <w:spacing w:after="0" w:line="158"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Area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97"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301" w:lineRule="auto"/>
        <w:rPr>
          <w:sz w:val="20"/>
          <w:szCs w:val="20"/>
          <w:color w:val="auto"/>
        </w:rPr>
      </w:pPr>
      <w:r>
        <w:rPr>
          <w:rFonts w:ascii="Arial" w:cs="Arial" w:eastAsia="Arial" w:hAnsi="Arial"/>
          <w:sz w:val="16"/>
          <w:szCs w:val="16"/>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is of high quality and suitable for estimation of measured mineral resources.</w:t>
      </w:r>
    </w:p>
    <w:p>
      <w:pPr>
        <w:spacing w:after="0" w:line="90"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09"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For more information about quality control/quality assurance and data verification, see Section 8 and Section 9 of the NORI Technical Report Summary.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TOML Contract Area</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filed as exhibit 96.2 to the registration statement of which this prospectus forms a part. The TOML Technical Report Summary is incorporated herein by reference and made a part hereof.</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Location of the TOML Contract Area and access</w:t>
      </w:r>
    </w:p>
    <w:p>
      <w:pPr>
        <w:spacing w:after="0" w:line="158" w:lineRule="exact"/>
        <w:rPr>
          <w:sz w:val="20"/>
          <w:szCs w:val="20"/>
          <w:color w:val="auto"/>
        </w:rPr>
      </w:pPr>
    </w:p>
    <w:p>
      <w:pPr>
        <w:ind w:left="460" w:right="499" w:firstLine="432"/>
        <w:spacing w:after="0" w:line="298" w:lineRule="auto"/>
        <w:rPr>
          <w:sz w:val="20"/>
          <w:szCs w:val="20"/>
          <w:color w:val="auto"/>
        </w:rPr>
      </w:pPr>
      <w:r>
        <w:rPr>
          <w:rFonts w:ascii="Arial" w:cs="Arial" w:eastAsia="Arial" w:hAnsi="Arial"/>
          <w:sz w:val="16"/>
          <w:szCs w:val="16"/>
          <w:color w:val="auto"/>
        </w:rPr>
        <w:t>The TOML Area is located within the CCZ of the northeast Pacific Ocean. The CCZ is located in international waters between Hawaii and Mexico. The western end of the CCZ is approximately 1,000 km south of the Hawaiian island group. From here, the CCZ extends over 4,500 km east-northeast, in an approximately 600 km wide trend, with the eastern limits approximately 2,000 km west of southern Mexico. The region is well-located to ship nodules to the American continent or across the Pacific to Asian markets. The TOML Contract Area comprises six separate blocks (A through F) in the CCZ with a combined area of 74,713 km</w:t>
      </w:r>
      <w:r>
        <w:rPr>
          <w:rFonts w:ascii="Arial" w:cs="Arial" w:eastAsia="Arial" w:hAnsi="Arial"/>
          <w:sz w:val="18"/>
          <w:szCs w:val="18"/>
          <w:color w:val="auto"/>
          <w:vertAlign w:val="superscript"/>
        </w:rPr>
        <w:t>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38100</wp:posOffset>
            </wp:positionV>
            <wp:extent cx="3497580" cy="2691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9758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TOML Contract Area extents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Minimum</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Maximum</w:t>
            </w:r>
          </w:p>
        </w:tc>
        <w:tc>
          <w:tcPr>
            <w:tcW w:w="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Minimum</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Maximum</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Minimum</w:t>
            </w:r>
          </w:p>
        </w:tc>
        <w:tc>
          <w:tcPr>
            <w:tcW w:w="168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Maximum Minimum</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Maximum</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Latitude</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Latitude</w:t>
            </w:r>
          </w:p>
        </w:tc>
        <w:tc>
          <w:tcPr>
            <w:tcW w:w="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Longitude</w:t>
            </w:r>
          </w:p>
        </w:tc>
        <w:tc>
          <w:tcPr>
            <w:tcW w:w="8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Longitude</w:t>
            </w:r>
          </w:p>
        </w:tc>
        <w:tc>
          <w:tcPr>
            <w:tcW w:w="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UTM X</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UTM X</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UTM Y</w:t>
            </w:r>
          </w:p>
        </w:tc>
        <w:tc>
          <w:tcPr>
            <w:tcW w:w="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UTM Y</w:t>
            </w:r>
          </w:p>
        </w:tc>
        <w:tc>
          <w:tcPr>
            <w:tcW w:w="5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UTM</w:t>
            </w:r>
          </w:p>
        </w:tc>
        <w:tc>
          <w:tcPr>
            <w:tcW w:w="0" w:type="dxa"/>
            <w:vAlign w:val="bottom"/>
          </w:tcPr>
          <w:p>
            <w:pPr>
              <w:spacing w:after="0"/>
              <w:rPr>
                <w:sz w:val="1"/>
                <w:szCs w:val="1"/>
                <w:color w:val="auto"/>
              </w:rPr>
            </w:pPr>
          </w:p>
        </w:tc>
      </w:tr>
      <w:tr>
        <w:trPr>
          <w:trHeight w:val="210"/>
        </w:trPr>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Area</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(DD)</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(DD)</w:t>
            </w: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(DD)</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(DD)</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(m)</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w:t>
            </w:r>
          </w:p>
        </w:tc>
        <w:tc>
          <w:tcPr>
            <w:tcW w:w="5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4"/>
              </w:rPr>
              <w:t>Zone</w:t>
            </w:r>
          </w:p>
        </w:tc>
        <w:tc>
          <w:tcPr>
            <w:tcW w:w="0" w:type="dxa"/>
            <w:vAlign w:val="bottom"/>
          </w:tcPr>
          <w:p>
            <w:pPr>
              <w:spacing w:after="0"/>
              <w:rPr>
                <w:sz w:val="1"/>
                <w:szCs w:val="1"/>
                <w:color w:val="auto"/>
              </w:rPr>
            </w:pPr>
          </w:p>
        </w:tc>
      </w:tr>
      <w:tr>
        <w:trPr>
          <w:trHeight w:val="46"/>
        </w:trPr>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7.167 N</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8"/>
              </w:rPr>
              <w:t>8.167 N</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151.667 W</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152.510 W</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86"/>
              </w:rPr>
              <w:t>553972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B</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13.580 N</w:t>
            </w:r>
          </w:p>
        </w:tc>
        <w:tc>
          <w:tcPr>
            <w:tcW w:w="2620" w:type="dxa"/>
            <w:vAlign w:val="bottom"/>
            <w:gridSpan w:val="6"/>
          </w:tcPr>
          <w:p>
            <w:pPr>
              <w:jc w:val="right"/>
              <w:ind w:right="80"/>
              <w:spacing w:after="0"/>
              <w:rPr>
                <w:sz w:val="20"/>
                <w:szCs w:val="20"/>
                <w:color w:val="auto"/>
              </w:rPr>
            </w:pPr>
            <w:r>
              <w:rPr>
                <w:rFonts w:ascii="Arial" w:cs="Arial" w:eastAsia="Arial" w:hAnsi="Arial"/>
                <w:sz w:val="18"/>
                <w:szCs w:val="18"/>
                <w:color w:val="auto"/>
                <w:w w:val="97"/>
              </w:rPr>
              <w:t>14.667 N 132.000 W 133.200 W</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694518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824685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1502009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1623605</w:t>
            </w:r>
          </w:p>
        </w:tc>
        <w:tc>
          <w:tcPr>
            <w:tcW w:w="540" w:type="dxa"/>
            <w:vAlign w:val="bottom"/>
          </w:tcPr>
          <w:p>
            <w:pPr>
              <w:jc w:val="right"/>
              <w:spacing w:after="0"/>
              <w:rPr>
                <w:sz w:val="20"/>
                <w:szCs w:val="20"/>
                <w:color w:val="auto"/>
              </w:rPr>
            </w:pPr>
            <w:r>
              <w:rPr>
                <w:rFonts w:ascii="Arial" w:cs="Arial" w:eastAsia="Arial" w:hAnsi="Arial"/>
                <w:sz w:val="18"/>
                <w:szCs w:val="18"/>
                <w:color w:val="auto"/>
              </w:rPr>
              <w:t>08P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 N</w:t>
            </w:r>
          </w:p>
        </w:tc>
        <w:tc>
          <w:tcPr>
            <w:tcW w:w="262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w w:val="97"/>
              </w:rPr>
              <w:t>15.800 N 128.583 W 131.000 W</w:t>
            </w:r>
          </w:p>
        </w:tc>
        <w:tc>
          <w:tcPr>
            <w:tcW w:w="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284947</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544791</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1658371</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1747847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09P</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D</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13.125 N</w:t>
            </w:r>
          </w:p>
        </w:tc>
        <w:tc>
          <w:tcPr>
            <w:tcW w:w="2620" w:type="dxa"/>
            <w:vAlign w:val="bottom"/>
            <w:gridSpan w:val="6"/>
          </w:tcPr>
          <w:p>
            <w:pPr>
              <w:jc w:val="right"/>
              <w:ind w:right="80"/>
              <w:spacing w:after="0"/>
              <w:rPr>
                <w:sz w:val="20"/>
                <w:szCs w:val="20"/>
                <w:color w:val="auto"/>
              </w:rPr>
            </w:pPr>
            <w:r>
              <w:rPr>
                <w:rFonts w:ascii="Arial" w:cs="Arial" w:eastAsia="Arial" w:hAnsi="Arial"/>
                <w:sz w:val="18"/>
                <w:szCs w:val="18"/>
                <w:color w:val="auto"/>
                <w:w w:val="97"/>
              </w:rPr>
              <w:t>14.083 N 123.583 W 125.333 W</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247293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437022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1451031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1557860</w:t>
            </w:r>
          </w:p>
        </w:tc>
        <w:tc>
          <w:tcPr>
            <w:tcW w:w="540" w:type="dxa"/>
            <w:vAlign w:val="bottom"/>
          </w:tcPr>
          <w:p>
            <w:pPr>
              <w:jc w:val="right"/>
              <w:spacing w:after="0"/>
              <w:rPr>
                <w:sz w:val="20"/>
                <w:szCs w:val="20"/>
                <w:color w:val="auto"/>
              </w:rPr>
            </w:pPr>
            <w:r>
              <w:rPr>
                <w:rFonts w:ascii="Arial" w:cs="Arial" w:eastAsia="Arial" w:hAnsi="Arial"/>
                <w:sz w:val="18"/>
                <w:szCs w:val="18"/>
                <w:color w:val="auto"/>
              </w:rPr>
              <w:t>10P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12.750 N</w:t>
            </w:r>
          </w:p>
        </w:tc>
        <w:tc>
          <w:tcPr>
            <w:tcW w:w="262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w w:val="97"/>
              </w:rPr>
              <w:t>13.083 N 123.583 W 125.333 W</w:t>
            </w:r>
          </w:p>
        </w:tc>
        <w:tc>
          <w:tcPr>
            <w:tcW w:w="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246693</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436796</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1409563</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1447513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10P</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F</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9.895 N</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11.083 N</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117.817 W</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118.917 W</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289835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410804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1093917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1225828</w:t>
            </w:r>
          </w:p>
        </w:tc>
        <w:tc>
          <w:tcPr>
            <w:tcW w:w="540" w:type="dxa"/>
            <w:vAlign w:val="bottom"/>
          </w:tcPr>
          <w:p>
            <w:pPr>
              <w:jc w:val="right"/>
              <w:spacing w:after="0"/>
              <w:rPr>
                <w:sz w:val="20"/>
                <w:szCs w:val="20"/>
                <w:color w:val="auto"/>
              </w:rPr>
            </w:pPr>
            <w:r>
              <w:rPr>
                <w:rFonts w:ascii="Arial" w:cs="Arial" w:eastAsia="Arial" w:hAnsi="Arial"/>
                <w:sz w:val="18"/>
                <w:szCs w:val="18"/>
                <w:color w:val="auto"/>
              </w:rPr>
              <w:t>11P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DD — Decimal degrees, UTM — Universal Transverse Mercator map projection</w:t>
      </w:r>
    </w:p>
    <w:p>
      <w:pPr>
        <w:spacing w:after="0" w:line="149"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The CCZ lies between Hawaii and Mexico and is accessible by ship from various ports in the United States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 The region is well located to ship nodules to the American continent or across the Pacific Ocean to Asian markets.</w:t>
      </w:r>
    </w:p>
    <w:p>
      <w:pPr>
        <w:spacing w:after="0" w:line="10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See Section 3 of the TOML Technical Report Summary for further specific information of the location of the TOML Contract Area.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Tenements and permits</w:t>
      </w:r>
    </w:p>
    <w:p>
      <w:pPr>
        <w:spacing w:after="0" w:line="158" w:lineRule="exact"/>
        <w:rPr>
          <w:sz w:val="20"/>
          <w:szCs w:val="20"/>
          <w:color w:val="auto"/>
        </w:rPr>
      </w:pPr>
    </w:p>
    <w:p>
      <w:pPr>
        <w:ind w:left="460" w:right="519" w:firstLine="432"/>
        <w:spacing w:after="0" w:line="250" w:lineRule="auto"/>
        <w:rPr>
          <w:sz w:val="20"/>
          <w:szCs w:val="20"/>
          <w:color w:val="auto"/>
        </w:rPr>
      </w:pPr>
      <w:r>
        <w:rPr>
          <w:rFonts w:ascii="Arial" w:cs="Arial" w:eastAsia="Arial" w:hAnsi="Arial"/>
          <w:sz w:val="18"/>
          <w:szCs w:val="18"/>
          <w:color w:val="auto"/>
        </w:rPr>
        <w:t>In March 2020, we acquired TOML, a subsidiary of the former Nautilus, from Deep Sea Mining Finance Limited, providing exclusive rights to explore a 74,713 km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block of the CCZ seabed. TOML holds the TOML Exploration Contract granted by the ISA and sponsored by Tonga. The TOML Exploration Contract was signed on January 11, 2012 between TOML and the ISA and terminates on January 11, 2027, subject to a potential extension under the terms of the agreement. Tonga recently updated the sponsorship agreement with TOML, harmonizing the terms of its engagement with TOML with those held by the Republic of Nauru. The sponsorship agreement will remain in force for the duration of TOML’s Exploration Contract and will automatically be extended for an additional term of 25 years should TOML be granted an ISA Exploitation Contract.</w:t>
      </w:r>
    </w:p>
    <w:p>
      <w:pPr>
        <w:spacing w:after="0" w:line="115"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The TOML Exploration Contract was granted pursuant to the ISA’s Regulations on Prospecting and Exploration for Polymetallic Nodules in the Area (the “Regulations”), as well as Article 153 of UNCLOS, and formalized a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w:t>
      </w:r>
    </w:p>
    <w:p>
      <w:pPr>
        <w:spacing w:after="0" w:line="11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Pursuant to paragraph 15(a) and (b) of Section 1 of the annex to the 1994 Implementation Agreement, which relates to article 162 (2)(o)(ii) of UNCLOS, the ISA Council must adopt provisional exploitation regulations within two years of a formal request being made by any State which intends to apply for approval of a plan of work for exploitation.</w:t>
      </w:r>
    </w:p>
    <w:p>
      <w:pPr>
        <w:spacing w:after="0" w:line="11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For more information about UNCLOS, the ISA and the TOML Exploration Contract, see “</w:t>
      </w:r>
      <w:r>
        <w:rPr>
          <w:rFonts w:ascii="Arial" w:cs="Arial" w:eastAsia="Arial" w:hAnsi="Arial"/>
          <w:sz w:val="18"/>
          <w:szCs w:val="18"/>
          <w:i w:val="1"/>
          <w:iCs w:val="1"/>
          <w:color w:val="auto"/>
        </w:rPr>
        <w:t>Business of</w:t>
      </w:r>
      <w:r>
        <w:rPr>
          <w:rFonts w:ascii="Arial" w:cs="Arial" w:eastAsia="Arial" w:hAnsi="Arial"/>
          <w:sz w:val="18"/>
          <w:szCs w:val="18"/>
          <w:color w:val="auto"/>
        </w:rPr>
        <w:t xml:space="preserve"> </w:t>
      </w:r>
      <w:r>
        <w:rPr>
          <w:rFonts w:ascii="Arial" w:cs="Arial" w:eastAsia="Arial" w:hAnsi="Arial"/>
          <w:sz w:val="18"/>
          <w:szCs w:val="18"/>
          <w:i w:val="1"/>
          <w:iCs w:val="1"/>
          <w:color w:val="auto"/>
        </w:rPr>
        <w:t>TMC — Government Regulation — The TOML Exploration Contract</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TOML obligations and sponsorship</w:t>
      </w:r>
    </w:p>
    <w:p>
      <w:pPr>
        <w:spacing w:after="0" w:line="14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The initial term for the TOML Sponsorship Agreement is 30 years, unless earlier terminated, and the parties may agree to extend the initial term pursuant to the terms of the contract.</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9" w:name="page100"/>
    <w:bookmarkEnd w:id="9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59" w:lineRule="auto"/>
        <w:rPr>
          <w:sz w:val="20"/>
          <w:szCs w:val="20"/>
          <w:color w:val="auto"/>
        </w:rPr>
      </w:pPr>
      <w:r>
        <w:rPr>
          <w:rFonts w:ascii="Arial" w:cs="Arial" w:eastAsia="Arial" w:hAnsi="Arial"/>
          <w:sz w:val="18"/>
          <w:szCs w:val="18"/>
          <w:color w:val="auto"/>
        </w:rPr>
        <w:t>Upon reaching the minimum recovery level within the tenement area, TOML has agreed to pay Tonga a seabed mineral recovery payment based on the polymetallic nodules recovered from the tenement area. In addition, TOML has agreed to pay the reasonable direct costs incurred by Tonga to administer the ISA obligations of Tonga to the ISA.</w:t>
      </w:r>
    </w:p>
    <w:p>
      <w:pPr>
        <w:spacing w:after="0" w:line="119"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Under ISA requirements contractors are required to submit five-year work programs. The first TOML five-year work program was completed in 2016 and reviewed and accepted by the ISA in late 2016.</w:t>
      </w:r>
    </w:p>
    <w:p>
      <w:pPr>
        <w:spacing w:after="0" w:line="56" w:lineRule="exact"/>
        <w:rPr>
          <w:sz w:val="20"/>
          <w:szCs w:val="20"/>
          <w:color w:val="auto"/>
        </w:rPr>
      </w:pPr>
    </w:p>
    <w:p>
      <w:pPr>
        <w:ind w:left="460" w:right="679" w:firstLine="432"/>
        <w:spacing w:after="0" w:line="273" w:lineRule="auto"/>
        <w:rPr>
          <w:sz w:val="20"/>
          <w:szCs w:val="20"/>
          <w:color w:val="auto"/>
        </w:rPr>
      </w:pPr>
      <w:r>
        <w:rPr>
          <w:rFonts w:ascii="Arial" w:cs="Arial" w:eastAsia="Arial" w:hAnsi="Arial"/>
          <w:sz w:val="17"/>
          <w:szCs w:val="17"/>
          <w:color w:val="auto"/>
        </w:rPr>
        <w:t>For the second five-year period ending in 2022, TOML proposed the following program: (i) continue environmental baseline work; (ii) complete pilot testing; (iii) complete geotechnical studies; (iv) complete feasibility studies; (v) first draft EIA/EMP; and (vi) continue training. TOML noted that the program was dependent on success at each stage, subject to change based on findings at hand at any particular time and reliant on funding which in turn is dependent to some extent on macro-economic conditions and development with regards to the authority and its stakeholders.</w:t>
      </w:r>
    </w:p>
    <w:p>
      <w:pPr>
        <w:spacing w:after="0" w:line="97"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As a result of the financial state of Nautilus, TOML did not progress at the rate intended until we purchased TOML in March 2020. TOML currently plans an aggressive program of offshore campaigns from 2021 to 2023 focusing on resource assessment and environmental baseline studies with the objective of upgrading the TOML F resource area to Indicated Mineral Resource status and completing environmental baseline studies and ESIA for the TOML F resource area.</w:t>
      </w:r>
    </w:p>
    <w:p>
      <w:pPr>
        <w:spacing w:after="0" w:line="120"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TOML plans to collaborate closely with NORI on offshore technology development as well as progressing in parallel proprietary nodule collection technology developed by TOML. TOML and NORI will collaborate closely on the development of nodule processing solutions.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Royalties and taxes</w:t>
      </w:r>
    </w:p>
    <w:p>
      <w:pPr>
        <w:spacing w:after="0" w:line="15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Royalties and taxes payable on any future production from the TOML Area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80"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An ad hoc ISA working group workshop has met several times including most recently in February 2020 to discuss a number of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w:t>
      </w:r>
    </w:p>
    <w:p>
      <w:pPr>
        <w:spacing w:after="0" w:line="120"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Under the TOML Sponsorship Agreement between Tonga and TOML, upon reaching the minimum recovery level within the tenement area, TOML has agreed to pay Tonga a seabed mineral recovery payment based on the polymetallic nodules recovered from the tenement area. In addition, TOML has agreed to pay the reasonable direct costs incurred by Tonga to administer the ISA obligations of Tonga to the ISA.</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History of previous exploration activities in the TOML Area</w:t>
      </w:r>
    </w:p>
    <w:p>
      <w:pPr>
        <w:spacing w:after="0" w:line="15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Area prior to the entry into force of UNCLOS, as well as those entities that inherited such exploration data.</w:t>
      </w:r>
    </w:p>
    <w:p>
      <w:pPr>
        <w:spacing w:after="0" w:line="96"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 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ectPr>
          <w:pgSz w:w="11900" w:h="16838" w:orient="portrait"/>
          <w:cols w:equalWidth="0" w:num="1">
            <w:col w:w="9019"/>
          </w:cols>
          <w:pgMar w:left="1440" w:top="274"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Ocean Minerals Company (OMCO). The timing and location (ISA, 2003) of the OMCO sampling is known but the results are not available outside of ISA published contour maps. Virtually all the samples in the TOML tenement area were obtained by free fall grab (FFG) samplers, although a few results from box corers (BC) were also included.</w:t>
      </w:r>
    </w:p>
    <w:p>
      <w:pPr>
        <w:spacing w:after="0" w:line="124"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See Section 5 of the TOML Technical Report Summary for further specific information of the history of previous exploration of the TOML Contract Area.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Geology and sampling</w:t>
      </w:r>
    </w:p>
    <w:p>
      <w:pPr>
        <w:spacing w:after="0" w:line="158"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km in length and up to 600 km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8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19" w:lineRule="exact"/>
        <w:rPr>
          <w:sz w:val="20"/>
          <w:szCs w:val="20"/>
          <w:color w:val="auto"/>
        </w:rPr>
      </w:pPr>
    </w:p>
    <w:p>
      <w:pPr>
        <w:jc w:val="both"/>
        <w:ind w:left="460" w:right="519" w:firstLine="432"/>
        <w:spacing w:after="0" w:line="279" w:lineRule="auto"/>
        <w:rPr>
          <w:sz w:val="20"/>
          <w:szCs w:val="20"/>
          <w:color w:val="auto"/>
        </w:rPr>
      </w:pPr>
      <w:r>
        <w:rPr>
          <w:rFonts w:ascii="Arial" w:cs="Arial" w:eastAsia="Arial" w:hAnsi="Arial"/>
          <w:sz w:val="17"/>
          <w:szCs w:val="17"/>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04"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The specific conditions of the CCZ (water depth, latitude, and seafloor sediment type) are considered to be the key controls for the formation of polymetallic nodules. Nodules are typically 4 to 6 cm and up to 10 cm in diameter.</w:t>
      </w:r>
    </w:p>
    <w:p>
      <w:pPr>
        <w:spacing w:after="0" w:line="103"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exploration methods used to explore and delineate the mineral resources in the TOML and NORI areas were essentially the same. Multibeam echo-sounding system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LAE method and high-resolution photographs of the seafloor.</w:t>
      </w:r>
    </w:p>
    <w:p>
      <w:pPr>
        <w:spacing w:after="0" w:line="110"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04"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97"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box-cores. The weight of individual nodules can be accurately estimated from the length of their long or major axis;</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1" w:name="page102"/>
    <w:bookmarkEnd w:id="10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79" w:lineRule="auto"/>
        <w:rPr>
          <w:sz w:val="20"/>
          <w:szCs w:val="20"/>
          <w:color w:val="auto"/>
        </w:rPr>
      </w:pPr>
      <w:r>
        <w:rPr>
          <w:rFonts w:ascii="Arial" w:cs="Arial" w:eastAsia="Arial" w:hAnsi="Arial"/>
          <w:sz w:val="17"/>
          <w:szCs w:val="17"/>
          <w:color w:val="auto"/>
        </w:rPr>
        <w:t>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04" w:lineRule="exact"/>
        <w:rPr>
          <w:sz w:val="20"/>
          <w:szCs w:val="20"/>
          <w:color w:val="auto"/>
        </w:rPr>
      </w:pPr>
    </w:p>
    <w:p>
      <w:pPr>
        <w:ind w:left="460" w:right="519" w:firstLine="432"/>
        <w:spacing w:after="0" w:line="262" w:lineRule="auto"/>
        <w:rPr>
          <w:sz w:val="20"/>
          <w:szCs w:val="20"/>
          <w:color w:val="auto"/>
        </w:rPr>
      </w:pPr>
      <w:r>
        <w:rPr>
          <w:rFonts w:ascii="Arial" w:cs="Arial" w:eastAsia="Arial" w:hAnsi="Arial"/>
          <w:sz w:val="17"/>
          <w:szCs w:val="17"/>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Arial" w:cs="Arial" w:eastAsia="Arial" w:hAnsi="Arial"/>
          <w:sz w:val="19"/>
          <w:szCs w:val="19"/>
          <w:color w:val="auto"/>
          <w:vertAlign w:val="superscript"/>
        </w:rPr>
        <w:t>2</w:t>
      </w:r>
      <w:r>
        <w:rPr>
          <w:rFonts w:ascii="Arial" w:cs="Arial" w:eastAsia="Arial" w:hAnsi="Arial"/>
          <w:sz w:val="17"/>
          <w:szCs w:val="17"/>
          <w:color w:val="auto"/>
        </w:rPr>
        <w:t>) was derived by dividing the weight of recovered nodules by the surface area covered by the open jaws of the sampler or corer (typically 0.25 to 0.75 m</w:t>
      </w:r>
      <w:r>
        <w:rPr>
          <w:rFonts w:ascii="Arial" w:cs="Arial" w:eastAsia="Arial" w:hAnsi="Arial"/>
          <w:sz w:val="19"/>
          <w:szCs w:val="19"/>
          <w:color w:val="auto"/>
          <w:vertAlign w:val="superscript"/>
        </w:rPr>
        <w:t>2</w:t>
      </w:r>
      <w:r>
        <w:rPr>
          <w:rFonts w:ascii="Arial" w:cs="Arial" w:eastAsia="Arial" w:hAnsi="Arial"/>
          <w:sz w:val="17"/>
          <w:szCs w:val="17"/>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pacing w:after="0" w:line="119"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07"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For more information about the TOML exploration campaigns in 2013 and 2015, see Section 7 of the TOML Technical Report Summary.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Mineral resource estimate</w:t>
      </w:r>
    </w:p>
    <w:p>
      <w:pPr>
        <w:spacing w:after="0" w:line="158"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16"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 line km). Only sample data within the TOML Contract Area was used to inform the estimates.</w:t>
      </w:r>
    </w:p>
    <w:p>
      <w:pPr>
        <w:spacing w:after="0" w:line="95"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Six block models were constructed using the geostatistical modelling programs Gstat 1.1-3 and R 3.2.5, one for each TOML Exploration Area (A to F), in three passes. The first pass used a parent block dimension of 1.75 km by 1.75 km and filled the areas defined as measured mineral resource. The second pass for indicated mineral resource used a parent block size of 3.5 km by 3.5 km while the third pass for inferred mineral resource used a parent block size of 7.0 km by 7.0 km.</w:t>
      </w:r>
    </w:p>
    <w:p>
      <w:pPr>
        <w:spacing w:after="0" w:line="120"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9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The historical nodule sample data is considered suitable for the purpose of estimating mineral resources to an inferred level of confidence. The Qualified Person also considers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80"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Inferred mineral resource classification was based on sampling by pioneer contractors on a nominal spacing of 20 km, the variation and uncertainty in the sample quality, and the likely presence of short-range variation to nodule abundance.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Indicated mineral resource classification was based on box core sampling by TOML on a nominal spacing of approximately 7 km by 7 km (including photo profiling in some cases at 7 km by 3 km), supplemented by sampling by pioneer contractors.</w:t>
      </w:r>
    </w:p>
    <w:p>
      <w:pPr>
        <w:spacing w:after="0" w:line="7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Measured mineral resource was based on box core sampling by TOML on a nominal spacing of approximately 7 km by 7 km plus photo-profiling on a nominal spacing of 3.5 km by 3.0 km, supplemented by sampling by pioneer contractors.</w:t>
      </w:r>
    </w:p>
    <w:p>
      <w:pPr>
        <w:spacing w:after="0" w:line="76" w:lineRule="exact"/>
        <w:rPr>
          <w:sz w:val="20"/>
          <w:szCs w:val="20"/>
          <w:color w:val="auto"/>
        </w:rPr>
      </w:pPr>
    </w:p>
    <w:p>
      <w:pPr>
        <w:ind w:left="460" w:right="499" w:firstLine="432"/>
        <w:spacing w:after="0" w:line="299" w:lineRule="auto"/>
        <w:rPr>
          <w:sz w:val="20"/>
          <w:szCs w:val="20"/>
          <w:color w:val="auto"/>
        </w:rPr>
      </w:pPr>
      <w:r>
        <w:rPr>
          <w:rFonts w:ascii="Arial" w:cs="Arial" w:eastAsia="Arial" w:hAnsi="Arial"/>
          <w:sz w:val="18"/>
          <w:szCs w:val="18"/>
          <w:color w:val="auto"/>
        </w:rPr>
        <w:t>The mineral resource estimate for the TOML Contract Area, with an effective date of December 31, 2020, and at a 4 kg/m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abundance cut-off is set forth below.</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 Resource Estimate, In-Situ, for the TOML Contract Area within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CCZ at a 4 kg/m</w:t>
      </w:r>
      <w:r>
        <w:rPr>
          <w:rFonts w:ascii="Arial" w:cs="Arial" w:eastAsia="Arial" w:hAnsi="Arial"/>
          <w:sz w:val="20"/>
          <w:szCs w:val="20"/>
          <w:b w:val="1"/>
          <w:bCs w:val="1"/>
          <w:color w:val="auto"/>
          <w:vertAlign w:val="superscript"/>
        </w:rPr>
        <w:t>2</w:t>
      </w:r>
      <w:r>
        <w:rPr>
          <w:rFonts w:ascii="Arial" w:cs="Arial" w:eastAsia="Arial" w:hAnsi="Arial"/>
          <w:sz w:val="18"/>
          <w:szCs w:val="18"/>
          <w:b w:val="1"/>
          <w:bCs w:val="1"/>
          <w:color w:val="auto"/>
        </w:rPr>
        <w:t xml:space="preserve"> nodule abundance cut-off</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Tonnes</w:t>
            </w: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Abundance</w:t>
            </w:r>
          </w:p>
        </w:tc>
        <w:tc>
          <w:tcPr>
            <w:tcW w:w="8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Ni</w:t>
            </w:r>
          </w:p>
        </w:tc>
        <w:tc>
          <w:tcPr>
            <w:tcW w:w="880" w:type="dxa"/>
            <w:vAlign w:val="bottom"/>
            <w:gridSpan w:val="2"/>
          </w:tcPr>
          <w:p>
            <w:pPr>
              <w:ind w:left="260"/>
              <w:spacing w:after="0"/>
              <w:rPr>
                <w:sz w:val="20"/>
                <w:szCs w:val="20"/>
                <w:color w:val="auto"/>
              </w:rPr>
            </w:pPr>
            <w:r>
              <w:rPr>
                <w:rFonts w:ascii="Arial" w:cs="Arial" w:eastAsia="Arial" w:hAnsi="Arial"/>
                <w:sz w:val="16"/>
                <w:szCs w:val="16"/>
                <w:b w:val="1"/>
                <w:bCs w:val="1"/>
                <w:color w:val="auto"/>
              </w:rPr>
              <w:t>Cu</w:t>
            </w: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Co</w:t>
            </w:r>
          </w:p>
        </w:tc>
        <w:tc>
          <w:tcPr>
            <w:tcW w:w="880" w:type="dxa"/>
            <w:vAlign w:val="bottom"/>
          </w:tcPr>
          <w:p>
            <w:pPr>
              <w:jc w:val="right"/>
              <w:ind w:right="253"/>
              <w:spacing w:after="0"/>
              <w:rPr>
                <w:sz w:val="20"/>
                <w:szCs w:val="20"/>
                <w:color w:val="auto"/>
              </w:rPr>
            </w:pPr>
            <w:r>
              <w:rPr>
                <w:rFonts w:ascii="Arial" w:cs="Arial" w:eastAsia="Arial" w:hAnsi="Arial"/>
                <w:sz w:val="16"/>
                <w:szCs w:val="16"/>
                <w:b w:val="1"/>
                <w:bCs w:val="1"/>
                <w:color w:val="auto"/>
              </w:rPr>
              <w:t>Mn</w:t>
            </w:r>
          </w:p>
        </w:tc>
      </w:tr>
      <w:tr>
        <w:trPr>
          <w:trHeight w:val="253"/>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Mineral Resource Classification</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4"/>
              </w:rPr>
              <w:t>(x10</w:t>
            </w:r>
            <w:r>
              <w:rPr>
                <w:rFonts w:ascii="Arial" w:cs="Arial" w:eastAsia="Arial" w:hAnsi="Arial"/>
                <w:sz w:val="18"/>
                <w:szCs w:val="18"/>
                <w:b w:val="1"/>
                <w:bCs w:val="1"/>
                <w:color w:val="auto"/>
                <w:w w:val="94"/>
                <w:vertAlign w:val="superscript"/>
              </w:rPr>
              <w:t>6</w:t>
            </w:r>
            <w:r>
              <w:rPr>
                <w:rFonts w:ascii="Arial" w:cs="Arial" w:eastAsia="Arial" w:hAnsi="Arial"/>
                <w:sz w:val="16"/>
                <w:szCs w:val="16"/>
                <w:b w:val="1"/>
                <w:bCs w:val="1"/>
                <w:color w:val="auto"/>
                <w:w w:val="94"/>
              </w:rPr>
              <w:t xml:space="preserve"> wet t)*</w:t>
            </w: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(wet kg/m</w:t>
            </w:r>
            <w:r>
              <w:rPr>
                <w:rFonts w:ascii="Arial" w:cs="Arial" w:eastAsia="Arial" w:hAnsi="Arial"/>
                <w:sz w:val="18"/>
                <w:szCs w:val="18"/>
                <w:b w:val="1"/>
                <w:bCs w:val="1"/>
                <w:color w:val="auto"/>
                <w:vertAlign w:val="superscript"/>
              </w:rPr>
              <w:t>2</w:t>
            </w:r>
            <w:r>
              <w:rPr>
                <w:rFonts w:ascii="Arial" w:cs="Arial" w:eastAsia="Arial" w:hAnsi="Arial"/>
                <w:sz w:val="16"/>
                <w:szCs w:val="16"/>
                <w:b w:val="1"/>
                <w:bCs w:val="1"/>
                <w:color w:val="auto"/>
              </w:rPr>
              <w:t>)</w:t>
            </w: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760" w:type="dxa"/>
            <w:vAlign w:val="bottom"/>
          </w:tcPr>
          <w:p>
            <w:pPr>
              <w:jc w:val="right"/>
              <w:ind w:right="1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880" w:type="dxa"/>
            <w:vAlign w:val="bottom"/>
          </w:tcPr>
          <w:p>
            <w:pPr>
              <w:jc w:val="right"/>
              <w:ind w:right="213"/>
              <w:spacing w:after="0"/>
              <w:rPr>
                <w:sz w:val="20"/>
                <w:szCs w:val="20"/>
                <w:color w:val="auto"/>
              </w:rPr>
            </w:pPr>
            <w:r>
              <w:rPr>
                <w:rFonts w:ascii="Arial" w:cs="Arial" w:eastAsia="Arial" w:hAnsi="Arial"/>
                <w:sz w:val="16"/>
                <w:szCs w:val="16"/>
                <w:b w:val="1"/>
                <w:bCs w:val="1"/>
                <w:color w:val="auto"/>
              </w:rPr>
              <w:t>(%)</w:t>
            </w:r>
          </w:p>
        </w:tc>
      </w:tr>
      <w:tr>
        <w:trPr>
          <w:trHeight w:val="248"/>
        </w:trPr>
        <w:tc>
          <w:tcPr>
            <w:tcW w:w="25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Measured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79"/>
              </w:rPr>
              <w:t>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69.6</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11.8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Measured + Indicated</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11.8</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Inferred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696</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11.3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right="619"/>
        <w:spacing w:after="0" w:line="265" w:lineRule="auto"/>
        <w:rPr>
          <w:sz w:val="20"/>
          <w:szCs w:val="20"/>
          <w:color w:val="auto"/>
        </w:rPr>
      </w:pPr>
      <w:r>
        <w:rPr>
          <w:rFonts w:ascii="Arial" w:cs="Arial" w:eastAsia="Arial" w:hAnsi="Arial"/>
          <w:sz w:val="16"/>
          <w:szCs w:val="16"/>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spacing w:after="0" w:line="2" w:lineRule="exact"/>
        <w:rPr>
          <w:sz w:val="20"/>
          <w:szCs w:val="20"/>
          <w:color w:val="auto"/>
        </w:rPr>
      </w:pPr>
    </w:p>
    <w:p>
      <w:pPr>
        <w:ind w:left="860" w:hanging="406"/>
        <w:spacing w:after="0"/>
        <w:tabs>
          <w:tab w:leader="none" w:pos="8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Variations in totals are due to rounding of individual values. Mn, Ni, Cu and Co assays on samples dried at 105˚C</w:t>
      </w:r>
    </w:p>
    <w:p>
      <w:pPr>
        <w:spacing w:after="0" w:line="157"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98" w:lineRule="exact"/>
        <w:rPr>
          <w:sz w:val="20"/>
          <w:szCs w:val="20"/>
          <w:color w:val="auto"/>
        </w:rPr>
      </w:pPr>
    </w:p>
    <w:p>
      <w:pPr>
        <w:jc w:val="both"/>
        <w:ind w:left="460" w:right="859" w:firstLine="432"/>
        <w:spacing w:after="0" w:line="263" w:lineRule="auto"/>
        <w:rPr>
          <w:sz w:val="20"/>
          <w:szCs w:val="20"/>
          <w:color w:val="auto"/>
        </w:rPr>
      </w:pPr>
      <w:r>
        <w:rPr>
          <w:rFonts w:ascii="Arial" w:cs="Arial" w:eastAsia="Arial" w:hAnsi="Arial"/>
          <w:sz w:val="18"/>
          <w:szCs w:val="18"/>
          <w:color w:val="auto"/>
        </w:rPr>
        <w:t>The 2020 mineral resource estimate (measured, indicated and inferred mineral resources), which was informed by data collected by TOML in 2013 and 2015, is presented in Table 11.9 of the TOML Technical Report Summary.</w:t>
      </w:r>
    </w:p>
    <w:p>
      <w:pPr>
        <w:spacing w:after="0" w:line="11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6"/>
          <w:szCs w:val="16"/>
          <w:color w:val="auto"/>
        </w:rPr>
        <w:t>Due to the extremely low variance in the grades and the high metal content of the nodules, a cut-off based on abundance is appropriate for determining the limits of economic exploitation. A cut-off of 4 kg/m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for offshore operating costs; 1,036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nickel in nickel sulphate $18,807/t Ni; copper metal $6,872/t; cobalt metal $46,333/t; cobalt in cobalt sulphate $56,920/t Co; manganese in manganese silicate $4.50/dmtu. The price estimates are long term (2034 – 2046) forecasts provided in a report by CRU International Limited (CRU,</w:t>
      </w:r>
    </w:p>
    <w:p>
      <w:pPr>
        <w:spacing w:after="0" w:line="9" w:lineRule="exact"/>
        <w:rPr>
          <w:sz w:val="20"/>
          <w:szCs w:val="20"/>
          <w:color w:val="auto"/>
        </w:rPr>
      </w:pPr>
    </w:p>
    <w:p>
      <w:pPr>
        <w:ind w:left="460" w:right="719"/>
        <w:spacing w:after="0" w:line="260" w:lineRule="auto"/>
        <w:rPr>
          <w:sz w:val="20"/>
          <w:szCs w:val="20"/>
          <w:color w:val="auto"/>
        </w:rPr>
      </w:pPr>
      <w:r>
        <w:rPr>
          <w:rFonts w:ascii="Arial" w:cs="Arial" w:eastAsia="Arial" w:hAnsi="Arial"/>
          <w:sz w:val="18"/>
          <w:szCs w:val="18"/>
          <w:color w:val="auto"/>
        </w:rPr>
        <w:t>2020). The Qualified Person considers that this timeframe is reasonable in view of the likely time required to bring the majority of the TOML mineral resources into production.</w:t>
      </w:r>
    </w:p>
    <w:p>
      <w:pPr>
        <w:spacing w:after="0" w:line="104"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The initial inferred mineral resource for the TOML Contract Area was reported on March 20, 2013 by Golder Associates. The changes in the 2020 mineral resource estimate from 2013 for the TOML Contract Area are due to:</w:t>
      </w:r>
    </w:p>
    <w:p>
      <w:pPr>
        <w:spacing w:after="0" w:line="116" w:lineRule="exact"/>
        <w:rPr>
          <w:sz w:val="20"/>
          <w:szCs w:val="20"/>
          <w:color w:val="auto"/>
        </w:rPr>
      </w:pPr>
    </w:p>
    <w:p>
      <w:pPr>
        <w:ind w:left="1300" w:hanging="414"/>
        <w:spacing w:after="0"/>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inclusion of Areas E and F for the first time, and high abundances and grades in Area F;</w:t>
      </w:r>
    </w:p>
    <w:p>
      <w:pPr>
        <w:spacing w:after="0" w:line="169" w:lineRule="exact"/>
        <w:rPr>
          <w:rFonts w:ascii="Arial" w:cs="Arial" w:eastAsia="Arial" w:hAnsi="Arial"/>
          <w:sz w:val="17"/>
          <w:szCs w:val="17"/>
          <w:color w:val="auto"/>
        </w:rPr>
      </w:pPr>
    </w:p>
    <w:p>
      <w:pPr>
        <w:ind w:left="1320" w:right="519" w:hanging="434"/>
        <w:spacing w:after="0" w:line="277"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additional nodule abundance sample information (from box core and photo profile) collected during the 2015 campaign;</w:t>
      </w:r>
    </w:p>
    <w:p>
      <w:pPr>
        <w:spacing w:after="0" w:line="89"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setting the abundance estimates within the no nodule domain to zero in areas covered by MBES (TOML Areas B, C, D, E, F);</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3" w:name="page104"/>
    <w:bookmarkEnd w:id="10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1039" w:hanging="434"/>
        <w:spacing w:after="0" w:line="277" w:lineRule="auto"/>
        <w:tabs>
          <w:tab w:leader="none" w:pos="13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use of ordinary kriging (rather than inverse distance weighting) supported by short-range variogram to estimate abundance;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changes in block model parent cell size related to improved sample spacing.</w:t>
      </w:r>
    </w:p>
    <w:p>
      <w:pPr>
        <w:spacing w:after="0" w:line="15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Comparison of the 2013 inferred mineral resource estimate and the 2020 estimate shows that the additional data has increased the total mineral resource tonnage by 3%. In the areas with the most new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pacing w:after="0" w:line="95"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Information concerning our mineral properties in the TOML Technical Report Summary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prospectus, the terms “mineral resource,” “measured mineral resource,” “indicated mineral resource” and “inferred mineral resource” are defined and used in accordance with the SEC Mining Rules set forth in subpart 1300 of Regulation S-K. </w:t>
      </w:r>
      <w:r>
        <w:rPr>
          <w:rFonts w:ascii="Arial" w:cs="Arial" w:eastAsia="Arial" w:hAnsi="Arial"/>
          <w:sz w:val="16"/>
          <w:szCs w:val="16"/>
          <w:b w:val="1"/>
          <w:bCs w:val="1"/>
          <w:color w:val="auto"/>
        </w:rPr>
        <w:t>You are specifically cautioned not to assume that any part or all of the mineral</w:t>
      </w:r>
      <w:r>
        <w:rPr>
          <w:rFonts w:ascii="Arial" w:cs="Arial" w:eastAsia="Arial" w:hAnsi="Arial"/>
          <w:sz w:val="16"/>
          <w:szCs w:val="16"/>
          <w:color w:val="auto"/>
        </w:rPr>
        <w:t xml:space="preserve"> </w:t>
      </w:r>
      <w:r>
        <w:rPr>
          <w:rFonts w:ascii="Arial" w:cs="Arial" w:eastAsia="Arial" w:hAnsi="Arial"/>
          <w:sz w:val="16"/>
          <w:szCs w:val="16"/>
          <w:b w:val="1"/>
          <w:bCs w:val="1"/>
          <w:color w:val="auto"/>
        </w:rPr>
        <w:t>deposits in these categories will ever be converted into mineral reserves, as defined by the SEC.</w:t>
      </w:r>
    </w:p>
    <w:p>
      <w:pPr>
        <w:spacing w:after="0" w:line="9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Arial" w:cs="Arial" w:eastAsia="Arial" w:hAnsi="Arial"/>
          <w:sz w:val="16"/>
          <w:szCs w:val="16"/>
          <w:b w:val="1"/>
          <w:bCs w:val="1"/>
          <w:color w:val="auto"/>
        </w:rPr>
        <w:t>Therefore, you are cautioned not</w:t>
      </w:r>
      <w:r>
        <w:rPr>
          <w:rFonts w:ascii="Arial" w:cs="Arial" w:eastAsia="Arial" w:hAnsi="Arial"/>
          <w:sz w:val="16"/>
          <w:szCs w:val="16"/>
          <w:color w:val="auto"/>
        </w:rPr>
        <w:t xml:space="preserve"> </w:t>
      </w:r>
      <w:r>
        <w:rPr>
          <w:rFonts w:ascii="Arial" w:cs="Arial" w:eastAsia="Arial" w:hAnsi="Arial"/>
          <w:sz w:val="16"/>
          <w:szCs w:val="16"/>
          <w:b w:val="1"/>
          <w:bCs w:val="1"/>
          <w:color w:val="auto"/>
        </w:rPr>
        <w:t>to assume that all or 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Reasonable prospects for economic extraction</w:t>
      </w:r>
    </w:p>
    <w:p>
      <w:pPr>
        <w:spacing w:after="0" w:line="15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06"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10"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 that there was negligible risk of interference with the samples.</w:t>
      </w:r>
    </w:p>
    <w:p>
      <w:pPr>
        <w:spacing w:after="0" w:line="110"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Collection methods</w:t>
      </w:r>
    </w:p>
    <w:p>
      <w:pPr>
        <w:spacing w:after="0" w:line="144"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following collection methods.</w:t>
      </w:r>
    </w:p>
    <w:p>
      <w:pPr>
        <w:spacing w:after="0" w:line="110"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main items of off-shore infrastructure are the nodule collector vehicles, the riser, and three production support vessels (PSV).</w:t>
      </w:r>
    </w:p>
    <w:p>
      <w:pPr>
        <w:spacing w:after="0" w:line="103"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96"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27"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20"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Mineral processing and metallurgical testing</w:t>
      </w:r>
    </w:p>
    <w:p>
      <w:pPr>
        <w:spacing w:after="0" w:line="144"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16"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 first part of the pyrometallurgical process is the Rotary Kiln Electric Furnace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20"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Sulphuric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sulphate are expected to then be crystallized from the purified solutions.</w:t>
      </w:r>
    </w:p>
    <w:p>
      <w:pPr>
        <w:spacing w:after="0" w:line="110" w:lineRule="exact"/>
        <w:rPr>
          <w:sz w:val="20"/>
          <w:szCs w:val="20"/>
          <w:color w:val="auto"/>
        </w:rPr>
      </w:pPr>
    </w:p>
    <w:p>
      <w:pPr>
        <w:ind w:left="460" w:right="1379" w:firstLine="432"/>
        <w:spacing w:after="0" w:line="277" w:lineRule="auto"/>
        <w:rPr>
          <w:sz w:val="20"/>
          <w:szCs w:val="20"/>
          <w:color w:val="auto"/>
        </w:rPr>
      </w:pPr>
      <w:r>
        <w:rPr>
          <w:rFonts w:ascii="Arial" w:cs="Arial" w:eastAsia="Arial" w:hAnsi="Arial"/>
          <w:sz w:val="18"/>
          <w:szCs w:val="18"/>
          <w:color w:val="auto"/>
        </w:rPr>
        <w:t>The pyrometallurgical process is expected to form two byproducts as well as the matte for the hydrometallurgical refinery:</w:t>
      </w:r>
    </w:p>
    <w:p>
      <w:pPr>
        <w:spacing w:after="0" w:line="89" w:lineRule="exact"/>
        <w:rPr>
          <w:sz w:val="20"/>
          <w:szCs w:val="20"/>
          <w:color w:val="auto"/>
        </w:rPr>
      </w:pPr>
    </w:p>
    <w:p>
      <w:pPr>
        <w:ind w:left="1320" w:right="579" w:hanging="434"/>
        <w:spacing w:after="0" w:line="277" w:lineRule="auto"/>
        <w:tabs>
          <w:tab w:leader="none" w:pos="13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electric furnace slag containing silica and 53% MnO that is intended to be sold as feed to the Si-Mn industry;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converter aisle slag that could be used for aggregate in road construction or other applications.</w:t>
      </w:r>
    </w:p>
    <w:p>
      <w:pPr>
        <w:spacing w:after="0" w:line="169"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03" w:lineRule="exact"/>
        <w:rPr>
          <w:sz w:val="20"/>
          <w:szCs w:val="20"/>
          <w:color w:val="auto"/>
        </w:rPr>
      </w:pPr>
    </w:p>
    <w:p>
      <w:pPr>
        <w:ind w:left="460" w:right="699" w:firstLine="432"/>
        <w:spacing w:after="0" w:line="342" w:lineRule="auto"/>
        <w:rPr>
          <w:sz w:val="20"/>
          <w:szCs w:val="20"/>
          <w:color w:val="auto"/>
        </w:rPr>
      </w:pPr>
      <w:r>
        <w:rPr>
          <w:rFonts w:ascii="Arial" w:cs="Arial" w:eastAsia="Arial" w:hAnsi="Arial"/>
          <w:sz w:val="16"/>
          <w:szCs w:val="16"/>
          <w:color w:val="auto"/>
        </w:rPr>
        <w:t>Selection of ammonia as a principal reagent in the hydrometallurgical refinery means that an additional by-product — ammonium sulphate — may be generated. This could be sold into the fertilizer industry.</w:t>
      </w:r>
    </w:p>
    <w:p>
      <w:pPr>
        <w:spacing w:after="0" w:line="56"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spacing w:after="0" w:line="9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production of battery-grade nickel and cobalt sulphates is targeted instead of nickel or cobalt cathodes or other intermediate products.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summary:</w:t>
      </w:r>
    </w:p>
    <w:p>
      <w:pPr>
        <w:spacing w:after="0" w:line="158" w:lineRule="exact"/>
        <w:rPr>
          <w:sz w:val="20"/>
          <w:szCs w:val="20"/>
          <w:color w:val="auto"/>
        </w:rPr>
      </w:pPr>
    </w:p>
    <w:p>
      <w:pPr>
        <w:ind w:left="1320" w:right="759" w:hanging="434"/>
        <w:spacing w:after="0" w:line="277"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parts of the proposed process have commercial precedents in similar or analogous industries, however not as a whole continuous flowsheet.</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Pay-metals are recovered in the following forms: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Copper cathodes with an expected quality of ≥99.9% Cu.</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Battery-grade nickel sulphate.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Battery-grade cobalt sulphate.</w:t>
      </w:r>
    </w:p>
    <w:p>
      <w:pPr>
        <w:spacing w:after="0" w:line="144" w:lineRule="exact"/>
        <w:rPr>
          <w:rFonts w:ascii="Arial" w:cs="Arial" w:eastAsia="Arial" w:hAnsi="Arial"/>
          <w:sz w:val="18"/>
          <w:szCs w:val="18"/>
          <w:color w:val="auto"/>
        </w:rPr>
      </w:pPr>
    </w:p>
    <w:p>
      <w:pPr>
        <w:ind w:left="1320" w:right="1159" w:hanging="434"/>
        <w:spacing w:after="0" w:line="308" w:lineRule="auto"/>
        <w:tabs>
          <w:tab w:leader="none" w:pos="1311" w:val="left"/>
        </w:tabs>
        <w:numPr>
          <w:ilvl w:val="0"/>
          <w:numId w:val="71"/>
        </w:numPr>
        <w:rPr>
          <w:rFonts w:ascii="Arial" w:cs="Arial" w:eastAsia="Arial" w:hAnsi="Arial"/>
          <w:sz w:val="17"/>
          <w:szCs w:val="17"/>
          <w:color w:val="auto"/>
        </w:rPr>
      </w:pPr>
      <w:r>
        <w:rPr>
          <w:rFonts w:ascii="Arial" w:cs="Arial" w:eastAsia="Arial" w:hAnsi="Arial"/>
          <w:sz w:val="17"/>
          <w:szCs w:val="17"/>
          <w:color w:val="auto"/>
        </w:rPr>
        <w:t>Rather than generating large waste streams, the process is expected to produce by-products including high manganese content furnace slag and ammonium sulphate.</w:t>
      </w:r>
    </w:p>
    <w:p>
      <w:pPr>
        <w:spacing w:after="0" w:line="7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process assumptions used in this TOML Technical Report Summary will need to be verified as the project proceeds.</w:t>
      </w:r>
    </w:p>
    <w:p>
      <w:pPr>
        <w:spacing w:after="0" w:line="89"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For more information on mineral processing and metallurgical testing, see Section 10 of the TOML Technical Report Summary.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 studies, permitting, community, or social impact</w:t>
      </w:r>
    </w:p>
    <w:p>
      <w:pPr>
        <w:spacing w:after="0" w:line="144"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 floor.</w:t>
      </w:r>
    </w:p>
    <w:p>
      <w:pPr>
        <w:spacing w:after="0" w:line="116" w:lineRule="exact"/>
        <w:rPr>
          <w:sz w:val="20"/>
          <w:szCs w:val="20"/>
          <w:color w:val="auto"/>
        </w:rPr>
      </w:pPr>
    </w:p>
    <w:p>
      <w:pPr>
        <w:ind w:left="460" w:right="679" w:firstLine="432"/>
        <w:spacing w:after="0" w:line="301" w:lineRule="auto"/>
        <w:rPr>
          <w:sz w:val="20"/>
          <w:szCs w:val="20"/>
          <w:color w:val="auto"/>
        </w:rPr>
      </w:pPr>
      <w:r>
        <w:rPr>
          <w:rFonts w:ascii="Arial" w:cs="Arial" w:eastAsia="Arial" w:hAnsi="Arial"/>
          <w:sz w:val="16"/>
          <w:szCs w:val="16"/>
          <w:color w:val="auto"/>
        </w:rPr>
        <w:t>TOML’s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spacing w:after="0" w:line="9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pacing w:after="0" w:line="106"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98"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For more information on environmental studies, permitting and social or community impact, see Section 17 of the TOML Technical Report Summary.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 controls and data verification</w:t>
      </w:r>
    </w:p>
    <w:p>
      <w:pPr>
        <w:spacing w:after="0" w:line="15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07"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10" w:lineRule="exact"/>
        <w:rPr>
          <w:sz w:val="20"/>
          <w:szCs w:val="20"/>
          <w:color w:val="auto"/>
        </w:rPr>
      </w:pPr>
    </w:p>
    <w:p>
      <w:pPr>
        <w:ind w:left="460" w:right="619" w:firstLine="432"/>
        <w:spacing w:after="0" w:line="342" w:lineRule="auto"/>
        <w:rPr>
          <w:sz w:val="20"/>
          <w:szCs w:val="20"/>
          <w:color w:val="auto"/>
        </w:rPr>
      </w:pPr>
      <w:r>
        <w:rPr>
          <w:rFonts w:ascii="Arial" w:cs="Arial" w:eastAsia="Arial" w:hAnsi="Arial"/>
          <w:sz w:val="16"/>
          <w:szCs w:val="16"/>
          <w:color w:val="auto"/>
        </w:rPr>
        <w:t>The sample data are supported by independent third-party data, have been reviewed by the ISA LTC during the process of granting licenses to the Pioneer Contractors, and are maintained by the independent ISA.</w:t>
      </w:r>
    </w:p>
    <w:p>
      <w:pPr>
        <w:spacing w:after="0" w:line="56"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The database includes all data submitted to the ISA that were collected in the Reserved Areas of the CCZ. The data were collected by parties completely independent of TOML or Nautilus and retained exclusively in the custody of the ISA prior to their transfer. The data sets were also subject to third-party review by the ISA’s LTC, as part of the process of granting Pioneer Contractors Exploration Areas.</w:t>
      </w:r>
    </w:p>
    <w:p>
      <w:pPr>
        <w:spacing w:after="0" w:line="90" w:lineRule="exact"/>
        <w:rPr>
          <w:sz w:val="20"/>
          <w:szCs w:val="20"/>
          <w:color w:val="auto"/>
        </w:rPr>
      </w:pPr>
    </w:p>
    <w:p>
      <w:pPr>
        <w:ind w:left="460" w:right="839" w:firstLine="432"/>
        <w:spacing w:after="0" w:line="259" w:lineRule="auto"/>
        <w:rPr>
          <w:sz w:val="20"/>
          <w:szCs w:val="20"/>
          <w:color w:val="auto"/>
        </w:rPr>
      </w:pPr>
      <w:r>
        <w:rPr>
          <w:rFonts w:ascii="Arial" w:cs="Arial" w:eastAsia="Arial" w:hAnsi="Arial"/>
          <w:sz w:val="18"/>
          <w:szCs w:val="18"/>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119" w:lineRule="exact"/>
        <w:rPr>
          <w:sz w:val="20"/>
          <w:szCs w:val="20"/>
          <w:color w:val="auto"/>
        </w:rPr>
      </w:pPr>
    </w:p>
    <w:p>
      <w:pPr>
        <w:ind w:left="1320" w:right="479" w:hanging="434"/>
        <w:spacing w:after="0" w:line="259" w:lineRule="auto"/>
        <w:tabs>
          <w:tab w:leader="none" w:pos="13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ISA is an independent agency with significant accountability under the Law of the Sea. Part of its mandate is the receipt and storage of sea floor sampling data suitable for the estimation of nodule resources and the legally binding award of licenses. It is reasonable to assume that a reasonable level of care was applied by the ISA.</w:t>
      </w:r>
    </w:p>
    <w:p>
      <w:pPr>
        <w:spacing w:after="0" w:line="119" w:lineRule="exact"/>
        <w:rPr>
          <w:rFonts w:ascii="Arial" w:cs="Arial" w:eastAsia="Arial" w:hAnsi="Arial"/>
          <w:sz w:val="18"/>
          <w:szCs w:val="18"/>
          <w:color w:val="auto"/>
        </w:rPr>
      </w:pPr>
    </w:p>
    <w:p>
      <w:pPr>
        <w:ind w:left="1320" w:right="479" w:hanging="434"/>
        <w:spacing w:after="0" w:line="263" w:lineRule="auto"/>
        <w:tabs>
          <w:tab w:leader="none" w:pos="13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Comparison of the six independent data sets from the CCZ shows a high level of consistency in abundance and grade and, conversely, provides no evidence of bias or systematic error in the TOML data.</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Recent TOML nodule sampling confirms the existence, and abundance and grade continuity of the polymetallic nodules within the TOML Exploration Areas.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Qualified Person considers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19"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long-axis estimation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12"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The Qualified Person considers the abundance estimates derived from photographs to date from TOML Areas B and C, to be suitable for estimating nodule abundance for the mineral resource.</w:t>
      </w:r>
    </w:p>
    <w:p>
      <w:pPr>
        <w:spacing w:after="0" w:line="65"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For more information about quality control/quality assurance and data verification, see Section 8 and Section 9 of the TOML Technical Report Summary.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162"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i w:val="1"/>
          <w:iCs w:val="1"/>
          <w:color w:val="auto"/>
        </w:rPr>
        <w:t>www.metals.co</w:t>
      </w:r>
      <w:r>
        <w:rPr>
          <w:rFonts w:ascii="Arial" w:cs="Arial" w:eastAsia="Arial" w:hAnsi="Arial"/>
          <w:sz w:val="17"/>
          <w:szCs w:val="17"/>
          <w:color w:val="auto"/>
        </w:rPr>
        <w:t>, to which we regularly post copies of our press releases as well as additional information about us. Our annual reports on Form 10-K, quarterly reports on Form 10-Q, current reports on Form 8-K, and all amendments to those reports, will be available to you free of charge through the Investor Relations section of our website as soon as reasonably practicable after such materials have been electronically filed with, or furnished to, the SEC. The SEC maintains an internet site (</w:t>
      </w:r>
      <w:r>
        <w:rPr>
          <w:rFonts w:ascii="Arial" w:cs="Arial" w:eastAsia="Arial" w:hAnsi="Arial"/>
          <w:sz w:val="17"/>
          <w:szCs w:val="17"/>
          <w:i w:val="1"/>
          <w:iCs w:val="1"/>
          <w:color w:val="auto"/>
        </w:rPr>
        <w:t>http://www.sec.gov</w:t>
      </w:r>
      <w:r>
        <w:rPr>
          <w:rFonts w:ascii="Arial" w:cs="Arial" w:eastAsia="Arial" w:hAnsi="Arial"/>
          <w:sz w:val="17"/>
          <w:szCs w:val="17"/>
          <w:color w:val="auto"/>
        </w:rPr>
        <w:t>) that contains reports, proxy and information statements, and other information regarding issuers that file electronically with the SEC. We include our web site address in this prospectus only as an inactive textual reference. Information contained in our website does not constitute a part of this prospectus or our other filings with the SEC.</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operations of DeepGreen Metals Inc. (for purposes of this section, “DeepGreen,” “we,” “us” and “our”) should be read together with DeepGreen’s audited financial statements as of and for the years ended December 31, 2020 and 2019, and DeepGreen’s unaudited interim financial statements as of June 30, 2021 and for the six months ended June 30, 2021 and 2020, in each case together with the related notes thereto, included elsewhere in this prospectus. The discussion and analysis should also be read together with the section titled “Selected Historical Financial Information of DeepGreen” and the pro forma financial information as of and for the six months ended June 30, 2021 and for the year ended December 31, 2020 included in this prospectus. See “Unaudited Pro Forma Condensed Financial Information.” This discussion contains forward-looking statements and involves numerous risks and uncertainties, including, but not limited to, those described under the heading “Risk Factors.” Actual results may differ materially from those contained in any forward-looking statements.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460" w:right="759" w:firstLine="432"/>
        <w:spacing w:after="0" w:line="287" w:lineRule="auto"/>
        <w:rPr>
          <w:sz w:val="20"/>
          <w:szCs w:val="20"/>
          <w:color w:val="auto"/>
        </w:rPr>
      </w:pPr>
      <w:r>
        <w:rPr>
          <w:rFonts w:ascii="Arial" w:cs="Arial" w:eastAsia="Arial" w:hAnsi="Arial"/>
          <w:sz w:val="16"/>
          <w:szCs w:val="16"/>
          <w:color w:val="auto"/>
        </w:rPr>
        <w:t>We are a deep-sea minerals exploration company focused on the collection, processing and refining of polymetallic nodules found on the seafloor of the Clarion Clipperton Zone (“</w:t>
      </w:r>
      <w:r>
        <w:rPr>
          <w:rFonts w:ascii="Arial" w:cs="Arial" w:eastAsia="Arial" w:hAnsi="Arial"/>
          <w:sz w:val="16"/>
          <w:szCs w:val="16"/>
          <w:u w:val="single" w:color="auto"/>
          <w:color w:val="auto"/>
        </w:rPr>
        <w:t>CCZ</w:t>
      </w:r>
      <w:r>
        <w:rPr>
          <w:rFonts w:ascii="Arial" w:cs="Arial" w:eastAsia="Arial" w:hAnsi="Arial"/>
          <w:sz w:val="16"/>
          <w:szCs w:val="16"/>
          <w:color w:val="auto"/>
        </w:rPr>
        <w:t>”). We are also developing technology for onshore processing of polymetallic nodules and are working with Allseas Group S.A.</w:t>
      </w:r>
    </w:p>
    <w:p>
      <w:pPr>
        <w:spacing w:after="0" w:line="2" w:lineRule="exact"/>
        <w:rPr>
          <w:sz w:val="20"/>
          <w:szCs w:val="20"/>
          <w:color w:val="auto"/>
        </w:rPr>
      </w:pPr>
    </w:p>
    <w:p>
      <w:pPr>
        <w:ind w:left="460" w:right="47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Allseas</w:t>
      </w:r>
      <w:r>
        <w:rPr>
          <w:rFonts w:ascii="Arial" w:cs="Arial" w:eastAsia="Arial" w:hAnsi="Arial"/>
          <w:sz w:val="17"/>
          <w:szCs w:val="17"/>
          <w:color w:val="auto"/>
        </w:rPr>
        <w:t>”) to develop a system to collect, lift and transport nodules from the seafloor to shore. The plan for the collection of polymetallic nodules includes offshore collection systems, which are comprised of collector vehicles on the seafloor, a RALS, and a production support vessel to collect the polymetallic nodules. The nodules would be expected to be collected from the seafloor by self-propelled, tracked collector vehicles. No rock cutting, digging, drill-and-blast or other breakage are expected to be required at the point of collection. The collectors would be remotely controlled and supplied with electric power via umbilical cables from the production support vessel. In order to test the collection system, a contract has been entered into with Allseas to undertake a pre-production collector test</w:t>
      </w:r>
    </w:p>
    <w:p>
      <w:pPr>
        <w:spacing w:after="0" w:line="116"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7"/>
          <w:szCs w:val="17"/>
          <w:color w:val="auto"/>
        </w:rPr>
        <w:t>NORI, sponsored by the Republic of Nauru, was granted an exploration license by the International Seabed Authority (the “ISA”) in July 2011 granting NORI exclusive rights to explore for polymetallic nodules in a region of the CCZ covering 74,830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allocated to Nauru (“NORI Area”). Similarly, through Marawa Research and Exploration Limited (“Marawa”), we were granted rights by the ISA to polymetallic nodules exploration in an area of 74,990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in the CCZ allocated to the Republic of Kiribati. We entered into an option agreement with Marawa to purchase such tenements granted to exclusively collect nodules from this area in return for a royalty payable to Marawa. During the year ended December 31, 2020, we acquired TOML, which was granted an exploration license by the ISA in January 2012 and has exclusive rights to explore for polymetallic nodules covering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of the CCZ under the supervision of Tonga.</w:t>
      </w:r>
    </w:p>
    <w:p>
      <w:pPr>
        <w:spacing w:after="0" w:line="5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are an exploration stage company with no revenue to date that has incurred a net loss of $83.7 million for the six months ended June 30, 2021, compared to $32.8 million in the prior year period. We incurred a net loss of $56.6 million for the year ended December 31, 2020 and had an accumulated deficit of approximately $246.6 million from inception through June 30, 2021.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Business Combination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On September 9, 2021, we completed our business combination (the “Business Combination”) with SOAC. The Business Combination was approved by SOAC’s shareholders at its extraordinary general meeting held on September 3, 2021.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approximately $137.5 million.</w:t>
      </w:r>
    </w:p>
    <w:p>
      <w:pPr>
        <w:spacing w:after="0" w:line="127"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The Business Combination was accounted for as a reverse recapitalization and DeepGreen was deemed the accounting predecessor. Under this method of accounting, SOAC was treated as the acquired company for financial statement reporting purposes.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Following the Business Combination, we became the successor to an SEC-registered company and a Nasdaq listed company, which will require us to hire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Description of the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NORI was granted the NORI Exploration Contract on July 22, 2011. The contract was acquired for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$0.25 million and provides NORI with exclusive rights to explore for polymetallic nodules in an area covering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74,830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for 15 years subject to complying with the exploration contract terms and the priority right to apply</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an ISA Exploitation Contract to collect polymetallic nodules in the same area.</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158" w:lineRule="exact"/>
        <w:rPr>
          <w:sz w:val="20"/>
          <w:szCs w:val="20"/>
          <w:color w:val="auto"/>
        </w:rPr>
      </w:pPr>
    </w:p>
    <w:p>
      <w:pPr>
        <w:ind w:left="460" w:right="619" w:firstLine="432"/>
        <w:spacing w:after="0" w:line="268" w:lineRule="auto"/>
        <w:rPr>
          <w:sz w:val="20"/>
          <w:szCs w:val="20"/>
          <w:color w:val="auto"/>
        </w:rPr>
      </w:pPr>
      <w:r>
        <w:rPr>
          <w:rFonts w:ascii="Arial" w:cs="Arial" w:eastAsia="Arial" w:hAnsi="Arial"/>
          <w:sz w:val="17"/>
          <w:szCs w:val="17"/>
          <w:color w:val="auto"/>
        </w:rPr>
        <w:t>TOML was granted the TOML Exploration Contract on January 11, 2012. The contract was acquired by us during the year ended December 31, 2020 in connection with its acquisition of TOML for $32 million from Deep Sea Mining Finance Ltd. (“Deep Sea Mining”). TOML has exclusive rights to explore for polymetallic nodules in an area covering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for 15 years and a priority right to apply for an ISA Exploitation Contract to collect polymetallic nodules in the TOML Area.</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March 17, 2012, our subsidiary DeepGreen Engineering Pte Ltd. (“DGE”) entered into an Option Agreement with Marawa and the Republic of Kiribati (the “Option Agreement”). The Option Agreement was amended on October 1, 2013. Under the amended Option Agreement, for an option fee of $0.3 million, DGE has the right to purchase tenements, as may be granted to Marawa by the ISA or any other regulatory body, for the greater of $0.3 million or the value of any amounts owing to DGE by Marawa. This option, can be exercised when a default event, as defined in the foregoing agreement, occurs at any time within 40 years after the date of execution of the Option agreement.</w:t>
      </w:r>
    </w:p>
    <w:p>
      <w:pPr>
        <w:spacing w:after="0" w:line="127" w:lineRule="exact"/>
        <w:rPr>
          <w:sz w:val="20"/>
          <w:szCs w:val="20"/>
          <w:color w:val="auto"/>
        </w:rPr>
      </w:pPr>
    </w:p>
    <w:p>
      <w:pPr>
        <w:ind w:left="460" w:right="499" w:firstLine="432"/>
        <w:spacing w:after="0" w:line="298" w:lineRule="auto"/>
        <w:rPr>
          <w:sz w:val="20"/>
          <w:szCs w:val="20"/>
          <w:color w:val="auto"/>
        </w:rPr>
      </w:pPr>
      <w:r>
        <w:rPr>
          <w:rFonts w:ascii="Arial" w:cs="Arial" w:eastAsia="Arial" w:hAnsi="Arial"/>
          <w:sz w:val="16"/>
          <w:szCs w:val="16"/>
          <w:color w:val="auto"/>
        </w:rPr>
        <w:t>On October 1, 2013, DGE also entered into the Services Agreement with Marawa and Kiribati, which grants DGE the exclusive right to carry out all exploration and collection in the Marawa Area. Under this agreement, DGE will pay to the ISA on behalf of Marawa, ISA royalty and taxes as well as the ISA exploitation application fee of $0.3 million and annual administrative costs. In addition, DGE will ensure that the activities carried out in the Marawa Area by DGE and any other service contractor complies with the ISA and any other required regulations. The Marawa Area is situated in close proximity to the 74,830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NORI Area.</w:t>
      </w:r>
    </w:p>
    <w:p>
      <w:pPr>
        <w:spacing w:after="0" w:line="45"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The Services Agreement grants DGE the right to recover any and all polymetallic nodules from the Marawa Area by paying the Republic of Kiribati a royalty per wet tonne of polymetallic nodules (adjusted for inflation from October 1, 2013 onwards).</w:t>
      </w:r>
    </w:p>
    <w:p>
      <w:pPr>
        <w:spacing w:after="0" w:line="103"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DGE has the right to terminate the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and the Services Agreement.</w:t>
      </w:r>
    </w:p>
    <w:p>
      <w:pPr>
        <w:spacing w:after="0" w:line="97"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 xml:space="preserve">For more information about each of the NORI Exploration Contract, the TOML Exploration Contract and the Marawa Option Agreement and Services Agreement, please see the section entitled </w:t>
      </w:r>
      <w:r>
        <w:rPr>
          <w:rFonts w:ascii="Arial" w:cs="Arial" w:eastAsia="Arial" w:hAnsi="Arial"/>
          <w:sz w:val="18"/>
          <w:szCs w:val="18"/>
          <w:i w:val="1"/>
          <w:iCs w:val="1"/>
          <w:color w:val="auto"/>
        </w:rPr>
        <w:t>“Business of</w:t>
      </w:r>
      <w:r>
        <w:rPr>
          <w:rFonts w:ascii="Arial" w:cs="Arial" w:eastAsia="Arial" w:hAnsi="Arial"/>
          <w:sz w:val="18"/>
          <w:szCs w:val="18"/>
          <w:color w:val="auto"/>
        </w:rPr>
        <w:t xml:space="preserve"> </w:t>
      </w:r>
      <w:r>
        <w:rPr>
          <w:rFonts w:ascii="Arial" w:cs="Arial" w:eastAsia="Arial" w:hAnsi="Arial"/>
          <w:sz w:val="18"/>
          <w:szCs w:val="18"/>
          <w:i w:val="1"/>
          <w:iCs w:val="1"/>
          <w:color w:val="auto"/>
        </w:rPr>
        <w:t>TMC — Government Regulation</w:t>
      </w:r>
      <w:r>
        <w:rPr>
          <w:rFonts w:ascii="Arial" w:cs="Arial" w:eastAsia="Arial" w:hAnsi="Arial"/>
          <w:sz w:val="18"/>
          <w:szCs w:val="18"/>
          <w:color w:val="auto"/>
        </w:rPr>
        <w:t>” included in this prospectus.</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TOML Acquisition</w:t>
      </w:r>
    </w:p>
    <w:p>
      <w:pPr>
        <w:spacing w:after="0" w:line="148" w:lineRule="exact"/>
        <w:rPr>
          <w:sz w:val="20"/>
          <w:szCs w:val="20"/>
          <w:color w:val="auto"/>
        </w:rPr>
      </w:pPr>
    </w:p>
    <w:p>
      <w:pPr>
        <w:ind w:left="460" w:right="479" w:firstLine="432"/>
        <w:spacing w:after="0" w:line="250" w:lineRule="auto"/>
        <w:rPr>
          <w:sz w:val="20"/>
          <w:szCs w:val="20"/>
          <w:color w:val="auto"/>
        </w:rPr>
      </w:pPr>
      <w:r>
        <w:rPr>
          <w:rFonts w:ascii="Arial" w:cs="Arial" w:eastAsia="Arial" w:hAnsi="Arial"/>
          <w:sz w:val="18"/>
          <w:szCs w:val="18"/>
          <w:color w:val="auto"/>
        </w:rPr>
        <w:t>On March 31, 2020, we entered into an acquisition agreement to acquire the polymetallic nodules business unit from Deep Sea Mining (the “TOML Acquisition”). As part of the TOML Acquisition, we acquired various subsidiaries in the TOML group for a total purchase price of $32 million. TOML holds the TOML Exploration Contract with the ISA. The TOML Acquisition includes the exclusive rights held by TOML to explore for polymetallic nodules in an area covering 74,713 km</w:t>
      </w:r>
      <w:r>
        <w:rPr>
          <w:rFonts w:ascii="Arial" w:cs="Arial" w:eastAsia="Arial" w:hAnsi="Arial"/>
          <w:sz w:val="20"/>
          <w:szCs w:val="20"/>
          <w:color w:val="auto"/>
          <w:vertAlign w:val="superscript"/>
        </w:rPr>
        <w:t>2</w:t>
      </w:r>
      <w:r>
        <w:rPr>
          <w:rFonts w:ascii="Arial" w:cs="Arial" w:eastAsia="Arial" w:hAnsi="Arial"/>
          <w:sz w:val="18"/>
          <w:szCs w:val="18"/>
          <w:color w:val="auto"/>
        </w:rPr>
        <w:t>, a priority right to apply for an ISA Exploitation Contract to collect polymetallic nodules in the same area, and some exploration related equipment. The TOML group also holds various patents and an application right with respect to a prospecting exploration license in the Republic of Kiribati.</w:t>
      </w:r>
    </w:p>
    <w:p>
      <w:pPr>
        <w:spacing w:after="0" w:line="12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purchase price of $32 million was settled through initial cash payments of $0.5 million in two tranches, the issuance of 7.8 million DeepGreen Common Shares at the mutually agreed price of $3.60 per share between both parties for a total amount of $28 million, $0.06 million payment to ISA on behalf of Deep Sea Mining and deferred consideration of $3.44 million, which was to be paid in tranches. The deferred consideration has been fully paid as at June 30, 2021.</w:t>
      </w:r>
    </w:p>
    <w:p>
      <w:pPr>
        <w:spacing w:after="0" w:line="120"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determined that the value of TOML acquisition was substantially concentrated in the TOML Exploration Contract and therefore considered this to be an acquisition of a group of connected assets rather than an acquisition of a business. As a consequence, the total cost of the transaction was primarily allocated to exploration licenses.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Trends, Opportunities and Uncertainties</w:t>
      </w:r>
    </w:p>
    <w:p>
      <w:pPr>
        <w:spacing w:after="0" w:line="148" w:lineRule="exact"/>
        <w:rPr>
          <w:sz w:val="20"/>
          <w:szCs w:val="20"/>
          <w:color w:val="auto"/>
        </w:rPr>
      </w:pPr>
    </w:p>
    <w:p>
      <w:pPr>
        <w:ind w:left="460" w:right="699" w:firstLine="432"/>
        <w:spacing w:after="0" w:line="286" w:lineRule="auto"/>
        <w:rPr>
          <w:sz w:val="20"/>
          <w:szCs w:val="20"/>
          <w:color w:val="auto"/>
        </w:rPr>
      </w:pPr>
      <w:r>
        <w:rPr>
          <w:rFonts w:ascii="Arial" w:cs="Arial" w:eastAsia="Arial" w:hAnsi="Arial"/>
          <w:sz w:val="17"/>
          <w:szCs w:val="17"/>
          <w:color w:val="auto"/>
        </w:rPr>
        <w:t>We are a pre-revenue company. We believe that our performance and future success depends on several factors that present significant opportunities but also poses risks and challenges, including those discussed below and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this prospectus.</w:t>
      </w:r>
    </w:p>
    <w:p>
      <w:pPr>
        <w:spacing w:after="0" w:line="9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The recovery of polymetallic nodules from our exploration licenses and attainment of revenue and profitable operations is dependent upon many factors including, among other things: financing being arranged by us to continue operations, exploration and delineation of the resources on the ocean floor; development of collection technology and systems for the extraction of polymetallic nodules as well as development of processing technology for the treatment of polymetallic nodules to produce saleable products, the establishment of a mineable resource, demonstration of the commercial and technical feasibility of seafloor polymetallic nodule collection considering processing, metal prices, and regulatory approval for nodule collection and environmental permitting. The outcome of these matters cannot presently be determined because they are contingent on future events.</w:t>
      </w:r>
    </w:p>
    <w:p>
      <w:pPr>
        <w:spacing w:after="0" w:line="11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To date, no exploitation has occurred under the ISA’s regulatory regime. Moreover, despite the release by the ISA of the Draft Regulations on Exploitation of Mineral Resources, finalization of such regulations remains subject to the decision of the members of the ISA. Although the ISA declared a target of July 2020 to have the regulations approved, the July session was deferred as a result of the COVID-19 pandemic. Although we expect that the new regulations will be approved within the next two years, there can be no assurance that such regulations will be approved then, or at all, which would have a material adverse effect on our ability to conduct our business as currently contemplated.</w:t>
      </w:r>
    </w:p>
    <w:p>
      <w:pPr>
        <w:spacing w:after="0" w:line="96"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On June 25, 2021, the Republic of Nauru submitted its notice to the ISA requesting that it completes,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commercial-scale polymetallic nodule collection.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w:t>
      </w:r>
    </w:p>
    <w:p>
      <w:pPr>
        <w:spacing w:after="0" w:line="2" w:lineRule="exact"/>
        <w:rPr>
          <w:sz w:val="20"/>
          <w:szCs w:val="20"/>
          <w:color w:val="auto"/>
        </w:rPr>
      </w:pPr>
    </w:p>
    <w:p>
      <w:pPr>
        <w:jc w:val="both"/>
        <w:ind w:left="460" w:right="659" w:hanging="6"/>
        <w:spacing w:after="0" w:line="323" w:lineRule="auto"/>
        <w:tabs>
          <w:tab w:leader="none" w:pos="72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rules, regulations and procedures that the ISA may have adopted provisionally at the time, (iii) on the basis of the norms contained in the UNCLOS, and (iv) the principle of non-discrimination among contractors.</w:t>
      </w:r>
    </w:p>
    <w:p>
      <w:pPr>
        <w:spacing w:after="0" w:line="71"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exploitation and development of polymetallic nodules within the International Seabed Area will require approval of an ISA Exploitation Contract (which will authorize nodule collection activities), along with approvals including with respect to a required Environmental and Social Impact Assessment (“ESIA”). In order to collect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color w:val="auto"/>
        </w:rPr>
        <w:t>mineral resources and commercialize our projects, NORI and TOML will each need to obtain an ISA Exploitation Contract, in addition to related permits that may be required by our partners to conduct operations including with respect to onshore processing and international maritime activities.</w:t>
      </w:r>
    </w:p>
    <w:p>
      <w:pPr>
        <w:spacing w:after="0" w:line="116"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The ISA is currently working on the development of a legal framework to regulate the exploitation of polymetallic nodules in the International Seabed Area. Royalties, taxes, and fees payable on any future production from our contract areas will be stipulated in the ISA’s exploitation regulations. While the rates of payments are yet to be set by the ISA, the 1994 Implementation Agreement prescribes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exploitation of polymetallic nodules in the International Seabed Area and forecasts developed by us have been informed by these discussions. There can be no assurance that the ISA will put in place exploitation regulations in a timely manner or at all. Such exploitation regulations may also impose burdensome obligations or restrictions on us, and/or may contain terms that do not enable us to develop our projects.</w:t>
      </w:r>
    </w:p>
    <w:p>
      <w:pPr>
        <w:spacing w:after="0" w:line="111"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collected on a commercial scale, and it is not clear what environmental parameters may need to be measured to satisfy regulatory authorities that an ISA Exploitation Contract should be granted. A full ESIA for deep-sea collecting operations has yet to be completed and approved by the ISA, and the full impact of any polymetallic nodule collecting operation on the environment has yet to be determined. Further, the required standards for an ESIA are currently unclear and have not been finalized by the ISA, which could require changes to any submissions made by our subsidiaries in connection with ISA Exploitation Contract application. Environmental legislation is evolving in a manner which is likely to require stricter standards and enforcement, increased fines and penalties for non-compliance, more stringent environmental assessments of proposed projects and a heightened degree of responsibility for companies and their officers, directors and employees. Additionally, while we intend to produce seafloor polymetallic nodules in a way that mitigates and reduces potential damage to the seafloor and marine environmental conditions, we do not know whether the ISA or any other regulatory body will seek to impose impracticable restoration or rehabilitation obligations on our collecting process. Any such obligations, to the extent they are overly burdensome, could result in material changes to our business as currently contemplated.</w:t>
      </w:r>
    </w:p>
    <w:p>
      <w:pPr>
        <w:spacing w:after="0" w:line="95"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Although the environmental impact review process has not yet been finalized, all contractors have been made aware of the requirement to complete baseline studies and an ESIA, culminating in an Environmental Impact Statement (“EIS”) prior to collecting. There are no guarantees that the ISA will evaluate any exploration contract application by our subsidiaries in a timely manner, and even if the ISA does timely evaluate such applications(s), such subsidiary may be required to submit a supplementary EIS before being approved. This may result in delays that could impact our projected timeframe for collection and production. Furthermore, in the event that the ISA timely evaluates and approves an application, any aspect of such application and approval theoretically could be subject to legal challenges which could result in further delays that could detrimentally impact our business.</w:t>
      </w:r>
    </w:p>
    <w:p>
      <w:pPr>
        <w:spacing w:after="0" w:line="129"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environmental permitting process is expected to involve a series of checks and balances with reviews being conducted by the ISA. There are no assurances that the work our subsidiaries have done to date or that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the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w:t>
      </w:r>
    </w:p>
    <w:p>
      <w:pPr>
        <w:spacing w:after="0" w:line="104"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Seafloor polymetallic nodules have never been recovered on a commercial scale, and there is a risk that our collection methods and the equipment that we intend to utilize during this process may not be adequate for the economic development of seafloor polymetallic nodule deposits. The equipment and technology that we intend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91" w:lineRule="auto"/>
        <w:rPr>
          <w:sz w:val="20"/>
          <w:szCs w:val="20"/>
          <w:color w:val="auto"/>
        </w:rPr>
      </w:pPr>
      <w:r>
        <w:rPr>
          <w:rFonts w:ascii="Arial" w:cs="Arial" w:eastAsia="Arial" w:hAnsi="Arial"/>
          <w:sz w:val="16"/>
          <w:szCs w:val="16"/>
          <w:color w:val="auto"/>
        </w:rPr>
        <w:t>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our business, results of operations and financial condition. We have partnered with Allseas, a leading global offshore contractor, to undertake a pre-production pilot collector test in which a collector vehicle, a RALS and other systems will be tested. Although we expect the pilot collector test to be successful, there can be no assurance that it will be, or that their technology will eventually be adequate to collect polymetallic nodules on a commercial scale.</w:t>
      </w:r>
    </w:p>
    <w:p>
      <w:pPr>
        <w:spacing w:after="0" w:line="99"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If NORI and TOML are each able to obtain ISA Exploitation Contract after the ISA finalizes the exploitation regulations, in addition to any related permits that may be required, and the Allseas pilot collector test is successful and we are able to collect, transport and process polymetallic nodules on a commercial scale and sell metals from such operations, we expect to be able to generate revenue beginning in 2024.</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COVID-19</w:t>
      </w:r>
    </w:p>
    <w:p>
      <w:pPr>
        <w:spacing w:after="0" w:line="162"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In March 2020, the World Health Organization declared the global outbreak of COVID-19 to be a pandemic. We continue to closely monitor the recent developments surrounding the continued spread and potential resurgence of COVID-19. The COVID-19 pandemic may have an adverse impact on our operations, particularly as a result of preventive and precautionary measures that our company, other businesses, and governments are taking. Refer to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this prospectus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in costs going forward. We will continue to monitor the performance of our business and reassess the impacts of COVID-19.</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We currently conduct our business through one operating segment. As a pre-revenue company with no commercial operations, our activities to date have been limited. Our historical results are reported under U.S. GAAP and in U.S. dollars.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62" w:lineRule="exact"/>
        <w:rPr>
          <w:sz w:val="20"/>
          <w:szCs w:val="20"/>
          <w:color w:val="auto"/>
        </w:rPr>
      </w:pPr>
    </w:p>
    <w:p>
      <w:pPr>
        <w:jc w:val="both"/>
        <w:ind w:left="460" w:right="539" w:firstLine="432"/>
        <w:spacing w:after="0" w:line="311" w:lineRule="auto"/>
        <w:rPr>
          <w:sz w:val="20"/>
          <w:szCs w:val="20"/>
          <w:color w:val="auto"/>
        </w:rPr>
      </w:pPr>
      <w:r>
        <w:rPr>
          <w:rFonts w:ascii="Arial" w:cs="Arial" w:eastAsia="Arial" w:hAnsi="Arial"/>
          <w:sz w:val="16"/>
          <w:szCs w:val="16"/>
          <w:color w:val="auto"/>
        </w:rPr>
        <w:t>We are an exploration-stage company and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To date, we have not generated any revenue. We do not expect to generate revenue until at least 2024 and only if NORI and/or TOML receive an ISA Exploitation Contract and we are able to successfully collect polymetallic nodules and process the nodules into saleable products on a commercial scale. Any revenue from initial production is difficult to predict.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144"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We expense all costs relating to exploration for and development of mineral resources. Such exploration and development costs include, but are not limited to, ISA contract management, geological, geochemical and geophysical studies, environmental baseline studies and process development. The acquisition cost of mineral contracts would be charged to operations on a unit-of-production method based on proven and probable reserves should commercial production commence in the future.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Selling, general and administrative, or SG&amp;A, expenses consist primarily of compensation for employees, consultants and directors, including stock-based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Stock-based compensation cost from the issuance of stock options is measured at the grant date based on the fair value of the award and is recognized over the related service period. Stock-based compensation costs are charged to exploration expenses and general and administrative expense depending on the function fulfilled by the option holder. In instances stock options are issued for financing related services, the costs are included within equity as part of the financing costs. We recognize forfeiture of any awards as they occur.</w:t>
      </w:r>
    </w:p>
    <w:p>
      <w:pPr>
        <w:spacing w:after="0" w:line="94"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We expect SG&amp;A expenses to continue to increase in absolute dollars as we expand our infrastructure to commence production and due to additional legal, accounting, insurance and other expenses associated with being a public company.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Income/Expense</w:t>
      </w:r>
    </w:p>
    <w:p>
      <w:pPr>
        <w:spacing w:after="0" w:line="158"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Interest income consists primarily of interest income earned on our cash and cash equivalents. We expect interest income to increase considerably into the future given the increase of cash on our balance sheet as a result of the Business Combination.</w:t>
      </w:r>
    </w:p>
    <w:p>
      <w:pPr>
        <w:spacing w:after="0" w:line="10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Interest expense results from our financing transactions, specifically the convertible debentures issued in February 2021, which accrue interest at 7% per annum.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15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foreign exchange income or loss for the periods primarily relates to our cash held in Canadian dollars and also to the settlement of costs incurred in foreign currencies, depending on either the strengthening or weakening of the US dollar.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the Six Months Ended June 30, 2021 and 2020</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200" w:type="dxa"/>
            <w:vAlign w:val="bottom"/>
            <w:gridSpan w:val="5"/>
          </w:tcPr>
          <w:p>
            <w:pPr>
              <w:ind w:left="100"/>
              <w:spacing w:after="0"/>
              <w:rPr>
                <w:sz w:val="20"/>
                <w:szCs w:val="20"/>
                <w:color w:val="auto"/>
              </w:rPr>
            </w:pPr>
            <w:r>
              <w:rPr>
                <w:rFonts w:ascii="Arial" w:cs="Arial" w:eastAsia="Arial" w:hAnsi="Arial"/>
                <w:sz w:val="16"/>
                <w:szCs w:val="16"/>
                <w:b w:val="1"/>
                <w:bCs w:val="1"/>
                <w:color w:val="auto"/>
              </w:rPr>
              <w:t>Six Months Ended 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
        </w:trPr>
        <w:tc>
          <w:tcPr>
            <w:tcW w:w="35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1200" w:type="dxa"/>
            <w:vAlign w:val="bottom"/>
            <w:gridSpan w:val="2"/>
          </w:tcPr>
          <w:p>
            <w:pPr>
              <w:spacing w:after="0"/>
              <w:rPr>
                <w:sz w:val="4"/>
                <w:szCs w:val="4"/>
                <w:color w:val="auto"/>
              </w:rPr>
            </w:pPr>
          </w:p>
        </w:tc>
      </w:tr>
      <w:tr>
        <w:trPr>
          <w:trHeight w:val="230"/>
        </w:trPr>
        <w:tc>
          <w:tcPr>
            <w:tcW w:w="3580" w:type="dxa"/>
            <w:vAlign w:val="bottom"/>
          </w:tcPr>
          <w:p>
            <w:pPr>
              <w:spacing w:after="0"/>
              <w:rPr>
                <w:sz w:val="20"/>
                <w:szCs w:val="20"/>
                <w:color w:val="auto"/>
              </w:rPr>
            </w:pPr>
          </w:p>
        </w:tc>
        <w:tc>
          <w:tcPr>
            <w:tcW w:w="1000" w:type="dxa"/>
            <w:vAlign w:val="bottom"/>
          </w:tcPr>
          <w:p>
            <w:pPr>
              <w:jc w:val="right"/>
              <w:ind w:right="25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 Change</w:t>
            </w:r>
          </w:p>
        </w:tc>
      </w:tr>
      <w:tr>
        <w:trPr>
          <w:trHeight w:val="47"/>
        </w:trPr>
        <w:tc>
          <w:tcPr>
            <w:tcW w:w="35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17"/>
        </w:trPr>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5"/>
          </w:tcPr>
          <w:p>
            <w:pPr>
              <w:ind w:left="120"/>
              <w:spacing w:after="0"/>
              <w:rPr>
                <w:sz w:val="20"/>
                <w:szCs w:val="20"/>
                <w:color w:val="auto"/>
              </w:rPr>
            </w:pPr>
            <w:r>
              <w:rPr>
                <w:rFonts w:ascii="Arial" w:cs="Arial" w:eastAsia="Arial" w:hAnsi="Arial"/>
                <w:sz w:val="16"/>
                <w:szCs w:val="16"/>
                <w:b w:val="1"/>
                <w:bCs w:val="1"/>
                <w:color w:val="auto"/>
                <w:w w:val="90"/>
              </w:rPr>
              <w:t>(dollar amounts in thousands)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
        </w:trPr>
        <w:tc>
          <w:tcPr>
            <w:tcW w:w="3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6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54,736</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31,188</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SG&amp;A</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28,265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26,639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1,638%</w:t>
            </w:r>
          </w:p>
        </w:tc>
      </w:tr>
      <w:tr>
        <w:trPr>
          <w:trHeight w:val="40"/>
        </w:trPr>
        <w:tc>
          <w:tcPr>
            <w:tcW w:w="3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57"/>
        </w:trPr>
        <w:tc>
          <w:tcPr>
            <w:tcW w:w="358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(1,867)%</w:t>
            </w:r>
          </w:p>
        </w:tc>
      </w:tr>
      <w:tr>
        <w:trPr>
          <w:trHeight w:val="27"/>
        </w:trPr>
        <w:tc>
          <w:tcPr>
            <w:tcW w:w="3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35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32,760</w:t>
            </w: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50,955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Exploration expenses increased by approximately $23.5 million, or 76%, to $54.7 million during the six months ended June 30, 2021, compared to $31.2 million during the six months ended June 30, 2020. This increase was primarily due to the recognition of $28.6 million (compared to $0.2 million during the same period in 2020) of stock-based compensation from the issuance of stock options granted to personnel during the</w:t>
      </w:r>
    </w:p>
    <w:p>
      <w:pPr>
        <w:spacing w:after="0" w:line="1" w:lineRule="exact"/>
        <w:rPr>
          <w:sz w:val="20"/>
          <w:szCs w:val="20"/>
          <w:color w:val="auto"/>
        </w:rPr>
      </w:pPr>
    </w:p>
    <w:p>
      <w:pPr>
        <w:ind w:left="460" w:right="479"/>
        <w:spacing w:after="0" w:line="284" w:lineRule="auto"/>
        <w:rPr>
          <w:sz w:val="20"/>
          <w:szCs w:val="20"/>
          <w:color w:val="auto"/>
        </w:rPr>
      </w:pPr>
      <w:r>
        <w:rPr>
          <w:rFonts w:ascii="Arial" w:cs="Arial" w:eastAsia="Arial" w:hAnsi="Arial"/>
          <w:sz w:val="16"/>
          <w:szCs w:val="16"/>
          <w:color w:val="auto"/>
        </w:rPr>
        <w:t>six months ended June 30, 2021. The stock-based compensation cost for the stock options granted to individuals involved in the exploration activities is included within exploration expenses for the periods. In addition, the cost of marine cruises that we undertook during the six months ended June 30, 2021 was $21.0 million (compared to $14.8 million during the same period in 2020). We have a strategic partnership with Maersk, as described below, pursuant to which we settled the costs for marine vessel services provided by Maersk through the issuance of DeepGreen Common Shares. Such DeepGreen Common Shares were recognized at their fair value and the changes in such fair value had a significant impact on its exploration expenditures. During March 2021, we revised our arrangement with Maersk, which now requires settlement of marine vessel services in cash instead of DeepGreen Common Shares and going forward, such costs are expected to reflect the cost of the marine cruises undertaken with no additional impact on the cost resulting from the change in the fair value of DeepGreen Common Shares. This overall increase in cost was offset by $11.7 million of cost recognized related to the amendment to our agreement with Allseas (as further described below), whereby we paid an additional $10 million and issued 2.8 million DeepGreen Common Shares to Allseas during the six months ended June 30, 2020. We expect exploration expenses to increase during the remainder of 2021 due to an increase in planned exploration campaigns to undertake environmental baseline surveys</w:t>
      </w:r>
    </w:p>
    <w:p>
      <w:pPr>
        <w:sectPr>
          <w:pgSz w:w="11900" w:h="16838" w:orient="portrait"/>
          <w:cols w:equalWidth="0" w:num="1">
            <w:col w:w="9019"/>
          </w:cols>
          <w:pgMar w:left="1440" w:top="274"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4" w:name="page115"/>
    <w:bookmarkEnd w:id="11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19"/>
        <w:spacing w:after="0" w:line="263" w:lineRule="auto"/>
        <w:rPr>
          <w:sz w:val="20"/>
          <w:szCs w:val="20"/>
          <w:color w:val="auto"/>
        </w:rPr>
      </w:pPr>
      <w:r>
        <w:rPr>
          <w:rFonts w:ascii="Arial" w:cs="Arial" w:eastAsia="Arial" w:hAnsi="Arial"/>
          <w:sz w:val="18"/>
          <w:szCs w:val="18"/>
          <w:color w:val="auto"/>
        </w:rPr>
        <w:t>to support the ESIA and permitting requirements as well as milestones being reached for the pilot collector test program with Allseas. Processing expenditure is also expected to increase with completion of pyrometallurgical and hydrometallurgical pilot testing.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SG&amp;A expenses increased $26.6 million, or 1,638%, to $28.3 million during the six months ended June 30, 2021, compared to $1.6 million during the six months ended June 30, 2020. The increase in SG&amp;A expenses were a result of the stock-based compensation recognized of $18.7 million and costs incurred in connection with the Business Combination. Total additional professional fees incurred during the six months ended June 30, 2021 amounted to $4.7 million. Our activities overall also increased and we incurred additional consulting fees of $1.0 million and marketing costs of $2.3 million, respectively. We expect SG&amp;A expenses to increase significantly during 2021 due to additional professional fees (including legal, audit and tax fees) and other costs of becoming and being a public company.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During the six months ended June 30, 2021, we recognized interest expense of $0.7 million as a result of the issuance of 7% convertible debentures of $26 million during February 2021.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4"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To date, our primary sources of capital have been private placements of DeepGreen Common Shares and DeepGreen Preferred Shares and a recent issuance of convertible debentures completed in February 2021, which were automatically converted into DeepGreen Common Shares immediately prior to the completion of the Business Combination. As of June 30, 2021, we had cash and cash equivalents of $16.9 million and an accumulated deficit of $246.6 million. In addition, on September 9, 2021, we completed the Business Combination with SOAC, and as a result we received gross proceeds of approximately $137.5 million.</w:t>
      </w:r>
    </w:p>
    <w:p>
      <w:pPr>
        <w:spacing w:after="0" w:line="97"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We have yet to generate any revenue from our business operations. We are an exploration stage company and the recovery of our investment in mineral exploration contracts and attainment of profitable operations is dependent upon many factors including, among other things, exploring and developing the ocean floor for the collection of polymetallic nodules as well as the development of our processing technology for the treatment of such nodules, the establishment of mineable reserves, the demonstration of commercial and technical feasibility of seafloor polymetallic nodule collection and processing, metal prices, and regulatory approval for exploitation and environmental permitting. While we have obtained financing in the past, there is no assurance that such financing will continue to be available.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2020 Financings</w:t>
      </w:r>
    </w:p>
    <w:p>
      <w:pPr>
        <w:spacing w:after="0" w:line="158"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During the year ended December 31, 2020, we issued 5.7 million DeepGreen Common Shares in private placements for total proceeds of $20.4 million. Inclusive in this was a subscription from Allseas for 2.8 million DeepGreen Common Shares for total proceeds of $10 million.</w:t>
      </w:r>
    </w:p>
    <w:p>
      <w:pPr>
        <w:spacing w:after="0" w:line="103" w:lineRule="exact"/>
        <w:rPr>
          <w:sz w:val="20"/>
          <w:szCs w:val="20"/>
          <w:color w:val="auto"/>
        </w:rPr>
      </w:pPr>
    </w:p>
    <w:p>
      <w:pPr>
        <w:jc w:val="both"/>
        <w:ind w:left="460" w:right="579" w:firstLine="432"/>
        <w:spacing w:after="0" w:line="279" w:lineRule="auto"/>
        <w:rPr>
          <w:sz w:val="20"/>
          <w:szCs w:val="20"/>
          <w:color w:val="auto"/>
        </w:rPr>
      </w:pPr>
      <w:r>
        <w:rPr>
          <w:rFonts w:ascii="Arial" w:cs="Arial" w:eastAsia="Arial" w:hAnsi="Arial"/>
          <w:sz w:val="17"/>
          <w:szCs w:val="17"/>
          <w:color w:val="auto"/>
        </w:rPr>
        <w:t>We further issued 2.8 million DeepGreen Common Shares for services to Allseas at a price of $3.60 per share for total value of $10.1 million and 4.1 million DeepGreen Common Shares for marine vessel services to Maersk to settle invoiced cost of $5.1 million at an agreed upon contract price of $1.25 per share. Such shares issued to Maersk were recognized for accounting purposes at $3.60 per share.</w:t>
      </w:r>
    </w:p>
    <w:p>
      <w:pPr>
        <w:spacing w:after="0" w:line="104"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During the year ended December 31, 2020, option holders exercised 2.3 million stock options for total proceeds of $0.9 million at an average exercise price of $0.41 per share.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2021 Financings</w:t>
      </w:r>
    </w:p>
    <w:p>
      <w:pPr>
        <w:spacing w:after="0" w:line="15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During the six months ended June 30, 2021, we issued 3.7 million DeepGreen Common Shares to Maersk for marine vessel services. Such Common Shares were valued at $7.00 per DeepGreen Common Share. Certain holders of stock options exercised their rights in exchange for 3.4 million DeepGreen Common Shares. The weighted average exercise price of these stock options was $0.74 per DeepGreen Common Share resulting in total proceeds of $2.6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During February 2021, we raised a total of $26 million through convertible debentures financing. The convertible debentures bear interest at the rate of 7.0% per annum, compounded annually, with a maturity date that is 24 months from the date of the financing. The debentures were automatically converted into DeepGreen Common Shares immediately prior to the Business Combination at the conversion price of $10.00 per share.</w:t>
      </w:r>
    </w:p>
    <w:p>
      <w:pPr>
        <w:spacing w:after="0" w:line="90"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On February 18, 2021, debentures totaling $0.5 million were converted into 50,000 DeepGreen Common Shares.</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expect our capital expenditures and working capital requirements to increase materially in the near future as NORI and TOML seek to obtain ISA Exploitation Contract, perform the required environmental studies, complete pre-feasibility and feasibility studies. We believe that our cash on hand following the closing of the Business Combination will be sufficient to meet our working capital and capital expenditure requirements to at least the third quarter of 2023. With these funds, we expect to be able to complete pilot nodule collection trials in 2022, complete our environmental impact studies by 2023, and lodge our application to move from exploration phase to exploitation phase in the third quarter of 2023. We may, however, need additional cash resources due to changed business conditions or other developments, including, but not limited to, deferral of approvals, capital cost escalation, currently unrecognized technical and development challenges or change in external business environment. To the extent that our current resources are insufficient to satisfy our cash requirements, we may need to seek additional equity or debt financing. If the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Comparison of the Six Months Ended June 30, 2021 and June 30, 2020</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our sources and uses of cash for the six months ended June 30, 2021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30, 2020:</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Presented below is a summary of our operating, investing and financing cash flows: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8"/>
          </w:tcPr>
          <w:p>
            <w:pPr>
              <w:jc w:val="right"/>
              <w:ind w:right="300"/>
              <w:spacing w:after="0"/>
              <w:rPr>
                <w:sz w:val="20"/>
                <w:szCs w:val="20"/>
                <w:color w:val="auto"/>
              </w:rPr>
            </w:pPr>
            <w:r>
              <w:rPr>
                <w:rFonts w:ascii="Arial" w:cs="Arial" w:eastAsia="Arial" w:hAnsi="Arial"/>
                <w:sz w:val="16"/>
                <w:szCs w:val="16"/>
                <w:b w:val="1"/>
                <w:bCs w:val="1"/>
                <w:color w:val="auto"/>
                <w:w w:val="95"/>
              </w:rPr>
              <w:t>Six Months Ended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93"/>
              <w:spacing w:after="0" w:line="182" w:lineRule="exact"/>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53"/>
              <w:spacing w:after="0" w:line="182"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8"/>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(6,342</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15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2021 was $17.9 million, attributable to a net loss of $83.7 million and a net change in net operating assets and liabilities of $4.8 million and non-cash adjustments of $61.0 million. Non-cash adjustments primarily consisted of $12.8 million for the value of shares issued to Maersk and $47.3 million of share-based payments related to the value of the incentive stock options recognized during the six months ended June 30, 2021. The change in our net operating assets and liabilities was primarily due to a $4.7 million increase in accounts payable and accrued liabilities due to the timing of payments.</w:t>
      </w:r>
    </w:p>
    <w:p>
      <w:pPr>
        <w:spacing w:after="0" w:line="127" w:lineRule="exact"/>
        <w:rPr>
          <w:sz w:val="20"/>
          <w:szCs w:val="20"/>
          <w:color w:val="auto"/>
        </w:rPr>
      </w:pPr>
    </w:p>
    <w:p>
      <w:pPr>
        <w:ind w:left="460" w:right="619" w:firstLine="432"/>
        <w:spacing w:after="0" w:line="285" w:lineRule="auto"/>
        <w:rPr>
          <w:sz w:val="20"/>
          <w:szCs w:val="20"/>
          <w:color w:val="auto"/>
        </w:rPr>
      </w:pPr>
      <w:r>
        <w:rPr>
          <w:rFonts w:ascii="Arial" w:cs="Arial" w:eastAsia="Arial" w:hAnsi="Arial"/>
          <w:sz w:val="16"/>
          <w:szCs w:val="16"/>
          <w:color w:val="auto"/>
        </w:rPr>
        <w:t>Net cash used in operating activities for the six months ended June 30, 2020 was $17.6 million, attributable to a net loss of $32.8 million and a net change in net operating assets and liabilities of $1.8 million and non-cash adjustments of $13.4 million. Non-cash adjustments primarily consisted of $12.9 million for the value of shares issued to Allseas and Maersk as described above, $0.2 million of share-based payments related to the value of the incentive stock options recognized during the six months ended June 30, 2020, and</w:t>
      </w:r>
    </w:p>
    <w:p>
      <w:pPr>
        <w:spacing w:after="0" w:line="2" w:lineRule="exact"/>
        <w:rPr>
          <w:sz w:val="20"/>
          <w:szCs w:val="20"/>
          <w:color w:val="auto"/>
        </w:rPr>
      </w:pPr>
    </w:p>
    <w:p>
      <w:pPr>
        <w:ind w:left="460" w:right="579"/>
        <w:spacing w:after="0" w:line="323" w:lineRule="auto"/>
        <w:rPr>
          <w:sz w:val="20"/>
          <w:szCs w:val="20"/>
          <w:color w:val="auto"/>
        </w:rPr>
      </w:pPr>
      <w:r>
        <w:rPr>
          <w:rFonts w:ascii="Arial" w:cs="Arial" w:eastAsia="Arial" w:hAnsi="Arial"/>
          <w:sz w:val="16"/>
          <w:szCs w:val="16"/>
          <w:color w:val="auto"/>
        </w:rPr>
        <w:t>$0.3 million for amortization of equipment. The change in our net operating assets and liabilities was primarily due to a $1.8 million increase in accounts payable and accrued liabilities due to the timing of payments.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2021 was $3.8 million and related to the payments made to Deep Sea Mining for the deferred consideration that became due during the period. As at June 30, 2021 there was no amount outstanding for the deferred consideration pertaining to TOML Acquisition. We also spent $0.4 million for purchase of equipment.</w:t>
      </w:r>
    </w:p>
    <w:p>
      <w:pPr>
        <w:spacing w:after="0" w:line="119" w:lineRule="exact"/>
        <w:rPr>
          <w:sz w:val="20"/>
          <w:szCs w:val="20"/>
          <w:color w:val="auto"/>
        </w:rPr>
      </w:pPr>
    </w:p>
    <w:p>
      <w:pPr>
        <w:ind w:left="460" w:right="579" w:firstLine="432"/>
        <w:spacing w:after="0" w:line="308" w:lineRule="auto"/>
        <w:rPr>
          <w:sz w:val="20"/>
          <w:szCs w:val="20"/>
          <w:color w:val="auto"/>
        </w:rPr>
      </w:pPr>
      <w:r>
        <w:rPr>
          <w:rFonts w:ascii="Arial" w:cs="Arial" w:eastAsia="Arial" w:hAnsi="Arial"/>
          <w:sz w:val="17"/>
          <w:szCs w:val="17"/>
          <w:color w:val="auto"/>
        </w:rPr>
        <w:t>Net cash used in investing activities for the six months ended June 30, 2020 was $0.6 million and related to the initial payments made to Deep Sea Mining in connection with the TOML Acquisition.</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158" w:lineRule="exact"/>
        <w:rPr>
          <w:sz w:val="20"/>
          <w:szCs w:val="20"/>
          <w:color w:val="auto"/>
        </w:rPr>
      </w:pPr>
    </w:p>
    <w:p>
      <w:pPr>
        <w:jc w:val="both"/>
        <w:ind w:left="460" w:right="959" w:firstLine="432"/>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2021 was $28.6 million related to proceeds of $26 million from the issuance of convertible debentures and $2.6 million from the exercise of incentive stock options.</w:t>
      </w:r>
    </w:p>
    <w:p>
      <w:pPr>
        <w:spacing w:after="0" w:line="103" w:lineRule="exact"/>
        <w:rPr>
          <w:sz w:val="20"/>
          <w:szCs w:val="20"/>
          <w:color w:val="auto"/>
        </w:rPr>
      </w:pPr>
    </w:p>
    <w:p>
      <w:pPr>
        <w:jc w:val="both"/>
        <w:ind w:left="460" w:right="979" w:firstLine="432"/>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2020 was $11.8 million related to proceeds from private placements.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158" w:lineRule="exact"/>
        <w:rPr>
          <w:sz w:val="20"/>
          <w:szCs w:val="20"/>
          <w:color w:val="auto"/>
        </w:rPr>
      </w:pPr>
    </w:p>
    <w:p>
      <w:pPr>
        <w:ind w:left="460" w:right="539" w:firstLine="432"/>
        <w:spacing w:after="0" w:line="342" w:lineRule="auto"/>
        <w:rPr>
          <w:sz w:val="20"/>
          <w:szCs w:val="20"/>
          <w:color w:val="auto"/>
        </w:rPr>
      </w:pPr>
      <w:r>
        <w:rPr>
          <w:rFonts w:ascii="Arial" w:cs="Arial" w:eastAsia="Arial" w:hAnsi="Arial"/>
          <w:sz w:val="16"/>
          <w:szCs w:val="16"/>
          <w:color w:val="auto"/>
        </w:rPr>
        <w:t>As part of the NORI Exploration Contract with the ISA with respect to the NORI Area, NORI committed to expending $5 million over the five-year period from 2017 to 2021. Such commitment has already been met.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Marawa Option Agreement and Services Agreement</w:t>
      </w:r>
    </w:p>
    <w:p>
      <w:pPr>
        <w:spacing w:after="0" w:line="158" w:lineRule="exact"/>
        <w:rPr>
          <w:sz w:val="20"/>
          <w:szCs w:val="20"/>
          <w:color w:val="auto"/>
        </w:rPr>
      </w:pPr>
    </w:p>
    <w:p>
      <w:pPr>
        <w:jc w:val="both"/>
        <w:ind w:left="460" w:right="659" w:firstLine="432"/>
        <w:spacing w:after="0" w:line="279" w:lineRule="auto"/>
        <w:rPr>
          <w:sz w:val="20"/>
          <w:szCs w:val="20"/>
          <w:color w:val="auto"/>
        </w:rPr>
      </w:pPr>
      <w:r>
        <w:rPr>
          <w:rFonts w:ascii="Arial" w:cs="Arial" w:eastAsia="Arial" w:hAnsi="Arial"/>
          <w:sz w:val="17"/>
          <w:szCs w:val="17"/>
          <w:color w:val="auto"/>
        </w:rPr>
        <w:t>As part of DGE’s Option Agreement and Services Agreement with Marawa with respect to the Marawa Area, Marawa commits to expending funds on exploration activities on an annual basis. The commitment for fiscal 2020 was Australian dollar $1 million and for 2021 is Australian dollar $2 million. Such commitment is negotiated with the ISA for five-year plans and is subject to regular periodic reviews.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14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As part of the TOML Exploration Contract with the ISA with respect to the TOML Area, TOML has committed to expending $30 million for a five-year period from 2016 to 2021 in the first-year review finalized in 2016. Such commitment has flexibility where the amount can be reduced by the ISA and such reduction would be dependent upon various factors including the success of the exploration programs and the availability of funding. As at June 30, 2021, we had expended approximately $14.1 million in connection with the TOML Exploration Contract. We are expecting to discuss the progress since the acquisition of the TOML Group with the ISA later during 2021.</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Obligations Relating to Exploration Contracts</w:t>
      </w:r>
    </w:p>
    <w:p>
      <w:pPr>
        <w:spacing w:after="0" w:line="158"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Each of TOML and NORI require sponsorship from their respective host sponsoring nations, the Kingdom of Tonga and the Republic of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regulation over such sponsored contractor. Each of TOML and NORI is subject to the registration and incorporation requirements of these nations. In the event the sponsorship is otherwise terminated, such subsidiary will be required to obtain new sponsorship from another host nation that is a member of the ISA. Failure to obtain such new sponsorship would have a material impact on the operations of such subsidiary and us.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On March 29, 2019, we entered into a strategic alliance with Allseas to develop and deploy a Pilot Mining Test System (“PMTS”), successful completion of which would aid our application for an ISA Exploitation Contract. Allseas agreed to cover all the development cost of the project and in consideration for a successful PMTS, we had committed to expending $30 million in cash and further issuing 10 million DeepGreen Common Shares (at a contractual price of $3.00 per share at time of the agreement) for a total value of $60 million to Allseas.</w:t>
      </w:r>
    </w:p>
    <w:p>
      <w:pPr>
        <w:spacing w:after="0" w:line="125"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During 2020, the PMTS agreement was amended and we paid $10 million in cash and issued 2.8 million DeepGreen Common Shares valued at $3.60 per share for an additional $10 million to allow for higher cost that had been incurred by Allseas and to facilitate the acquisition of the Hidden Gem vessel by Allseas, which has strategic importance to us, by providing a platform to develop a smaller-scale, lower-capital early production system. As at December 31, 2020, our original commitment of $30 million in cash and 10 million DeepGreen Common Shares still remained to be completed as such obligation is dependent upon successful completion by Allseas of the collector test.</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March 4, 2021 and June 30, 2021, we entered into amended agreements with Allseas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“Amendment #3” and “Amendment #4”, respectively) whereby, upon successful completion of the Business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Combination, instead of issuing 10 million Common Shares to Allseas in connection with the PMTS, we issued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Allseas a warrant to acquire 10 million DeepGreen Common Shares at a nominal value (the “Allseas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Warrant”). The Allseas Warrant will vest and become exercisable upon successful completion of the PMTS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 expire on September 30, 2026. There are vesting conditions associated with the Allseas Warrant whereby 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maximum of 10 million DeepGreen Common Shares would be issued if the PMTS is completed by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September 30, 2023, gradually decreasing to 5 million DeepGreen Common Shares if PMTS is completed after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30, 2025.</w:t>
      </w:r>
    </w:p>
    <w:p>
      <w:pPr>
        <w:spacing w:after="0" w:line="130"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The Allseas Warrant was assumed by SOAC at the closing of the Business Combination and became a warrant to purchase up to 11,578,620 Common Shares, adjusted for the exchange ratio for the transaction. If the market price of the Common Shares on June 1, 2022 is higher than $15 per share (as adjusted based on the exchange ratio for the closing of the Business Combination), the aggregate value of the shares underlying the warrant above $150 million as at June 1, 2022 will automatically become a commercial credit from Allseas to TMC equal to the excess value. This commercial credit will be effective on the vesting date of the Allseas Warrant and we will be able to exchange this excess value for any future goods and services from Allseas under the nodule collection and shipping contract for one year after commercial production.</w:t>
      </w:r>
    </w:p>
    <w:p>
      <w:pPr>
        <w:spacing w:after="0" w:line="98" w:lineRule="exact"/>
        <w:rPr>
          <w:sz w:val="20"/>
          <w:szCs w:val="20"/>
          <w:color w:val="auto"/>
        </w:rPr>
      </w:pPr>
    </w:p>
    <w:p>
      <w:pPr>
        <w:ind w:left="460" w:right="1019" w:firstLine="432"/>
        <w:spacing w:after="0" w:line="277" w:lineRule="auto"/>
        <w:rPr>
          <w:sz w:val="20"/>
          <w:szCs w:val="20"/>
          <w:color w:val="auto"/>
        </w:rPr>
      </w:pPr>
      <w:r>
        <w:rPr>
          <w:rFonts w:ascii="Arial" w:cs="Arial" w:eastAsia="Arial" w:hAnsi="Arial"/>
          <w:sz w:val="18"/>
          <w:szCs w:val="18"/>
          <w:color w:val="auto"/>
        </w:rPr>
        <w:t>The cash payment of $30 million in the original agreement was also amended to be paid as follows provided that the Business Combination was completed:</w:t>
      </w:r>
    </w:p>
    <w:p>
      <w:pPr>
        <w:spacing w:after="0" w:line="103" w:lineRule="exact"/>
        <w:rPr>
          <w:sz w:val="20"/>
          <w:szCs w:val="20"/>
          <w:color w:val="auto"/>
        </w:rPr>
      </w:pPr>
    </w:p>
    <w:p>
      <w:pPr>
        <w:ind w:left="1320" w:right="519" w:hanging="434"/>
        <w:spacing w:after="0" w:line="263"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with Allseas providing confirmation of placing an order of certain equipment and demonstrating certain progress on construction of the collector vehicle;</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$10 million on the later of (i) January 1, 2022, and (ii) confirmation of successful collection of the North Sea test;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$10 million upon successful completion of the PMTS.</w:t>
      </w:r>
    </w:p>
    <w:p>
      <w:pPr>
        <w:spacing w:after="0" w:line="158"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As at June 30, 2021, Allseas has successfully reached the progress milestone for the construction of the collector vehicle and confirmed the order of the required equipment.</w:t>
      </w:r>
    </w:p>
    <w:p>
      <w:pPr>
        <w:spacing w:after="0" w:line="89" w:lineRule="exact"/>
        <w:rPr>
          <w:sz w:val="20"/>
          <w:szCs w:val="20"/>
          <w:color w:val="auto"/>
        </w:rPr>
      </w:pPr>
    </w:p>
    <w:p>
      <w:pPr>
        <w:ind w:left="460" w:right="1139" w:firstLine="432"/>
        <w:spacing w:after="0" w:line="342" w:lineRule="auto"/>
        <w:rPr>
          <w:sz w:val="20"/>
          <w:szCs w:val="20"/>
          <w:color w:val="auto"/>
        </w:rPr>
      </w:pPr>
      <w:r>
        <w:rPr>
          <w:rFonts w:ascii="Arial" w:cs="Arial" w:eastAsia="Arial" w:hAnsi="Arial"/>
          <w:sz w:val="16"/>
          <w:szCs w:val="16"/>
          <w:color w:val="auto"/>
        </w:rPr>
        <w:t>The Amendment #3 and Amendment #4 became effective upon the completion of the Business Combination and the first $10 million payment set forth above was paid to Allseas on October 5, 2021.</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Maersk Agreements</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Effective March 15, 2017, we entered into a strategic partnership with Maersk to undertake the exploration, environmental base line and offshore testing required to support development of feasibility studies for economic production of polymetallic nodules from the CCZ. Under the agreement, Maersk provides marine vessel services and project management services, enabling us to undertake the various marine cruises to support required prefeasibility studies. During these marine cruises, we undertook baseline studies required to complete an ESIA, collected nodules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8" w:name="page119"/>
    <w:bookmarkEnd w:id="11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311" w:lineRule="auto"/>
        <w:rPr>
          <w:sz w:val="20"/>
          <w:szCs w:val="20"/>
          <w:color w:val="auto"/>
        </w:rPr>
      </w:pPr>
      <w:r>
        <w:rPr>
          <w:rFonts w:ascii="Arial" w:cs="Arial" w:eastAsia="Arial" w:hAnsi="Arial"/>
          <w:sz w:val="16"/>
          <w:szCs w:val="16"/>
          <w:color w:val="auto"/>
        </w:rPr>
        <w:t>for metallurgical test work and collected samples for resource evaluation. The invoiced cost related to the marine vessel was settled through DeepGreen Common Shares at an agreed upon price of $1.25 per DeepGreen Common Share. Services provided by Maersk for managing these marine cruises are paid in cash.</w:t>
      </w:r>
    </w:p>
    <w:p>
      <w:pPr>
        <w:spacing w:after="0" w:line="81"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On March 4, 2021, the agreement with Maersk was amended whereby all future costs pertaining to the use of the marine vessels would be paid in cash rather than through issuance of DeepGreen Common Shares. The amended agreement is in place until early 2022, at which point the parties will negotiate any potential future offshore engagements.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Offtake Agreement</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On May 25, 2012, DGE and Glencore entered into a copper offtake agreement and a nickel offtake agreement. DGE has agreed to deliver to Glencore 50% of the annual quantity of copper and nickel produced by a DGE owned facility from nodules derived from the NORI Area at LME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On July 5, 2017, Nauru, the Nauru Seabed Minerals Authority and NORI entered into the NORI Sponsorship Agreemen</w:t>
      </w:r>
      <w:r>
        <w:rPr>
          <w:rFonts w:ascii="Arial" w:cs="Arial" w:eastAsia="Arial" w:hAnsi="Arial"/>
          <w:sz w:val="18"/>
          <w:szCs w:val="18"/>
          <w:u w:val="single" w:color="auto"/>
          <w:color w:val="auto"/>
        </w:rPr>
        <w:t>t</w:t>
      </w:r>
      <w:r>
        <w:rPr>
          <w:rFonts w:ascii="Arial" w:cs="Arial" w:eastAsia="Arial" w:hAnsi="Arial"/>
          <w:sz w:val="18"/>
          <w:szCs w:val="18"/>
          <w:color w:val="auto"/>
        </w:rPr>
        <w:t xml:space="preserve"> formalizing certain obligations of the parties in relation to NORI’s exploration and potential exploitation of the NORI Area.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27"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tenement area, TOML has agreed to pay Tonga a seabed mineral recovery payment based on the polymetallic nodules recovered from the tenement area. In addition, TOML has agreed to pay the reasonable direct costs incurred by Tonga to administer the ISA obligations of Tonga to the ISA.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76"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prospectus. We have the critical accounting policies and estimates which are described below.</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TOML Acquisition</w:t>
      </w:r>
    </w:p>
    <w:p>
      <w:pPr>
        <w:spacing w:after="0" w:line="158" w:lineRule="exact"/>
        <w:rPr>
          <w:sz w:val="20"/>
          <w:szCs w:val="20"/>
          <w:color w:val="auto"/>
        </w:rPr>
      </w:pPr>
    </w:p>
    <w:p>
      <w:pPr>
        <w:ind w:left="460" w:right="1059" w:firstLine="432"/>
        <w:spacing w:after="0" w:line="308" w:lineRule="auto"/>
        <w:rPr>
          <w:sz w:val="20"/>
          <w:szCs w:val="20"/>
          <w:color w:val="auto"/>
        </w:rPr>
      </w:pPr>
      <w:r>
        <w:rPr>
          <w:rFonts w:ascii="Arial" w:cs="Arial" w:eastAsia="Arial" w:hAnsi="Arial"/>
          <w:sz w:val="17"/>
          <w:szCs w:val="17"/>
          <w:color w:val="auto"/>
        </w:rPr>
        <w:t>On March 31, 2020, we completed the TOML Acquisition and applied guidance from ASC 805 to understand the accounting treatment regarding this acquisition and make necessary judgements.</w:t>
      </w:r>
    </w:p>
    <w:p>
      <w:pPr>
        <w:spacing w:after="0" w:line="79"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ASC 805 defines a business as inputs and processes, when applied to the inputs, resulting in the creation of outputs. The key input acquired in connection with the TOML Acquisition is the TOML Exploration Contract and the related intellectual property. TOML Exploration Contract is in the exploration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our management deemed that the TOML Acquisition was not a business acquisition and only an acquisition of a group of assets.</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9" w:name="page120"/>
    <w:bookmarkEnd w:id="11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Our position is supported by ASC 805’s guidance that if substantially all of the fair value of the gross assets acquired is concentrated in a single identifiable asset or a group of similar identifiable assets, the set is not considered a business. We determined that the value of TOML Acquisition was substantially concentrated in the TOML Exploration Contract.</w:t>
      </w:r>
    </w:p>
    <w:p>
      <w:pPr>
        <w:spacing w:after="0" w:line="119"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Our management also determined that other assets acquired (which included other intangible assets, such as patents and trademarks) were connected to the TOML Exploration Contract and would not hold value by themselves. Consequently, the total cost of the transaction was primarily allocated to exploration licenses.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Value of Common Share-Based Payments</w:t>
      </w:r>
    </w:p>
    <w:p>
      <w:pPr>
        <w:spacing w:after="0" w:line="15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03" w:lineRule="exact"/>
        <w:rPr>
          <w:sz w:val="20"/>
          <w:szCs w:val="20"/>
          <w:color w:val="auto"/>
        </w:rPr>
      </w:pPr>
    </w:p>
    <w:p>
      <w:pPr>
        <w:ind w:left="1320" w:right="859" w:hanging="434"/>
        <w:spacing w:after="0" w:line="263" w:lineRule="auto"/>
        <w:tabs>
          <w:tab w:leader="none" w:pos="13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Fair Value of Common Shares on the Date of the Grant — We used the price of the most recent private placements to assess the value of our shares on the date of the grant of incentive stock options.</w:t>
      </w:r>
    </w:p>
    <w:p>
      <w:pPr>
        <w:spacing w:after="0" w:line="116"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Expected Term — We used the term of the award when calculating the expected term due to insufficient historical exercise data.</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Expected Volatility — As our Common Shares were not actively traded, the volatility is based on a benchmark of comparable companies within the mining industry.</w:t>
      </w:r>
    </w:p>
    <w:p>
      <w:pPr>
        <w:spacing w:after="0" w:line="89" w:lineRule="exact"/>
        <w:rPr>
          <w:rFonts w:ascii="Arial" w:cs="Arial" w:eastAsia="Arial" w:hAnsi="Arial"/>
          <w:sz w:val="18"/>
          <w:szCs w:val="18"/>
          <w:color w:val="auto"/>
        </w:rPr>
      </w:pPr>
    </w:p>
    <w:p>
      <w:pPr>
        <w:jc w:val="both"/>
        <w:ind w:left="1320" w:right="1159" w:hanging="434"/>
        <w:spacing w:after="0" w:line="342" w:lineRule="auto"/>
        <w:tabs>
          <w:tab w:leader="none" w:pos="1311"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Expected Dividend Yield — The dividend rate used is zero as we have never paid any cash dividends on our Common Shares and do not anticipate doing so in the foreseeable future.</w:t>
      </w:r>
    </w:p>
    <w:p>
      <w:pPr>
        <w:spacing w:after="0" w:line="56" w:lineRule="exact"/>
        <w:rPr>
          <w:rFonts w:ascii="Arial" w:cs="Arial" w:eastAsia="Arial" w:hAnsi="Arial"/>
          <w:sz w:val="16"/>
          <w:szCs w:val="16"/>
          <w:color w:val="auto"/>
        </w:rPr>
      </w:pPr>
    </w:p>
    <w:p>
      <w:pPr>
        <w:ind w:left="1320" w:right="539" w:hanging="434"/>
        <w:spacing w:after="0" w:line="263" w:lineRule="auto"/>
        <w:tabs>
          <w:tab w:leader="none" w:pos="13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 Status</w:t>
      </w:r>
    </w:p>
    <w:p>
      <w:pPr>
        <w:spacing w:after="0" w:line="162"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w:t>
      </w:r>
    </w:p>
    <w:p>
      <w:pPr>
        <w:spacing w:after="0" w:line="1" w:lineRule="exact"/>
        <w:rPr>
          <w:sz w:val="20"/>
          <w:szCs w:val="20"/>
          <w:color w:val="auto"/>
        </w:rPr>
      </w:pPr>
    </w:p>
    <w:p>
      <w:pPr>
        <w:ind w:left="460" w:right="739"/>
        <w:spacing w:after="0" w:line="260" w:lineRule="auto"/>
        <w:rPr>
          <w:sz w:val="20"/>
          <w:szCs w:val="20"/>
          <w:color w:val="auto"/>
        </w:rPr>
      </w:pPr>
      <w:r>
        <w:rPr>
          <w:rFonts w:ascii="Arial" w:cs="Arial" w:eastAsia="Arial" w:hAnsi="Arial"/>
          <w:sz w:val="18"/>
          <w:szCs w:val="18"/>
          <w:color w:val="auto"/>
        </w:rPr>
        <w:t>emerging growth companies, and any such election to not take advantage of the extended transition period is irrevocable.</w:t>
      </w:r>
    </w:p>
    <w:p>
      <w:pPr>
        <w:spacing w:after="0" w:line="104"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2021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See Note 2 to the consolidated financial statements included in this prospectus for more information about recent accounting pronouncements, the timing of their adoption, and our assessment, to the extent we have made one, of their potential impact on our financial condition and our results of operations and cash flows.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0" w:name="page121"/>
    <w:bookmarkEnd w:id="12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Rate Risk and Credit Risk</w:t>
      </w:r>
    </w:p>
    <w:p>
      <w:pPr>
        <w:spacing w:after="0" w:line="148"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Interest rate risk is the risk that the fair value of our future cash flows and our financial instruments will fluctuate because of changes in market interest rates.</w:t>
      </w:r>
    </w:p>
    <w:p>
      <w:pPr>
        <w:spacing w:after="0" w:line="103"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low interest rate environment, we have not invested any cash in investments earning interest as at June 30, 2021.</w:t>
      </w:r>
    </w:p>
    <w:p>
      <w:pPr>
        <w:spacing w:after="0" w:line="109" w:lineRule="exact"/>
        <w:rPr>
          <w:sz w:val="20"/>
          <w:szCs w:val="20"/>
          <w:color w:val="auto"/>
        </w:rPr>
      </w:pPr>
    </w:p>
    <w:p>
      <w:pPr>
        <w:ind w:left="460" w:right="879" w:firstLine="432"/>
        <w:spacing w:after="0" w:line="279" w:lineRule="auto"/>
        <w:rPr>
          <w:sz w:val="20"/>
          <w:szCs w:val="20"/>
          <w:color w:val="auto"/>
        </w:rPr>
      </w:pPr>
      <w:r>
        <w:rPr>
          <w:rFonts w:ascii="Arial" w:cs="Arial" w:eastAsia="Arial" w:hAnsi="Arial"/>
          <w:sz w:val="17"/>
          <w:szCs w:val="17"/>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Material Weakness</w:t>
      </w:r>
    </w:p>
    <w:p>
      <w:pPr>
        <w:spacing w:after="0" w:line="14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In the course of preparing the financial statements that were included in this prospectus, we identified a material weakness in our internal control over financial reporting as of December 31, 2020, which related to a deficiency in the design and operation of the financial statement close and reporting controls, including maintaining sufficient written policies and procedures and the need to use appropriate technical expertise when accounting for complex or non-routine transactions. Our management has concluded that this material weakness was due to the fact that, prior to the Business Combination, we were a private company with limited resources. We recently appointed a chief financial officer and a chief accounting officer, have hired and are currently recruiting additional finance personnel and have engaged reputable independent accounting groups to undertake a review and gap analysis of current systems and processes in order to develop a remediation plan.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Risk</w:t>
      </w:r>
    </w:p>
    <w:p>
      <w:pPr>
        <w:spacing w:after="0" w:line="162" w:lineRule="exact"/>
        <w:rPr>
          <w:sz w:val="20"/>
          <w:szCs w:val="20"/>
          <w:color w:val="auto"/>
        </w:rPr>
      </w:pPr>
    </w:p>
    <w:p>
      <w:pPr>
        <w:ind w:left="460" w:right="679" w:firstLine="432"/>
        <w:spacing w:after="0" w:line="275" w:lineRule="auto"/>
        <w:rPr>
          <w:sz w:val="20"/>
          <w:szCs w:val="20"/>
          <w:color w:val="auto"/>
        </w:rPr>
      </w:pPr>
      <w:r>
        <w:rPr>
          <w:rFonts w:ascii="Arial" w:cs="Arial" w:eastAsia="Arial" w:hAnsi="Arial"/>
          <w:sz w:val="17"/>
          <w:szCs w:val="17"/>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09"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ind w:left="460" w:right="1019" w:firstLine="432"/>
        <w:spacing w:after="0" w:line="291" w:lineRule="auto"/>
        <w:rPr>
          <w:sz w:val="20"/>
          <w:szCs w:val="20"/>
          <w:color w:val="auto"/>
        </w:rPr>
      </w:pPr>
      <w:r>
        <w:rPr>
          <w:rFonts w:ascii="Arial" w:cs="Arial" w:eastAsia="Arial" w:hAnsi="Arial"/>
          <w:sz w:val="16"/>
          <w:szCs w:val="16"/>
          <w:color w:val="auto"/>
        </w:rPr>
        <w:t>We expect to engage in the collection, transport, processing and sale of products containing nickel, copper, manganese and cobalt from the polymetallic nodules collected from our contract areas of the</w:t>
      </w:r>
    </w:p>
    <w:p>
      <w:pPr>
        <w:ind w:left="460" w:right="499"/>
        <w:spacing w:after="0" w:line="302" w:lineRule="auto"/>
        <w:rPr>
          <w:sz w:val="20"/>
          <w:szCs w:val="20"/>
          <w:color w:val="auto"/>
        </w:rPr>
      </w:pPr>
      <w:r>
        <w:rPr>
          <w:rFonts w:ascii="Arial" w:cs="Arial" w:eastAsia="Arial" w:hAnsi="Arial"/>
          <w:sz w:val="16"/>
          <w:szCs w:val="16"/>
          <w:color w:val="auto"/>
        </w:rPr>
        <w:t>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48"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i w:val="1"/>
          <w:iCs w:val="1"/>
          <w:color w:val="auto"/>
        </w:rPr>
        <w:t>The following summary of the material terms of the capital stock of TMC the metals company Inc. (formerly Sustainable Opportunities Acquisition Corp.) is not intended to be a complete summary of the rights and preferences of such securities, and is qualified by reference to the Notice and Articles and the provisions of applicable law, including the BCBCA and the warrant-related documents described herein, each of which are incorporated by reference as an exhibit to the registration statement of which this prospectus is a part, and certain provisions of British Columbia law. We urge you to read each of the Notice and Articles and the warrant-related documents described herein in their entirety for a complete description of the rights and preferences of our securities. Unless the context requires otherwise, all references to “we”, “us,” “our,” the “Company” and “TMC” in this section refer solely to TMC the metals company Inc. (formerly Sustainable Opportunities Acquisition Corp.) and not to our subsidiaries.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Share Capital</w:t>
      </w:r>
    </w:p>
    <w:p>
      <w:pPr>
        <w:spacing w:after="0" w:line="16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are authorized to issue (a) an unlimited number of Common Shares, (b) an unlimited number of preferred shares, issuable in series, (c) 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Shares</w:t>
      </w:r>
    </w:p>
    <w:p>
      <w:pPr>
        <w:spacing w:after="0" w:line="158"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 xml:space="preserve">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non-cumulative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44" w:lineRule="exact"/>
        <w:rPr>
          <w:sz w:val="20"/>
          <w:szCs w:val="20"/>
          <w:color w:val="auto"/>
        </w:rPr>
      </w:pPr>
    </w:p>
    <w:p>
      <w:pPr>
        <w:ind w:left="460" w:right="579" w:firstLine="432"/>
        <w:spacing w:after="0" w:line="288" w:lineRule="auto"/>
        <w:rPr>
          <w:sz w:val="20"/>
          <w:szCs w:val="20"/>
          <w:color w:val="auto"/>
        </w:rPr>
      </w:pPr>
      <w:r>
        <w:rPr>
          <w:rFonts w:ascii="Arial" w:cs="Arial" w:eastAsia="Arial" w:hAnsi="Arial"/>
          <w:sz w:val="16"/>
          <w:szCs w:val="16"/>
          <w:color w:val="auto"/>
        </w:rPr>
        <w:t>We are authorized to issue an unlimited number of preferred shares, issuable in series. Accordingly, the board of directors is authorized, without shareholder approval but subject to the provisions of the BCBCA and the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Shares</w:t>
      </w:r>
    </w:p>
    <w:p>
      <w:pPr>
        <w:spacing w:after="0" w:line="158"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7" w:lineRule="auto"/>
        <w:rPr>
          <w:sz w:val="20"/>
          <w:szCs w:val="20"/>
          <w:color w:val="auto"/>
        </w:rPr>
      </w:pPr>
      <w:r>
        <w:rPr>
          <w:rFonts w:ascii="Arial" w:cs="Arial" w:eastAsia="Arial" w:hAnsi="Arial"/>
          <w:sz w:val="16"/>
          <w:szCs w:val="16"/>
          <w:color w:val="auto"/>
        </w:rPr>
        <w:t>(the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04"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Subject to the provisions of the BCBCA, any Special Shares then outstanding shall be redeemed by us without any action on the part of the holders of Special Shares (i) at any time after the 15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year anniversary of the original issue date of the Special Shares or (ii) at any time after a Change of Control, in each case at the Redemption Price. For the purposes of the Notice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the shareholders of TMC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106"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The Special Shares will automatically convert into Common Shares on a one (1) for one (1) basis (the “Conversion Rate”) (unless adjusted as described below) upon the occurrence of the following events:</w:t>
      </w:r>
    </w:p>
    <w:p>
      <w:pPr>
        <w:spacing w:after="0" w:line="43" w:lineRule="exact"/>
        <w:rPr>
          <w:sz w:val="20"/>
          <w:szCs w:val="20"/>
          <w:color w:val="auto"/>
        </w:rPr>
      </w:pPr>
    </w:p>
    <w:p>
      <w:pPr>
        <w:ind w:left="1320" w:right="619" w:hanging="434"/>
        <w:spacing w:after="0" w:line="275" w:lineRule="auto"/>
        <w:tabs>
          <w:tab w:leader="none" w:pos="13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case of the Class A Special Shares, if (a) on any twenty (20) trading days within any thirty (30)trading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108" w:lineRule="exact"/>
        <w:rPr>
          <w:rFonts w:ascii="Arial" w:cs="Arial" w:eastAsia="Arial" w:hAnsi="Arial"/>
          <w:sz w:val="17"/>
          <w:szCs w:val="17"/>
          <w:color w:val="auto"/>
        </w:rPr>
      </w:pPr>
    </w:p>
    <w:p>
      <w:pPr>
        <w:ind w:left="1300" w:hanging="414"/>
        <w:spacing w:after="0"/>
        <w:tabs>
          <w:tab w:leader="none" w:pos="13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case of the Class B Special Shares, if (a) on any twenty (20) trading days within any thirty</w:t>
      </w:r>
    </w:p>
    <w:p>
      <w:pPr>
        <w:spacing w:after="0" w:line="34" w:lineRule="exact"/>
        <w:rPr>
          <w:rFonts w:ascii="Arial" w:cs="Arial" w:eastAsia="Arial" w:hAnsi="Arial"/>
          <w:sz w:val="17"/>
          <w:szCs w:val="17"/>
          <w:color w:val="auto"/>
        </w:rPr>
      </w:pPr>
    </w:p>
    <w:p>
      <w:pPr>
        <w:jc w:val="both"/>
        <w:ind w:left="1320" w:right="499" w:hanging="2"/>
        <w:spacing w:after="0" w:line="273" w:lineRule="auto"/>
        <w:tabs>
          <w:tab w:leader="none" w:pos="1665" w:val="left"/>
        </w:tabs>
        <w:numPr>
          <w:ilvl w:val="1"/>
          <w:numId w:val="76"/>
        </w:numPr>
        <w:rPr>
          <w:rFonts w:ascii="Arial" w:cs="Arial" w:eastAsia="Arial" w:hAnsi="Arial"/>
          <w:sz w:val="17"/>
          <w:szCs w:val="17"/>
          <w:color w:val="auto"/>
        </w:rPr>
      </w:pPr>
      <w:r>
        <w:rPr>
          <w:rFonts w:ascii="Arial" w:cs="Arial" w:eastAsia="Arial" w:hAnsi="Arial"/>
          <w:sz w:val="17"/>
          <w:szCs w:val="17"/>
          <w:color w:val="auto"/>
        </w:rPr>
        <w:t>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08" w:lineRule="exact"/>
        <w:rPr>
          <w:rFonts w:ascii="Arial" w:cs="Arial" w:eastAsia="Arial" w:hAnsi="Arial"/>
          <w:sz w:val="17"/>
          <w:szCs w:val="17"/>
          <w:color w:val="auto"/>
        </w:rPr>
      </w:pPr>
    </w:p>
    <w:p>
      <w:pPr>
        <w:ind w:left="1300" w:hanging="414"/>
        <w:spacing w:after="0"/>
        <w:tabs>
          <w:tab w:leader="none" w:pos="13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case of the Class C Special Shares, if (a) on any twenty (20) trading days within any thirty</w:t>
      </w:r>
    </w:p>
    <w:p>
      <w:pPr>
        <w:spacing w:after="0" w:line="34" w:lineRule="exact"/>
        <w:rPr>
          <w:rFonts w:ascii="Arial" w:cs="Arial" w:eastAsia="Arial" w:hAnsi="Arial"/>
          <w:sz w:val="17"/>
          <w:szCs w:val="17"/>
          <w:color w:val="auto"/>
        </w:rPr>
      </w:pPr>
    </w:p>
    <w:p>
      <w:pPr>
        <w:jc w:val="both"/>
        <w:ind w:left="1320" w:right="499" w:hanging="2"/>
        <w:spacing w:after="0" w:line="273" w:lineRule="auto"/>
        <w:tabs>
          <w:tab w:leader="none" w:pos="1665" w:val="left"/>
        </w:tabs>
        <w:numPr>
          <w:ilvl w:val="1"/>
          <w:numId w:val="76"/>
        </w:numPr>
        <w:rPr>
          <w:rFonts w:ascii="Arial" w:cs="Arial" w:eastAsia="Arial" w:hAnsi="Arial"/>
          <w:sz w:val="17"/>
          <w:szCs w:val="17"/>
          <w:color w:val="auto"/>
        </w:rPr>
      </w:pPr>
      <w:r>
        <w:rPr>
          <w:rFonts w:ascii="Arial" w:cs="Arial" w:eastAsia="Arial" w:hAnsi="Arial"/>
          <w:sz w:val="17"/>
          <w:szCs w:val="17"/>
          <w:color w:val="auto"/>
        </w:rPr>
        <w:t>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95" w:lineRule="exact"/>
        <w:rPr>
          <w:rFonts w:ascii="Arial" w:cs="Arial" w:eastAsia="Arial" w:hAnsi="Arial"/>
          <w:sz w:val="17"/>
          <w:szCs w:val="17"/>
          <w:color w:val="auto"/>
        </w:rPr>
      </w:pPr>
    </w:p>
    <w:p>
      <w:pPr>
        <w:ind w:left="1300" w:hanging="414"/>
        <w:spacing w:after="0"/>
        <w:tabs>
          <w:tab w:leader="none" w:pos="13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case of the Class D Special Shares, if (a) on any twenty (20) trading days within any thirty</w:t>
      </w:r>
    </w:p>
    <w:p>
      <w:pPr>
        <w:spacing w:after="0" w:line="34" w:lineRule="exact"/>
        <w:rPr>
          <w:rFonts w:ascii="Arial" w:cs="Arial" w:eastAsia="Arial" w:hAnsi="Arial"/>
          <w:sz w:val="17"/>
          <w:szCs w:val="17"/>
          <w:color w:val="auto"/>
        </w:rPr>
      </w:pPr>
    </w:p>
    <w:p>
      <w:pPr>
        <w:jc w:val="both"/>
        <w:ind w:left="1320" w:right="499" w:hanging="2"/>
        <w:spacing w:after="0" w:line="273" w:lineRule="auto"/>
        <w:tabs>
          <w:tab w:leader="none" w:pos="1665" w:val="left"/>
        </w:tabs>
        <w:numPr>
          <w:ilvl w:val="1"/>
          <w:numId w:val="76"/>
        </w:numPr>
        <w:rPr>
          <w:rFonts w:ascii="Arial" w:cs="Arial" w:eastAsia="Arial" w:hAnsi="Arial"/>
          <w:sz w:val="17"/>
          <w:szCs w:val="17"/>
          <w:color w:val="auto"/>
        </w:rPr>
      </w:pPr>
      <w:r>
        <w:rPr>
          <w:rFonts w:ascii="Arial" w:cs="Arial" w:eastAsia="Arial" w:hAnsi="Arial"/>
          <w:sz w:val="17"/>
          <w:szCs w:val="17"/>
          <w:color w:val="auto"/>
        </w:rPr>
        <w:t>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619" w:hanging="434"/>
        <w:spacing w:after="0" w:line="275" w:lineRule="auto"/>
        <w:tabs>
          <w:tab w:leader="none" w:pos="13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149" w:lineRule="exact"/>
        <w:rPr>
          <w:rFonts w:ascii="Arial" w:cs="Arial" w:eastAsia="Arial" w:hAnsi="Arial"/>
          <w:sz w:val="17"/>
          <w:szCs w:val="17"/>
          <w:color w:val="auto"/>
        </w:rPr>
      </w:pPr>
    </w:p>
    <w:p>
      <w:pPr>
        <w:ind w:left="1320" w:right="619" w:hanging="434"/>
        <w:spacing w:after="0" w:line="275" w:lineRule="auto"/>
        <w:tabs>
          <w:tab w:leader="none" w:pos="13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135" w:lineRule="exact"/>
        <w:rPr>
          <w:rFonts w:ascii="Arial" w:cs="Arial" w:eastAsia="Arial" w:hAnsi="Arial"/>
          <w:sz w:val="17"/>
          <w:szCs w:val="17"/>
          <w:color w:val="auto"/>
        </w:rPr>
      </w:pPr>
    </w:p>
    <w:p>
      <w:pPr>
        <w:ind w:left="1320" w:right="619" w:hanging="434"/>
        <w:spacing w:after="0" w:line="275" w:lineRule="auto"/>
        <w:tabs>
          <w:tab w:leader="none" w:pos="13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35" w:lineRule="exact"/>
        <w:rPr>
          <w:rFonts w:ascii="Arial" w:cs="Arial" w:eastAsia="Arial" w:hAnsi="Arial"/>
          <w:sz w:val="17"/>
          <w:szCs w:val="17"/>
          <w:color w:val="auto"/>
        </w:rPr>
      </w:pPr>
    </w:p>
    <w:p>
      <w:pPr>
        <w:ind w:left="1320" w:right="619" w:hanging="434"/>
        <w:spacing w:after="0" w:line="275" w:lineRule="auto"/>
        <w:tabs>
          <w:tab w:leader="none" w:pos="13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49" w:lineRule="exact"/>
        <w:rPr>
          <w:rFonts w:ascii="Arial" w:cs="Arial" w:eastAsia="Arial" w:hAnsi="Arial"/>
          <w:sz w:val="17"/>
          <w:szCs w:val="17"/>
          <w:color w:val="auto"/>
        </w:rPr>
      </w:pPr>
    </w:p>
    <w:p>
      <w:pPr>
        <w:ind w:left="1320" w:right="619" w:hanging="434"/>
        <w:spacing w:after="0" w:line="296" w:lineRule="auto"/>
        <w:tabs>
          <w:tab w:leader="none" w:pos="1311"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20" w:lineRule="exact"/>
        <w:rPr>
          <w:rFonts w:ascii="Arial" w:cs="Arial" w:eastAsia="Arial" w:hAnsi="Arial"/>
          <w:sz w:val="16"/>
          <w:szCs w:val="16"/>
          <w:color w:val="auto"/>
        </w:rPr>
      </w:pPr>
    </w:p>
    <w:p>
      <w:pPr>
        <w:ind w:left="1320" w:right="619" w:hanging="434"/>
        <w:spacing w:after="0" w:line="275" w:lineRule="auto"/>
        <w:tabs>
          <w:tab w:leader="none" w:pos="13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36"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6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46"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5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As of September 30, 2021, there were an aggregate of 15,000,000 outstanding Public Warrants,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13"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3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158" w:lineRule="exact"/>
        <w:rPr>
          <w:sz w:val="20"/>
          <w:szCs w:val="20"/>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57" w:lineRule="exact"/>
        <w:rPr>
          <w:rFonts w:ascii="Arial" w:cs="Arial" w:eastAsia="Arial" w:hAnsi="Arial"/>
          <w:sz w:val="18"/>
          <w:szCs w:val="18"/>
          <w:color w:val="auto"/>
        </w:rPr>
      </w:pPr>
    </w:p>
    <w:p>
      <w:pPr>
        <w:ind w:left="1320" w:right="479" w:hanging="434"/>
        <w:spacing w:after="0" w:line="279" w:lineRule="auto"/>
        <w:tabs>
          <w:tab w:leader="none" w:pos="1311"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04"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w:t>
      </w:r>
    </w:p>
    <w:p>
      <w:pPr>
        <w:spacing w:after="0" w:line="4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If we call the warrants for redemption when the price per share of Common Shares equals or exceeds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$18.00, our management will have the option to require any holder that wishes to exercise his, her or its warrant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do so on a “cashless basis” beginning on the third trading day prior to the date on which notice of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redemption is given to the holders of warrants. In determining whether to require all holders to exercise their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warrants on a “cashless basis,” our management will consider, among other factors, our cash position,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number of warrants that are outstanding and the dilutive effect on our shareholders of issuing the maximum</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Common Shares issuable upon</w:t>
      </w:r>
    </w:p>
    <w:p>
      <w:pPr>
        <w:sectPr>
          <w:pgSz w:w="11900" w:h="16838" w:orient="portrait"/>
          <w:cols w:equalWidth="0" w:num="1">
            <w:col w:w="9019"/>
          </w:cols>
          <w:pgMar w:left="1440" w:top="274"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5" w:name="page126"/>
    <w:bookmarkEnd w:id="1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19"/>
        <w:spacing w:after="0" w:line="286" w:lineRule="auto"/>
        <w:rPr>
          <w:sz w:val="20"/>
          <w:szCs w:val="20"/>
          <w:color w:val="auto"/>
        </w:rPr>
      </w:pPr>
      <w:r>
        <w:rPr>
          <w:rFonts w:ascii="Arial" w:cs="Arial" w:eastAsia="Arial" w:hAnsi="Arial"/>
          <w:sz w:val="16"/>
          <w:szCs w:val="16"/>
          <w:color w:val="auto"/>
        </w:rPr>
        <w:t>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w:t>
      </w:r>
    </w:p>
    <w:p>
      <w:pPr>
        <w:spacing w:after="0" w:line="1" w:lineRule="exact"/>
        <w:rPr>
          <w:sz w:val="20"/>
          <w:szCs w:val="20"/>
          <w:color w:val="auto"/>
        </w:rPr>
      </w:pPr>
    </w:p>
    <w:p>
      <w:pPr>
        <w:ind w:left="460" w:right="599" w:hanging="6"/>
        <w:spacing w:after="0" w:line="285" w:lineRule="auto"/>
        <w:tabs>
          <w:tab w:leader="none" w:pos="71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04"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Anti-dilution adjustments</w:t>
      </w:r>
    </w:p>
    <w:p>
      <w:pPr>
        <w:spacing w:after="0" w:line="15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95" w:lineRule="exact"/>
        <w:rPr>
          <w:sz w:val="20"/>
          <w:szCs w:val="20"/>
          <w:color w:val="auto"/>
        </w:rPr>
      </w:pPr>
    </w:p>
    <w:p>
      <w:pPr>
        <w:ind w:left="460" w:right="639" w:firstLine="432"/>
        <w:spacing w:after="0" w:line="283"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w:t>
      </w:r>
    </w:p>
    <w:p>
      <w:pPr>
        <w:spacing w:after="0" w:line="6" w:lineRule="exact"/>
        <w:rPr>
          <w:sz w:val="20"/>
          <w:szCs w:val="20"/>
          <w:color w:val="auto"/>
        </w:rPr>
      </w:pPr>
    </w:p>
    <w:p>
      <w:pPr>
        <w:ind w:left="460" w:right="519" w:hanging="6"/>
        <w:spacing w:after="0" w:line="253"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20" w:lineRule="exact"/>
        <w:rPr>
          <w:sz w:val="20"/>
          <w:szCs w:val="20"/>
          <w:color w:val="auto"/>
        </w:rPr>
      </w:pPr>
    </w:p>
    <w:p>
      <w:pPr>
        <w:ind w:left="460" w:right="639" w:firstLine="432"/>
        <w:spacing w:after="0" w:line="296" w:lineRule="auto"/>
        <w:rPr>
          <w:sz w:val="20"/>
          <w:szCs w:val="20"/>
          <w:color w:val="auto"/>
        </w:rPr>
      </w:pPr>
      <w:r>
        <w:rPr>
          <w:rFonts w:ascii="Arial" w:cs="Arial" w:eastAsia="Arial" w:hAnsi="Arial"/>
          <w:sz w:val="16"/>
          <w:szCs w:val="16"/>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9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99"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99"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warrant holders do not have the rights or privileges of holders of Common Shares and any voting rights until they exercise their warrants and receive Common Shares.</w:t>
      </w:r>
    </w:p>
    <w:p>
      <w:pPr>
        <w:spacing w:after="0" w:line="10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44"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As of October 1, 2021, there were 9,500,000 Private Placement Warrants outstanding. The private placement warrants (including the Common Shares issuable upon exercise of the private placement warrants) are not transferable, assignable or salable until October 9, 2021, except pursuant to limited exceptions to our officers and directors and other persons or entities affiliates with the initial purchasers of the private placement warrants,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4" w:lineRule="auto"/>
        <w:rPr>
          <w:sz w:val="20"/>
          <w:szCs w:val="20"/>
          <w:color w:val="auto"/>
        </w:rPr>
      </w:pPr>
      <w:r>
        <w:rPr>
          <w:rFonts w:ascii="Arial" w:cs="Arial" w:eastAsia="Arial" w:hAnsi="Arial"/>
          <w:sz w:val="18"/>
          <w:szCs w:val="18"/>
          <w:color w:val="auto"/>
        </w:rPr>
        <w:t>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w:t>
      </w:r>
    </w:p>
    <w:p>
      <w:pPr>
        <w:spacing w:after="0" w:line="127"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w:t>
      </w:r>
    </w:p>
    <w:p>
      <w:pPr>
        <w:spacing w:after="0" w:line="2" w:lineRule="exact"/>
        <w:rPr>
          <w:sz w:val="20"/>
          <w:szCs w:val="20"/>
          <w:color w:val="auto"/>
        </w:rPr>
      </w:pPr>
    </w:p>
    <w:p>
      <w:pPr>
        <w:ind w:left="460" w:right="539" w:hanging="6"/>
        <w:spacing w:after="0" w:line="255" w:lineRule="auto"/>
        <w:tabs>
          <w:tab w:leader="none" w:pos="7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Allseas Warrant</w:t>
      </w:r>
    </w:p>
    <w:p>
      <w:pPr>
        <w:spacing w:after="0" w:line="15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On March 4, 2021, DeepGreen issued the Allseas Warrant to Allseas, which shall vest upon successful completion of the PMTS and become exercisable for a maximum of 11,578,620 DeepGreen Common Shares (as it may be adjusted based on the formula described therein) at a purchase price of $0.01 per share, and which is a warrant to purchase our Common Shares in accordance with the terms of the Allseas Warrant. The Allseas Warrant was issued to Allseas in lieu of any future obligation to issue the Success Fee Shares. The Allseas Warrant shall vest only upon (and not before) the successful completion of the PMTS. The Warrant Credit Value shall be determined as of June 1, 2022 based on the closing trading price of the Common Shares.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No amount will be due or receivable under the Allseas Warrant if the Warrant Credit Value is under $150,000,000 on June 1, 2022. The Allseas Warrant shall expire on September 30, 2026.</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At the Closing,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In particular, SOAC agreed to, within thirty (30) calendar days after the closing of the Business Combination, file with the SEC (at our sole cost and expense) this registration statement on Form S-1 registering the resale of the Registrable Securities (as defined below), and to use its commercially reasonable efforts to have such registration statement declared effective as soon as practicable after the filing thereof, but no later than forty-five (45) days following the filing deadline (or seventy-five (75) days after the filing deadline if the registration statement is reviewed by, and receives comments from, the SEC. “Registrable Securities” means the Founder Shares, (b) the Private Placement Warrants, (c) the DeepGreen Shares, (d) the DeepGreen Earnout Shares, (e) the Sponsor Earnout Shares, (f) the Common Shares issued or issuable upon the exercise of any Private Placement Warrants, (g) the Common Shares issued or issuable upon the exercise of the Allseas Warrant; (h) any outstanding Common Shares or any other equity security (including the Common Shares issued or issuable upon the exercise or conversion of any other equity security) of the Company held by a Holder as of immediately following the Closing, (i) any Common Shares held by unitholders or members of the board of managers of the Sponsor immediately prior to the Closing, and (j) any other equity security of the Company issued or issuable with respect to any such Common Shares by way of a stock dividend or stock split or in connection with a combination of shares, recapitalization, merger, consolidation or reorganization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Restrictions</w:t>
      </w:r>
    </w:p>
    <w:p>
      <w:pPr>
        <w:spacing w:after="0" w:line="148" w:lineRule="exact"/>
        <w:rPr>
          <w:sz w:val="20"/>
          <w:szCs w:val="20"/>
          <w:color w:val="auto"/>
        </w:rPr>
      </w:pPr>
    </w:p>
    <w:p>
      <w:pPr>
        <w:ind w:left="460" w:right="539" w:firstLine="432"/>
        <w:spacing w:after="0" w:line="283" w:lineRule="auto"/>
        <w:rPr>
          <w:sz w:val="20"/>
          <w:szCs w:val="20"/>
          <w:color w:val="auto"/>
        </w:rPr>
      </w:pPr>
      <w:r>
        <w:rPr>
          <w:rFonts w:ascii="Arial" w:cs="Arial" w:eastAsia="Arial" w:hAnsi="Arial"/>
          <w:sz w:val="16"/>
          <w:szCs w:val="16"/>
          <w:color w:val="auto"/>
        </w:rPr>
        <w:t>Under the Amended and Restated Registration Rights Agreement, the Sponsor Group Holders and the DeepGreen Holders also agreed not to effect any sale or distribution of certain of our equity securities held by them during the period ending on the earlier of (A) 180 days after the Closing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Certain Common Shares held by the Sponsor Group Holders shall not be offered, sold, pledged or distributed for periods of six months or</w:t>
      </w:r>
    </w:p>
    <w:p>
      <w:pPr>
        <w:spacing w:after="0" w:line="6" w:lineRule="exact"/>
        <w:rPr>
          <w:sz w:val="20"/>
          <w:szCs w:val="20"/>
          <w:color w:val="auto"/>
        </w:rPr>
      </w:pPr>
    </w:p>
    <w:p>
      <w:pPr>
        <w:ind w:left="460" w:right="559"/>
        <w:spacing w:after="0" w:line="255" w:lineRule="auto"/>
        <w:rPr>
          <w:sz w:val="20"/>
          <w:szCs w:val="20"/>
          <w:color w:val="auto"/>
        </w:rPr>
      </w:pPr>
      <w:r>
        <w:rPr>
          <w:rFonts w:ascii="Arial" w:cs="Arial" w:eastAsia="Arial" w:hAnsi="Arial"/>
          <w:sz w:val="18"/>
          <w:szCs w:val="18"/>
          <w:color w:val="auto"/>
        </w:rPr>
        <w:t>twelve months, as applicable, and certain Common Shares held by the DeepGreen Holders shall not be offered, sold, pledged or distributed for periods of six months or eighteen months, as applicable, subject to the exceptions described in the Amended and Restated Registration Rights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Important Provisions of the Notice and Articles and the BCBCA</w:t>
      </w:r>
    </w:p>
    <w:p>
      <w:pPr>
        <w:spacing w:after="0" w:line="162"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Stated Objects or Purposes</w:t>
      </w:r>
    </w:p>
    <w:p>
      <w:pPr>
        <w:spacing w:after="0" w:line="15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Notice and Articles do not contain stated objects or purposes and do not place any limitations on the business that we may carry 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w:t>
      </w:r>
    </w:p>
    <w:p>
      <w:pPr>
        <w:spacing w:after="0" w:line="144" w:lineRule="exact"/>
        <w:rPr>
          <w:sz w:val="20"/>
          <w:szCs w:val="20"/>
          <w:color w:val="auto"/>
        </w:rPr>
      </w:pPr>
    </w:p>
    <w:p>
      <w:pPr>
        <w:ind w:left="460" w:right="559" w:firstLine="432"/>
        <w:spacing w:after="0" w:line="283" w:lineRule="auto"/>
        <w:rPr>
          <w:sz w:val="20"/>
          <w:szCs w:val="20"/>
          <w:color w:val="auto"/>
        </w:rPr>
      </w:pPr>
      <w:r>
        <w:rPr>
          <w:rFonts w:ascii="Arial" w:cs="Arial" w:eastAsia="Arial" w:hAnsi="Arial"/>
          <w:sz w:val="16"/>
          <w:szCs w:val="16"/>
          <w:i w:val="1"/>
          <w:iCs w:val="1"/>
          <w:color w:val="auto"/>
        </w:rPr>
        <w:t xml:space="preserve">Power to vote on matters in which a director is materially interested. </w:t>
      </w:r>
      <w:r>
        <w:rPr>
          <w:rFonts w:ascii="Arial" w:cs="Arial" w:eastAsia="Arial" w:hAnsi="Arial"/>
          <w:sz w:val="16"/>
          <w:szCs w:val="16"/>
          <w:color w:val="auto"/>
        </w:rPr>
        <w:t>Under the BCBCA, a director or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does not hold a disclosable interest in a contract or transaction if the contract or transaction: (i) is an arrangement by way of security granted by the company for money loaned to, or obligations undertaken by, the director, or a person in whom the director has a material interest, for the benefit the company or for one of our affiliates’ benefit;</w:t>
      </w:r>
    </w:p>
    <w:p>
      <w:pPr>
        <w:spacing w:after="0" w:line="5" w:lineRule="exact"/>
        <w:rPr>
          <w:sz w:val="20"/>
          <w:szCs w:val="20"/>
          <w:color w:val="auto"/>
        </w:rPr>
      </w:pPr>
    </w:p>
    <w:p>
      <w:pPr>
        <w:ind w:left="460" w:right="699" w:hanging="6"/>
        <w:spacing w:after="0" w:line="281" w:lineRule="auto"/>
        <w:tabs>
          <w:tab w:leader="none" w:pos="7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relates to an indemnity or insurance permitted under the BCBCA; (iii) relates to the remuneration of the director in his or her capacity as director, officer, employee or agent of the company or of one of its affiliates;</w:t>
      </w:r>
    </w:p>
    <w:p>
      <w:pPr>
        <w:spacing w:after="0" w:line="1" w:lineRule="exact"/>
        <w:rPr>
          <w:rFonts w:ascii="Arial" w:cs="Arial" w:eastAsia="Arial" w:hAnsi="Arial"/>
          <w:sz w:val="16"/>
          <w:szCs w:val="16"/>
          <w:color w:val="auto"/>
        </w:rPr>
      </w:pPr>
    </w:p>
    <w:p>
      <w:pPr>
        <w:ind w:left="460" w:right="539" w:hanging="6"/>
        <w:spacing w:after="0" w:line="277" w:lineRule="auto"/>
        <w:tabs>
          <w:tab w:leader="none" w:pos="765"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relates to a loan to the company and the director, or a person in whom the director has a material interest, is the guarantor of some or all of the loan; or (v) is with a company that is affiliated to the company and the director is also a director or senior officer of that company or an affiliate of that company.</w:t>
      </w:r>
    </w:p>
    <w:p>
      <w:pPr>
        <w:spacing w:after="0" w:line="10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A director who holds a disclosable interest may also be liable to account to the company for any profit that accrues to the director under or as a result of a contract or transaction in which the director holds a disclosable interest, if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the disclosable interest was disclosed to the other directors or shareholders and the director who holds the disclosable interest does not vote on any decision or resolution touching on the contract or transaction. Directors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i w:val="1"/>
          <w:iCs w:val="1"/>
          <w:color w:val="auto"/>
        </w:rPr>
        <w:t xml:space="preserve">Directors’ power to determine the remuneration of directors. </w:t>
      </w:r>
      <w:r>
        <w:rPr>
          <w:rFonts w:ascii="Arial" w:cs="Arial" w:eastAsia="Arial" w:hAnsi="Arial"/>
          <w:sz w:val="16"/>
          <w:szCs w:val="16"/>
          <w:color w:val="auto"/>
        </w:rPr>
        <w:t>The remuneration of our directors, if any,</w:t>
      </w:r>
      <w:r>
        <w:rPr>
          <w:rFonts w:ascii="Arial" w:cs="Arial" w:eastAsia="Arial" w:hAnsi="Arial"/>
          <w:sz w:val="16"/>
          <w:szCs w:val="16"/>
          <w:i w:val="1"/>
          <w:iCs w:val="1"/>
          <w:color w:val="auto"/>
        </w:rPr>
        <w:t xml:space="preserve"> </w:t>
      </w:r>
      <w:r>
        <w:rPr>
          <w:rFonts w:ascii="Arial" w:cs="Arial" w:eastAsia="Arial" w:hAnsi="Arial"/>
          <w:sz w:val="16"/>
          <w:szCs w:val="16"/>
          <w:color w:val="auto"/>
        </w:rPr>
        <w:t>may be determined by our directors subject to our Articles. The remuneration may be in addition to any salary or other remuneration paid to any of our employees (including executive officers) who are also directors.</w:t>
      </w:r>
    </w:p>
    <w:p>
      <w:pPr>
        <w:spacing w:after="0" w:line="81"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i w:val="1"/>
          <w:iCs w:val="1"/>
          <w:color w:val="auto"/>
        </w:rPr>
        <w:t xml:space="preserve">Number of shares required to be owned by a director. </w:t>
      </w:r>
      <w:r>
        <w:rPr>
          <w:rFonts w:ascii="Arial" w:cs="Arial" w:eastAsia="Arial" w:hAnsi="Arial"/>
          <w:sz w:val="16"/>
          <w:szCs w:val="16"/>
          <w:color w:val="auto"/>
        </w:rPr>
        <w:t>Our Articles do not and the BCBCA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that a director is required to hold any of Common Shares as a qualification for holding his or her office. The board of directors has discretion to prescribe minimum share ownership requirements for directors.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15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96"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13" w:lineRule="exact"/>
        <w:rPr>
          <w:sz w:val="20"/>
          <w:szCs w:val="20"/>
          <w:color w:val="auto"/>
        </w:rPr>
      </w:pPr>
    </w:p>
    <w:p>
      <w:pPr>
        <w:ind w:left="460" w:right="599" w:firstLine="432"/>
        <w:spacing w:after="0" w:line="250" w:lineRule="auto"/>
        <w:rPr>
          <w:sz w:val="20"/>
          <w:szCs w:val="20"/>
          <w:color w:val="auto"/>
        </w:rPr>
      </w:pPr>
      <w:r>
        <w:rPr>
          <w:rFonts w:ascii="Arial" w:cs="Arial" w:eastAsia="Arial" w:hAnsi="Arial"/>
          <w:sz w:val="18"/>
          <w:szCs w:val="18"/>
          <w:color w:val="auto"/>
        </w:rPr>
        <w:t>A quorum for meetings of shareholders is present if at least two shareholders who, in the aggregate, hold at least one-third (33</w:t>
      </w:r>
      <w:r>
        <w:rPr>
          <w:rFonts w:ascii="Arial" w:cs="Arial" w:eastAsia="Arial" w:hAnsi="Arial"/>
          <w:sz w:val="20"/>
          <w:szCs w:val="20"/>
          <w:color w:val="auto"/>
          <w:vertAlign w:val="superscript"/>
        </w:rPr>
        <w:t>⅓</w:t>
      </w:r>
      <w:r>
        <w:rPr>
          <w:rFonts w:ascii="Arial" w:cs="Arial" w:eastAsia="Arial" w:hAnsi="Arial"/>
          <w:sz w:val="18"/>
          <w:szCs w:val="18"/>
          <w:color w:val="auto"/>
        </w:rPr>
        <w:t>%)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27"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receive notice of, or to attend or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 Proposals and Advance Notice Procedures</w:t>
      </w:r>
    </w:p>
    <w:p>
      <w:pPr>
        <w:spacing w:after="0" w:line="144" w:lineRule="exact"/>
        <w:rPr>
          <w:sz w:val="20"/>
          <w:szCs w:val="20"/>
          <w:color w:val="auto"/>
        </w:rPr>
      </w:pPr>
    </w:p>
    <w:p>
      <w:pPr>
        <w:jc w:val="both"/>
        <w:ind w:left="460" w:right="499" w:firstLine="432"/>
        <w:spacing w:after="0" w:line="291" w:lineRule="auto"/>
        <w:rPr>
          <w:sz w:val="20"/>
          <w:szCs w:val="20"/>
          <w:color w:val="auto"/>
        </w:rPr>
      </w:pPr>
      <w:r>
        <w:rPr>
          <w:rFonts w:ascii="Arial" w:cs="Arial" w:eastAsia="Arial" w:hAnsi="Arial"/>
          <w:sz w:val="16"/>
          <w:szCs w:val="16"/>
          <w:color w:val="auto"/>
        </w:rPr>
        <w:t>Under the BCBCA, qualified shareholders holding at least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99"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Certain advance notice provisions with respect to the election of our directors are included in the Notice and Articles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color w:val="auto"/>
        </w:rPr>
        <w:t>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19"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“Notice Date”) is less than 50 days before the meeting date, not later than the close of business on the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following the Notice Date; and (ii) in the case of a special meeting (which is not also an annual meeting) of shareholders called for any purpose which includes electing directors, not later than the close of business on the 15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following the Notice Date.</w:t>
      </w:r>
    </w:p>
    <w:p>
      <w:pPr>
        <w:spacing w:after="0" w:line="49"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These provisions could have the effect of delaying until the next shareholder meeting the nomination of certain persons for director that are favored by the holders of a majority of our outstanding voting securities.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Forum Selection</w:t>
      </w:r>
    </w:p>
    <w:p>
      <w:pPr>
        <w:spacing w:after="0" w:line="144"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19"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24" w:lineRule="exact"/>
        <w:rPr>
          <w:sz w:val="20"/>
          <w:szCs w:val="20"/>
          <w:color w:val="auto"/>
        </w:rPr>
      </w:pPr>
    </w:p>
    <w:p>
      <w:pPr>
        <w:ind w:left="460" w:right="659" w:firstLine="432"/>
        <w:spacing w:after="0" w:line="296"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80" w:lineRule="exact"/>
        <w:rPr>
          <w:sz w:val="20"/>
          <w:szCs w:val="20"/>
          <w:color w:val="auto"/>
        </w:rPr>
      </w:pPr>
    </w:p>
    <w:p>
      <w:pPr>
        <w:ind w:left="460" w:right="459" w:firstLine="432"/>
        <w:spacing w:after="0" w:line="283" w:lineRule="auto"/>
        <w:rPr>
          <w:sz w:val="20"/>
          <w:szCs w:val="20"/>
          <w:color w:val="auto"/>
        </w:rPr>
      </w:pPr>
      <w:r>
        <w:rPr>
          <w:rFonts w:ascii="Arial" w:cs="Arial" w:eastAsia="Arial" w:hAnsi="Arial"/>
          <w:sz w:val="16"/>
          <w:szCs w:val="16"/>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 See “</w:t>
      </w:r>
      <w:r>
        <w:rPr>
          <w:rFonts w:ascii="Arial" w:cs="Arial" w:eastAsia="Arial" w:hAnsi="Arial"/>
          <w:sz w:val="16"/>
          <w:szCs w:val="16"/>
          <w:i w:val="1"/>
          <w:iCs w:val="1"/>
          <w:color w:val="auto"/>
        </w:rPr>
        <w:t>Risk</w:t>
      </w:r>
    </w:p>
    <w:p>
      <w:pPr>
        <w:spacing w:after="0" w:line="6" w:lineRule="exact"/>
        <w:rPr>
          <w:sz w:val="20"/>
          <w:szCs w:val="20"/>
          <w:color w:val="auto"/>
        </w:rPr>
      </w:pPr>
    </w:p>
    <w:p>
      <w:pPr>
        <w:ind w:left="460" w:right="479"/>
        <w:spacing w:after="0" w:line="295" w:lineRule="auto"/>
        <w:rPr>
          <w:sz w:val="20"/>
          <w:szCs w:val="20"/>
          <w:color w:val="auto"/>
        </w:rPr>
      </w:pPr>
      <w:r>
        <w:rPr>
          <w:rFonts w:ascii="Arial" w:cs="Arial" w:eastAsia="Arial" w:hAnsi="Arial"/>
          <w:sz w:val="16"/>
          <w:szCs w:val="16"/>
          <w:i w:val="1"/>
          <w:iCs w:val="1"/>
          <w:color w:val="auto"/>
        </w:rPr>
        <w:t>Factors — Our Notice and Articles will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1" w:name="page132"/>
    <w:bookmarkEnd w:id="1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 of Liability and Indemnification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Under the BCBCA, a company may indemnify: (i) a current or former director or officer of that company;</w:t>
      </w:r>
    </w:p>
    <w:p>
      <w:pPr>
        <w:spacing w:after="0" w:line="46" w:lineRule="exact"/>
        <w:rPr>
          <w:sz w:val="20"/>
          <w:szCs w:val="20"/>
          <w:color w:val="auto"/>
        </w:rPr>
      </w:pPr>
    </w:p>
    <w:p>
      <w:pPr>
        <w:ind w:left="460" w:right="479" w:hanging="6"/>
        <w:spacing w:after="0" w:line="267" w:lineRule="auto"/>
        <w:tabs>
          <w:tab w:leader="none" w:pos="725"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or an action, in respect of any civil, criminal, administrative or other legal proceeding or investigative action (whether current, threatened, pending or completed) in which he or she is involved because of that person’s position as an indemnifiable person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Ownership and Exchange Controls</w:t>
      </w:r>
    </w:p>
    <w:p>
      <w:pPr>
        <w:spacing w:after="0" w:line="162"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There is no limitation imposed by Canadian law or by the Notice and Articles on the right of a non-resident to hold or vote Common Shares, other than discussed below.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Act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Limitations on the ability to acquire and hold Common Shares may be imposed by the </w:t>
      </w:r>
      <w:r>
        <w:rPr>
          <w:rFonts w:ascii="Arial" w:cs="Arial" w:eastAsia="Arial" w:hAnsi="Arial"/>
          <w:sz w:val="17"/>
          <w:szCs w:val="17"/>
          <w:i w:val="1"/>
          <w:iCs w:val="1"/>
          <w:color w:val="auto"/>
        </w:rPr>
        <w:t>Competition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Act </w:t>
      </w:r>
      <w:r>
        <w:rPr>
          <w:rFonts w:ascii="Arial" w:cs="Arial" w:eastAsia="Arial" w:hAnsi="Arial"/>
          <w:sz w:val="16"/>
          <w:szCs w:val="16"/>
          <w:color w:val="auto"/>
        </w:rPr>
        <w:t>(Canada). This legislation permits the Commissioner of Competition (the “Commissioner”), to review any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acquisition or establishment, directly or indirectly, including through the acquisition of shares, of control over 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a significant interest in us. This legislation grants the Commissioner jurisdiction, for up to one year after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acquisition has been substantially completed, to challenge this type of acquisition by seeking a remedial order,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including an order to prohibit the acquisition or require divestitures, from the Canadian Competition Tribunal,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which may be granted where the Competition Tribunal finds that the acquisition substantially prevents or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lessens, or is likely to substantially prevent or lessen, competition.</w:t>
      </w:r>
    </w:p>
    <w:p>
      <w:pPr>
        <w:spacing w:after="0" w:line="130"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Canada Act</w:t>
      </w:r>
    </w:p>
    <w:p>
      <w:pPr>
        <w:spacing w:after="0" w:line="15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requires each “non Canadian” (as defined in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who acquires “control” of an existing “Canadian business,” to file a notification in prescribed form with the responsible federal government department or departments not later than 30 days after closing, provided the acquisition of control is not a reviewable transaction under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Subject to certain exemptions, a transaction that is reviewable under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may not be implemented until an application for review has been filed and the responsible Minister of the federal cabinet has determined that the investment is likely to be of “net benefit to Canada” taking into account certain factors set out in the </w:t>
      </w:r>
      <w:r>
        <w:rPr>
          <w:rFonts w:ascii="Arial" w:cs="Arial" w:eastAsia="Arial" w:hAnsi="Arial"/>
          <w:sz w:val="16"/>
          <w:szCs w:val="16"/>
          <w:i w:val="1"/>
          <w:iCs w:val="1"/>
          <w:color w:val="auto"/>
        </w:rPr>
        <w:t>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Canada Act</w:t>
      </w:r>
      <w:r>
        <w:rPr>
          <w:rFonts w:ascii="Arial" w:cs="Arial" w:eastAsia="Arial" w:hAnsi="Arial"/>
          <w:sz w:val="16"/>
          <w:szCs w:val="16"/>
          <w:color w:val="auto"/>
        </w:rPr>
        <w:t>. Under the</w:t>
      </w:r>
      <w:r>
        <w:rPr>
          <w:rFonts w:ascii="Arial" w:cs="Arial" w:eastAsia="Arial" w:hAnsi="Arial"/>
          <w:sz w:val="16"/>
          <w:szCs w:val="16"/>
          <w:i w:val="1"/>
          <w:iCs w:val="1"/>
          <w:color w:val="auto"/>
        </w:rPr>
        <w:t xml:space="preserve"> Investment Canada Act</w:t>
      </w:r>
      <w:r>
        <w:rPr>
          <w:rFonts w:ascii="Arial" w:cs="Arial" w:eastAsia="Arial" w:hAnsi="Arial"/>
          <w:sz w:val="16"/>
          <w:szCs w:val="16"/>
          <w:color w:val="auto"/>
        </w:rPr>
        <w:t>, an investment in Common Shares by a non-Canadian who is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investor originating from a country with which Canada has a free trade agreement, including a United States investor, would be reviewable only if it were an investment to acquire control of us pursuant to the </w:t>
      </w:r>
      <w:r>
        <w:rPr>
          <w:rFonts w:ascii="Arial" w:cs="Arial" w:eastAsia="Arial" w:hAnsi="Arial"/>
          <w:sz w:val="16"/>
          <w:szCs w:val="16"/>
          <w:i w:val="1"/>
          <w:iCs w:val="1"/>
          <w:color w:val="auto"/>
        </w:rPr>
        <w:t>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Canada Act </w:t>
      </w:r>
      <w:r>
        <w:rPr>
          <w:rFonts w:ascii="Arial" w:cs="Arial" w:eastAsia="Arial" w:hAnsi="Arial"/>
          <w:sz w:val="16"/>
          <w:szCs w:val="16"/>
          <w:color w:val="auto"/>
        </w:rPr>
        <w:t>and our enterprise value (as determined pursuant to the</w:t>
      </w:r>
      <w:r>
        <w:rPr>
          <w:rFonts w:ascii="Arial" w:cs="Arial" w:eastAsia="Arial" w:hAnsi="Arial"/>
          <w:sz w:val="16"/>
          <w:szCs w:val="16"/>
          <w:i w:val="1"/>
          <w:iCs w:val="1"/>
          <w:color w:val="auto"/>
        </w:rPr>
        <w:t xml:space="preserve"> Investment Canada Act </w:t>
      </w:r>
      <w:r>
        <w:rPr>
          <w:rFonts w:ascii="Arial" w:cs="Arial" w:eastAsia="Arial" w:hAnsi="Arial"/>
          <w:sz w:val="16"/>
          <w:szCs w:val="16"/>
          <w:color w:val="auto"/>
        </w:rPr>
        <w:t>and its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was equal to or greater than the amount specified, which is currently CAD$1.565 billion. For most other investors who are not state-owned enterprises the threshold is currently CAD$1.043 billion for 2021.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01"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 xml:space="preserve">Under the national-security-review regime in the </w:t>
      </w:r>
      <w:r>
        <w:rPr>
          <w:rFonts w:ascii="Arial" w:cs="Arial" w:eastAsia="Arial" w:hAnsi="Arial"/>
          <w:sz w:val="17"/>
          <w:szCs w:val="17"/>
          <w:i w:val="1"/>
          <w:iCs w:val="1"/>
          <w:color w:val="auto"/>
        </w:rPr>
        <w:t>Investment Canada Act</w:t>
      </w:r>
      <w:r>
        <w:rPr>
          <w:rFonts w:ascii="Arial" w:cs="Arial" w:eastAsia="Arial" w:hAnsi="Arial"/>
          <w:sz w:val="17"/>
          <w:szCs w:val="17"/>
          <w:color w:val="auto"/>
        </w:rPr>
        <w: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111" w:lineRule="exact"/>
        <w:rPr>
          <w:sz w:val="20"/>
          <w:szCs w:val="20"/>
          <w:color w:val="auto"/>
        </w:rPr>
      </w:pPr>
    </w:p>
    <w:p>
      <w:pPr>
        <w:ind w:left="460" w:right="759" w:firstLine="432"/>
        <w:spacing w:after="0" w:line="342" w:lineRule="auto"/>
        <w:rPr>
          <w:sz w:val="20"/>
          <w:szCs w:val="20"/>
          <w:color w:val="auto"/>
        </w:rPr>
      </w:pPr>
      <w:r>
        <w:rPr>
          <w:rFonts w:ascii="Arial" w:cs="Arial" w:eastAsia="Arial" w:hAnsi="Arial"/>
          <w:sz w:val="16"/>
          <w:szCs w:val="16"/>
          <w:color w:val="auto"/>
        </w:rPr>
        <w:t xml:space="preserve">Certain transactions relating to Common Shares will generally be exempt from the </w:t>
      </w:r>
      <w:r>
        <w:rPr>
          <w:rFonts w:ascii="Arial" w:cs="Arial" w:eastAsia="Arial" w:hAnsi="Arial"/>
          <w:sz w:val="16"/>
          <w:szCs w:val="16"/>
          <w:i w:val="1"/>
          <w:iCs w:val="1"/>
          <w:color w:val="auto"/>
        </w:rPr>
        <w:t>Investment Canada</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subject to the federal government’s prerogative to conduct a national-security review, including:</w:t>
      </w:r>
    </w:p>
    <w:p>
      <w:pPr>
        <w:spacing w:after="0" w:line="43" w:lineRule="exact"/>
        <w:rPr>
          <w:sz w:val="20"/>
          <w:szCs w:val="20"/>
          <w:color w:val="auto"/>
        </w:rPr>
      </w:pPr>
    </w:p>
    <w:p>
      <w:pPr>
        <w:ind w:left="1320" w:right="599" w:hanging="434"/>
        <w:spacing w:after="0" w:line="277" w:lineRule="auto"/>
        <w:tabs>
          <w:tab w:leader="none" w:pos="13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acquisition of Common Shares by a person in the ordinary course of that person’s business as a trader or dealer in securities;</w:t>
      </w:r>
    </w:p>
    <w:p>
      <w:pPr>
        <w:spacing w:after="0" w:line="102" w:lineRule="exact"/>
        <w:rPr>
          <w:rFonts w:ascii="Arial" w:cs="Arial" w:eastAsia="Arial" w:hAnsi="Arial"/>
          <w:sz w:val="18"/>
          <w:szCs w:val="18"/>
          <w:color w:val="auto"/>
        </w:rPr>
      </w:pPr>
    </w:p>
    <w:p>
      <w:pPr>
        <w:ind w:left="1320" w:right="479" w:hanging="434"/>
        <w:spacing w:after="0" w:line="263" w:lineRule="auto"/>
        <w:tabs>
          <w:tab w:leader="none" w:pos="13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16" w:lineRule="exact"/>
        <w:rPr>
          <w:rFonts w:ascii="Arial" w:cs="Arial" w:eastAsia="Arial" w:hAnsi="Arial"/>
          <w:sz w:val="18"/>
          <w:szCs w:val="18"/>
          <w:color w:val="auto"/>
        </w:rPr>
      </w:pPr>
    </w:p>
    <w:p>
      <w:pPr>
        <w:ind w:left="1320" w:right="719" w:hanging="434"/>
        <w:spacing w:after="0" w:line="263" w:lineRule="auto"/>
        <w:tabs>
          <w:tab w:leader="none" w:pos="13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for Common Shares is Continental Stock Transfer &amp; Trust Company.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Exchange Listing</w:t>
      </w:r>
    </w:p>
    <w:p>
      <w:pPr>
        <w:spacing w:after="0" w:line="162"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Our Common Shares and Public Warrants to purchase Common Shares are listed for trading on The Nasdaq Stock Market under the symbol “TMC” and “TMCWW”,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RESTRICTIONS ON RESALE OF COMMON SHARES</w:t>
      </w:r>
    </w:p>
    <w:p>
      <w:pPr>
        <w:spacing w:after="0" w:line="148"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Pursuant to Rule 144 under the Securities Act (“Rule 144”), a person who has beneficially owned restricted Common Shares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97"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Persons who have beneficially owned restricted Common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9" w:lineRule="exact"/>
        <w:rPr>
          <w:sz w:val="20"/>
          <w:szCs w:val="20"/>
          <w:color w:val="auto"/>
        </w:rPr>
      </w:pPr>
    </w:p>
    <w:p>
      <w:pPr>
        <w:ind w:left="1300" w:hanging="41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 of the total number of Common Shares then outstanding; or</w:t>
      </w:r>
    </w:p>
    <w:p>
      <w:pPr>
        <w:spacing w:after="0" w:line="144"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Shares during the four calendar weeks preceding the filing of a notice on Form 144 with respect to the sale.</w:t>
      </w:r>
    </w:p>
    <w:p>
      <w:pPr>
        <w:spacing w:after="0" w:line="103" w:lineRule="exact"/>
        <w:rPr>
          <w:sz w:val="20"/>
          <w:szCs w:val="20"/>
          <w:color w:val="auto"/>
        </w:rPr>
      </w:pPr>
    </w:p>
    <w:p>
      <w:pPr>
        <w:ind w:left="460" w:right="1359" w:firstLine="432"/>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our current public information.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68" w:lineRule="exact"/>
        <w:rPr>
          <w:sz w:val="20"/>
          <w:szCs w:val="20"/>
          <w:color w:val="auto"/>
        </w:rPr>
      </w:pPr>
    </w:p>
    <w:p>
      <w:pPr>
        <w:ind w:left="1300" w:hanging="414"/>
        <w:spacing w:after="0"/>
        <w:tabs>
          <w:tab w:leader="none" w:pos="13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80" w:lineRule="exact"/>
        <w:rPr>
          <w:rFonts w:ascii="Arial" w:cs="Arial" w:eastAsia="Arial" w:hAnsi="Arial"/>
          <w:sz w:val="16"/>
          <w:szCs w:val="16"/>
          <w:color w:val="auto"/>
        </w:rPr>
      </w:pPr>
    </w:p>
    <w:p>
      <w:pPr>
        <w:ind w:left="1320" w:right="899" w:hanging="434"/>
        <w:spacing w:after="0" w:line="277" w:lineRule="auto"/>
        <w:tabs>
          <w:tab w:leader="none" w:pos="13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Following Business Combination, we are no longer a shell company, and so, once the conditions set forth in the exceptions listed above are satisfied, Rule 144 will become available for the resale of the above noted restricted securities.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BENEFICIAL OWNERSHIP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the Common Shares as of October 1, 2021 by:</w:t>
      </w:r>
    </w:p>
    <w:p>
      <w:pPr>
        <w:spacing w:after="0" w:line="103" w:lineRule="exact"/>
        <w:rPr>
          <w:sz w:val="20"/>
          <w:szCs w:val="20"/>
          <w:color w:val="auto"/>
        </w:rPr>
      </w:pPr>
    </w:p>
    <w:p>
      <w:pPr>
        <w:ind w:left="1320" w:right="879" w:hanging="434"/>
        <w:spacing w:after="0" w:line="277" w:lineRule="auto"/>
        <w:tabs>
          <w:tab w:leader="none" w:pos="13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outstanding Common Shares;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25"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beneficial ownership of Common Shares is based on 224,385,324 Common Shares issued and outstanding as of October 1, 2021.</w:t>
      </w:r>
    </w:p>
    <w:p>
      <w:pPr>
        <w:spacing w:after="0" w:line="89" w:lineRule="exact"/>
        <w:rPr>
          <w:sz w:val="20"/>
          <w:szCs w:val="20"/>
          <w:color w:val="auto"/>
        </w:rPr>
      </w:pPr>
    </w:p>
    <w:p>
      <w:pPr>
        <w:ind w:left="460" w:right="579" w:firstLine="432"/>
        <w:spacing w:after="0" w:line="309" w:lineRule="auto"/>
        <w:rPr>
          <w:sz w:val="20"/>
          <w:szCs w:val="20"/>
          <w:color w:val="auto"/>
        </w:rPr>
      </w:pPr>
      <w:r>
        <w:rPr>
          <w:rFonts w:ascii="Arial" w:cs="Arial" w:eastAsia="Arial" w:hAnsi="Arial"/>
          <w:sz w:val="16"/>
          <w:szCs w:val="16"/>
          <w:color w:val="auto"/>
        </w:rPr>
        <w:t>Unless otherwise indicated, the Company believes that each person named in the table below has sole voting and investment power with respect to all shares of the Common Shares beneficially owned by them. Unless otherwise indicated, the business address of each of the following entities or individuals is c/o TMC the metals company Inc., 595 Howe Street,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Vancouver, British Columbia, Canada V6C 2T5.</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Common</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Beneficially</w:t>
            </w:r>
          </w:p>
        </w:tc>
      </w:tr>
      <w:tr>
        <w:trPr>
          <w:trHeight w:val="253"/>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Shares</w:t>
            </w:r>
            <w:r>
              <w:rPr>
                <w:rFonts w:ascii="Arial" w:cs="Arial" w:eastAsia="Arial" w:hAnsi="Arial"/>
                <w:sz w:val="18"/>
                <w:szCs w:val="18"/>
                <w:b w:val="1"/>
                <w:bCs w:val="1"/>
                <w:color w:val="auto"/>
                <w:w w:val="85"/>
                <w:vertAlign w:val="superscript"/>
              </w:rPr>
              <w:t>(1)</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Owned (%)</w:t>
            </w:r>
          </w:p>
        </w:tc>
      </w:tr>
      <w:tr>
        <w:trPr>
          <w:trHeight w:val="261"/>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4"/>
        </w:trPr>
        <w:tc>
          <w:tcPr>
            <w:tcW w:w="5580" w:type="dxa"/>
            <w:vAlign w:val="bottom"/>
            <w:gridSpan w:val="2"/>
          </w:tcPr>
          <w:p>
            <w:pPr>
              <w:spacing w:after="0"/>
              <w:rPr>
                <w:sz w:val="20"/>
                <w:szCs w:val="20"/>
                <w:color w:val="auto"/>
              </w:rPr>
            </w:pPr>
            <w:r>
              <w:rPr>
                <w:rFonts w:ascii="Arial" w:cs="Arial" w:eastAsia="Arial" w:hAnsi="Arial"/>
                <w:sz w:val="18"/>
                <w:szCs w:val="18"/>
                <w:color w:val="auto"/>
              </w:rPr>
              <w:t>Gerard Barron</w:t>
            </w:r>
            <w:r>
              <w:rPr>
                <w:rFonts w:ascii="Arial" w:cs="Arial" w:eastAsia="Arial" w:hAnsi="Arial"/>
                <w:sz w:val="20"/>
                <w:szCs w:val="20"/>
                <w:color w:val="auto"/>
                <w:vertAlign w:val="superscript"/>
              </w:rPr>
              <w:t>(2)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18,287,796</w:t>
            </w: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83"/>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O’Sullivan</w:t>
            </w:r>
            <w:r>
              <w:rPr>
                <w:rFonts w:ascii="Arial" w:cs="Arial" w:eastAsia="Arial" w:hAnsi="Arial"/>
                <w:sz w:val="20"/>
                <w:szCs w:val="20"/>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1,260,782</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83"/>
        </w:trPr>
        <w:tc>
          <w:tcPr>
            <w:tcW w:w="5580" w:type="dxa"/>
            <w:vAlign w:val="bottom"/>
            <w:gridSpan w:val="2"/>
          </w:tcPr>
          <w:p>
            <w:pPr>
              <w:spacing w:after="0"/>
              <w:rPr>
                <w:sz w:val="20"/>
                <w:szCs w:val="20"/>
                <w:color w:val="auto"/>
              </w:rPr>
            </w:pPr>
            <w:r>
              <w:rPr>
                <w:rFonts w:ascii="Arial" w:cs="Arial" w:eastAsia="Arial" w:hAnsi="Arial"/>
                <w:sz w:val="18"/>
                <w:szCs w:val="18"/>
                <w:color w:val="auto"/>
              </w:rPr>
              <w:t>Erika Ilves</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1,609,858</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84"/>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Shesky</w:t>
            </w:r>
            <w:r>
              <w:rPr>
                <w:rFonts w:ascii="Arial" w:cs="Arial" w:eastAsia="Arial" w:hAnsi="Arial"/>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308,762</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83"/>
        </w:trPr>
        <w:tc>
          <w:tcPr>
            <w:tcW w:w="5580" w:type="dxa"/>
            <w:vAlign w:val="bottom"/>
            <w:gridSpan w:val="2"/>
          </w:tcPr>
          <w:p>
            <w:pPr>
              <w:spacing w:after="0"/>
              <w:rPr>
                <w:sz w:val="20"/>
                <w:szCs w:val="20"/>
                <w:color w:val="auto"/>
              </w:rPr>
            </w:pPr>
            <w:r>
              <w:rPr>
                <w:rFonts w:ascii="Arial" w:cs="Arial" w:eastAsia="Arial" w:hAnsi="Arial"/>
                <w:sz w:val="18"/>
                <w:szCs w:val="18"/>
                <w:color w:val="auto"/>
              </w:rPr>
              <w:t>Dr. Gregory Stone</w:t>
            </w:r>
            <w:r>
              <w:rPr>
                <w:rFonts w:ascii="Arial" w:cs="Arial" w:eastAsia="Arial" w:hAnsi="Arial"/>
                <w:sz w:val="20"/>
                <w:szCs w:val="20"/>
                <w:color w:val="auto"/>
                <w:vertAlign w:val="superscript"/>
              </w:rPr>
              <w:t>(6)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1,356,689</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Gina Stryker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84"/>
        </w:trPr>
        <w:tc>
          <w:tcPr>
            <w:tcW w:w="5580" w:type="dxa"/>
            <w:vAlign w:val="bottom"/>
            <w:gridSpan w:val="2"/>
          </w:tcPr>
          <w:p>
            <w:pPr>
              <w:spacing w:after="0"/>
              <w:rPr>
                <w:sz w:val="20"/>
                <w:szCs w:val="20"/>
                <w:color w:val="auto"/>
              </w:rPr>
            </w:pPr>
            <w:r>
              <w:rPr>
                <w:rFonts w:ascii="Arial" w:cs="Arial" w:eastAsia="Arial" w:hAnsi="Arial"/>
                <w:sz w:val="18"/>
                <w:szCs w:val="18"/>
                <w:color w:val="auto"/>
              </w:rPr>
              <w:t>Christian Madsbjerg</w:t>
            </w:r>
            <w:r>
              <w:rPr>
                <w:rFonts w:ascii="Arial" w:cs="Arial" w:eastAsia="Arial" w:hAnsi="Arial"/>
                <w:sz w:val="20"/>
                <w:szCs w:val="20"/>
                <w:color w:val="auto"/>
                <w:vertAlign w:val="superscript"/>
              </w:rPr>
              <w:t>(7)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590,509</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83"/>
        </w:trPr>
        <w:tc>
          <w:tcPr>
            <w:tcW w:w="5580" w:type="dxa"/>
            <w:vAlign w:val="bottom"/>
            <w:gridSpan w:val="2"/>
          </w:tcPr>
          <w:p>
            <w:pPr>
              <w:spacing w:after="0"/>
              <w:rPr>
                <w:sz w:val="20"/>
                <w:szCs w:val="20"/>
                <w:color w:val="auto"/>
              </w:rPr>
            </w:pPr>
            <w:r>
              <w:rPr>
                <w:rFonts w:ascii="Arial" w:cs="Arial" w:eastAsia="Arial" w:hAnsi="Arial"/>
                <w:sz w:val="18"/>
                <w:szCs w:val="18"/>
                <w:color w:val="auto"/>
              </w:rPr>
              <w:t>Scott Leonard</w:t>
            </w:r>
            <w:r>
              <w:rPr>
                <w:rFonts w:ascii="Arial" w:cs="Arial" w:eastAsia="Arial" w:hAnsi="Arial"/>
                <w:sz w:val="20"/>
                <w:szCs w:val="20"/>
                <w:color w:val="auto"/>
                <w:vertAlign w:val="superscript"/>
              </w:rPr>
              <w:t>(8)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6,669,000</w:t>
            </w: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Sheila Khama</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83"/>
        </w:trPr>
        <w:tc>
          <w:tcPr>
            <w:tcW w:w="5580" w:type="dxa"/>
            <w:vAlign w:val="bottom"/>
            <w:gridSpan w:val="2"/>
          </w:tcPr>
          <w:p>
            <w:pPr>
              <w:spacing w:after="0"/>
              <w:rPr>
                <w:sz w:val="20"/>
                <w:szCs w:val="20"/>
                <w:color w:val="auto"/>
              </w:rPr>
            </w:pPr>
            <w:r>
              <w:rPr>
                <w:rFonts w:ascii="Arial" w:cs="Arial" w:eastAsia="Arial" w:hAnsi="Arial"/>
                <w:sz w:val="18"/>
                <w:szCs w:val="18"/>
                <w:color w:val="auto"/>
              </w:rPr>
              <w:t>Andrei Karkar</w:t>
            </w:r>
            <w:r>
              <w:rPr>
                <w:rFonts w:ascii="Arial" w:cs="Arial" w:eastAsia="Arial" w:hAnsi="Arial"/>
                <w:sz w:val="20"/>
                <w:szCs w:val="20"/>
                <w:color w:val="auto"/>
                <w:vertAlign w:val="superscript"/>
              </w:rPr>
              <w:t>(9)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40,264,522</w:t>
            </w:r>
          </w:p>
        </w:tc>
        <w:tc>
          <w:tcPr>
            <w:tcW w:w="12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Amelia Kinahoi Siamomua</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198"/>
        </w:trPr>
        <w:tc>
          <w:tcPr>
            <w:tcW w:w="55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Directors and Executive Officers of the Company as a Group</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5"/>
        </w:trPr>
        <w:tc>
          <w:tcPr>
            <w:tcW w:w="5580" w:type="dxa"/>
            <w:vAlign w:val="bottom"/>
            <w:gridSpan w:val="2"/>
          </w:tcPr>
          <w:p>
            <w:pPr>
              <w:ind w:left="180"/>
              <w:spacing w:after="0"/>
              <w:rPr>
                <w:sz w:val="20"/>
                <w:szCs w:val="20"/>
                <w:color w:val="auto"/>
              </w:rPr>
            </w:pPr>
            <w:r>
              <w:rPr>
                <w:rFonts w:ascii="Arial" w:cs="Arial" w:eastAsia="Arial" w:hAnsi="Arial"/>
                <w:sz w:val="18"/>
                <w:szCs w:val="18"/>
                <w:b w:val="1"/>
                <w:bCs w:val="1"/>
                <w:color w:val="auto"/>
              </w:rPr>
              <w:t>(12 Individuals)</w:t>
            </w:r>
            <w:r>
              <w:rPr>
                <w:rFonts w:ascii="Arial" w:cs="Arial" w:eastAsia="Arial" w:hAnsi="Arial"/>
                <w:sz w:val="20"/>
                <w:szCs w:val="20"/>
                <w:b w:val="1"/>
                <w:bCs w:val="1"/>
                <w:color w:val="auto"/>
                <w:vertAlign w:val="superscript"/>
              </w:rPr>
              <w:t>(10)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70,347,918</w:t>
            </w:r>
          </w:p>
        </w:tc>
        <w:tc>
          <w:tcPr>
            <w:tcW w:w="128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4"/>
        </w:trPr>
        <w:tc>
          <w:tcPr>
            <w:tcW w:w="5580" w:type="dxa"/>
            <w:vAlign w:val="bottom"/>
            <w:gridSpan w:val="2"/>
          </w:tcPr>
          <w:p>
            <w:pPr>
              <w:spacing w:after="0"/>
              <w:rPr>
                <w:sz w:val="20"/>
                <w:szCs w:val="20"/>
                <w:color w:val="auto"/>
              </w:rPr>
            </w:pPr>
            <w:r>
              <w:rPr>
                <w:rFonts w:ascii="Arial" w:cs="Arial" w:eastAsia="Arial" w:hAnsi="Arial"/>
                <w:sz w:val="18"/>
                <w:szCs w:val="18"/>
                <w:color w:val="auto"/>
              </w:rPr>
              <w:t>ERAS Capital</w:t>
            </w:r>
            <w:r>
              <w:rPr>
                <w:rFonts w:ascii="Arial" w:cs="Arial" w:eastAsia="Arial" w:hAnsi="Arial"/>
                <w:sz w:val="20"/>
                <w:szCs w:val="20"/>
                <w:color w:val="auto"/>
                <w:vertAlign w:val="superscript"/>
              </w:rPr>
              <w:t>(11)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39,621,909</w:t>
            </w:r>
          </w:p>
        </w:tc>
        <w:tc>
          <w:tcPr>
            <w:tcW w:w="12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84"/>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Maersk Supply Service A/S</w:t>
            </w:r>
            <w:r>
              <w:rPr>
                <w:rFonts w:ascii="Arial" w:cs="Arial" w:eastAsia="Arial" w:hAnsi="Arial"/>
                <w:sz w:val="20"/>
                <w:szCs w:val="20"/>
                <w:color w:val="auto"/>
                <w:vertAlign w:val="superscript"/>
              </w:rPr>
              <w:t>(12)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20,820,816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91"/>
        </w:trPr>
        <w:tc>
          <w:tcPr>
            <w:tcW w:w="5580" w:type="dxa"/>
            <w:vAlign w:val="bottom"/>
            <w:gridSpan w:val="2"/>
          </w:tcPr>
          <w:p>
            <w:pPr>
              <w:spacing w:after="0"/>
              <w:rPr>
                <w:sz w:val="20"/>
                <w:szCs w:val="20"/>
                <w:color w:val="auto"/>
              </w:rPr>
            </w:pPr>
            <w:r>
              <w:rPr>
                <w:rFonts w:ascii="Arial" w:cs="Arial" w:eastAsia="Arial" w:hAnsi="Arial"/>
                <w:sz w:val="18"/>
                <w:szCs w:val="18"/>
                <w:color w:val="auto"/>
              </w:rPr>
              <w:t>Allseas Group S.A.</w:t>
            </w:r>
            <w:r>
              <w:rPr>
                <w:rFonts w:ascii="Arial" w:cs="Arial" w:eastAsia="Arial" w:hAnsi="Arial"/>
                <w:sz w:val="20"/>
                <w:szCs w:val="20"/>
                <w:color w:val="auto"/>
                <w:vertAlign w:val="superscript"/>
              </w:rPr>
              <w:t>(13)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14,151,648</w:t>
            </w: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Indicates beneficial ownership of less than 1%.</w:t>
      </w:r>
    </w:p>
    <w:p>
      <w:pPr>
        <w:spacing w:after="0" w:line="22" w:lineRule="exact"/>
        <w:rPr>
          <w:sz w:val="20"/>
          <w:szCs w:val="20"/>
          <w:color w:val="auto"/>
        </w:rPr>
      </w:pPr>
    </w:p>
    <w:p>
      <w:pPr>
        <w:ind w:left="880" w:hanging="426"/>
        <w:spacing w:after="0"/>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Excludes Special Shares.</w:t>
      </w:r>
    </w:p>
    <w:p>
      <w:pPr>
        <w:spacing w:after="0" w:line="18" w:lineRule="exact"/>
        <w:rPr>
          <w:rFonts w:ascii="Arial" w:cs="Arial" w:eastAsia="Arial" w:hAnsi="Arial"/>
          <w:sz w:val="16"/>
          <w:szCs w:val="16"/>
          <w:color w:val="auto"/>
        </w:rPr>
      </w:pPr>
    </w:p>
    <w:p>
      <w:pPr>
        <w:ind w:left="880" w:right="879" w:hanging="426"/>
        <w:spacing w:after="0" w:line="302" w:lineRule="auto"/>
        <w:tabs>
          <w:tab w:leader="none" w:pos="8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Consists of (i) 14,209,752 Common Shares and (ii) 4,078,044 Common Shares underlying options that are exercisable within 60 days of October 1, 2021 held by Mr. Barron. Does not include 2,275,334 Common Shares underlying options that are not exercisable within 60 days of October 1, 2021 held by Mr. Barron.</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5" w:name="page136"/>
    <w:bookmarkEnd w:id="1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559" w:hanging="426"/>
        <w:spacing w:after="0" w:line="262" w:lineRule="auto"/>
        <w:tabs>
          <w:tab w:leader="none" w:pos="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(i) 575,110 Common Shares and (ii) 685,672 Common Shares underlying options that are exercisable within 60 days of October 1, 2021 held by The O’Sullivan Family Trust No. 1. Does not include 1,011,259 Common Shares underlying options that are not exercisable within 60 days of October 1, 2021 held by Mr. O’Sullivan. Anthony O’Sullivan is the sole director of JOZEM Pty Ltd. which is the trustee of The O’Sullivan Family Trust No. 1.</w:t>
      </w:r>
    </w:p>
    <w:p>
      <w:pPr>
        <w:spacing w:after="0" w:line="2" w:lineRule="exact"/>
        <w:rPr>
          <w:rFonts w:ascii="Arial" w:cs="Arial" w:eastAsia="Arial" w:hAnsi="Arial"/>
          <w:sz w:val="16"/>
          <w:szCs w:val="16"/>
          <w:color w:val="auto"/>
        </w:rPr>
      </w:pPr>
    </w:p>
    <w:p>
      <w:pPr>
        <w:ind w:left="880" w:right="499" w:hanging="426"/>
        <w:spacing w:after="0" w:line="264" w:lineRule="auto"/>
        <w:tabs>
          <w:tab w:leader="none" w:pos="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(i) 217,099 Common Shares held by Ms. Ilves, (ii) 1,362,077 Common Shares underlying options that are exercisable within 60 days of October 1, 2021 held by Ms. Ilves, and (iii) 30,682 Common Shares held of record by Ms. Ilves’ children. Does not include 1,011,259 Common Shares underlying options that are not exercisable within 60 days of October 1, 2021 held by Ms. Ilves.</w:t>
      </w:r>
    </w:p>
    <w:p>
      <w:pPr>
        <w:ind w:left="880" w:right="839" w:hanging="426"/>
        <w:spacing w:after="0" w:line="264" w:lineRule="auto"/>
        <w:tabs>
          <w:tab w:leader="none" w:pos="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308,762 Common Shares. Does not include 658,065 Common Shares underlying options that are not exercisable within 60 days of October 1, 2021 held by Mr. Shesky.</w:t>
      </w:r>
    </w:p>
    <w:p>
      <w:pPr>
        <w:ind w:left="880" w:right="599" w:hanging="426"/>
        <w:spacing w:after="0" w:line="264" w:lineRule="auto"/>
        <w:tabs>
          <w:tab w:leader="none" w:pos="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(i) 33,076 Common Shares and (ii) 1,323,613 Common Shares underlying options that are exercisable within 60 days of October 1, 2021 held by Mr. Stone. Does not include 505,630 Common Shares underlying options that are not exercisable within 60 days of October 1, 2021 held by Dr. Stone.</w:t>
      </w:r>
    </w:p>
    <w:p>
      <w:pPr>
        <w:ind w:left="880" w:right="599" w:hanging="426"/>
        <w:spacing w:after="0" w:line="264" w:lineRule="auto"/>
        <w:tabs>
          <w:tab w:leader="none" w:pos="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590,509 Common Shares underlying options that are exercisable within 60 days of October 1, 2021 held by Mr. Madsbjerg. Does not include 126,407 Common Shares underlying options that are not exercisable within 60 days of October 1, 2021 held by Mr. Madsbjerg.</w:t>
      </w:r>
    </w:p>
    <w:p>
      <w:pPr>
        <w:ind w:left="880" w:right="619" w:hanging="426"/>
        <w:spacing w:after="0" w:line="281" w:lineRule="auto"/>
        <w:tabs>
          <w:tab w:leader="none" w:pos="8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Consists of 6,669,000 Common Shares held by Sustainable Opportunities Holdings LLC, of which Scott Leonard is one of the managers and shares voting and dispositive power over the securities held by Sustainable Opportunities Holdings LLC and therefore Mr. Leonard may be deemed to be a beneficial owner thereof.</w:t>
      </w:r>
    </w:p>
    <w:p>
      <w:pPr>
        <w:spacing w:after="0" w:line="1" w:lineRule="exact"/>
        <w:rPr>
          <w:rFonts w:ascii="Arial" w:cs="Arial" w:eastAsia="Arial" w:hAnsi="Arial"/>
          <w:sz w:val="15"/>
          <w:szCs w:val="15"/>
          <w:color w:val="auto"/>
        </w:rPr>
      </w:pPr>
    </w:p>
    <w:p>
      <w:pPr>
        <w:ind w:left="880" w:right="539" w:hanging="426"/>
        <w:spacing w:after="0" w:line="264" w:lineRule="auto"/>
        <w:tabs>
          <w:tab w:leader="none" w:pos="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(i) 642,613 Common Shares underlying options that are exercisable within 60 days of October 1, 2021 held by Mr. Karkar and (ii) 39,621,909 Common Shares held by ERAS Capital LLC (“ERAS”). Does not include 126,407 Common Shares underlying options that are not exercisable within 60 days of October 1, 2021 held by Mr. Karkar. Mr. Karkar has voting and dispositive control over the securities held by ERAS and therefore Mr. Karkar may be deemed to have beneficial ownership of the shares held by ERAS.</w:t>
      </w:r>
    </w:p>
    <w:p>
      <w:pPr>
        <w:ind w:left="880" w:hanging="426"/>
        <w:spacing w:after="0"/>
        <w:tabs>
          <w:tab w:leader="none" w:pos="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See footnotes 2 through 9.</w:t>
      </w:r>
    </w:p>
    <w:p>
      <w:pPr>
        <w:spacing w:after="0" w:line="18" w:lineRule="exact"/>
        <w:rPr>
          <w:rFonts w:ascii="Arial" w:cs="Arial" w:eastAsia="Arial" w:hAnsi="Arial"/>
          <w:sz w:val="16"/>
          <w:szCs w:val="16"/>
          <w:color w:val="auto"/>
        </w:rPr>
      </w:pPr>
    </w:p>
    <w:p>
      <w:pPr>
        <w:ind w:left="880" w:right="819" w:hanging="426"/>
        <w:spacing w:after="0" w:line="264" w:lineRule="auto"/>
        <w:tabs>
          <w:tab w:leader="none" w:pos="871"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address of ERAS is 323 Marina Boulevard, San Francisco, California 94123. Andrei Karkar has voting and dispositive control over the securities held by ERAS and therefore Mr. Karkar may be deemed to have beneficial ownership of the shares held by ERAS.</w:t>
      </w:r>
    </w:p>
    <w:p>
      <w:pPr>
        <w:ind w:left="880" w:right="799" w:hanging="426"/>
        <w:spacing w:after="0" w:line="264" w:lineRule="auto"/>
        <w:tabs>
          <w:tab w:leader="none" w:pos="87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address of Maersk Supply Service A/S is Esplanaden 50 Copenhagen K, DK-1098 Denmark. Maersk Supply Service A/S is a subsidiary of AP Moller-Maersk A/S.</w:t>
      </w:r>
    </w:p>
    <w:p>
      <w:pPr>
        <w:ind w:left="880" w:right="1219" w:hanging="426"/>
        <w:spacing w:after="0" w:line="288" w:lineRule="auto"/>
        <w:tabs>
          <w:tab w:leader="none" w:pos="87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address of Allseas Group S.A. is 18 Route de Pra de Plan, Case Postale, 411 1618 Chatel-Saint-Denis, Switzerland.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48"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This prospectus relates to the possible resale by the Selling Securityholders of up 264,438,297 of our Common Shares and up to 9,500,000 Private Placement Warrants. The Selling Securityholders may from time to time offer and sell any or all of the Common Shares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Shares or Private Placement Warrants other than through a public sale. We cannot advise you as to whether the Selling Securityholders will in fact sell any or all of such Common Shares or warrants. In addition, the Selling Securityholders may sell, transfer or otherwise dispose of, at any time and from time to time, the Common Shares and warrants in transactions exempt from the prospectus or registration requirements of the Securities Act or applicable Canaidan securities law after the date of this prospectus. For purposes of this table, we have assumed that the Selling Securityholders will have sold all of the securities covered by this prospectus upon the completion of the offering.</w:t>
      </w:r>
    </w:p>
    <w:p>
      <w:pPr>
        <w:spacing w:after="0" w:line="10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following table is prepared based on information provided to us by the Selling Securityholders. It sets forth the name and address of each of the Selling Securityholders, the aggregate number of Common Shares and Private Placement Warrants that the Selling Securityholders may offer pursuant to this prospectus, and the beneficial ownership of the Selling Securityholders both before and after the offering. We have based the percentage ownership prior to this offering on 224,385,324 Common Shares and 9,500,000 Private Placement Warrants outstanding, in each case as of October 1, 2021. In calculating percentages of Common Shares owned by a particular Selling Securityholder, we treated as outstanding the number of Common Shares issuable upon exercise of that particular Selling Securityholder’s warrants or options, if any, and did not assume the exercise of any other Selling Securityholder’s warrants or options. The following tables do not reflect the beneficial ownership of any Common Shares issuable upon exercise of warrants, options or Special Shares unless such securities are exercisable or convertible within 60 days of October 1, 2021.</w:t>
      </w:r>
    </w:p>
    <w:p>
      <w:pPr>
        <w:spacing w:after="0" w:line="10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We have determined beneficial ownership in accordance with the rules of the SEC and the information is not necessarily indicative of beneficial ownership for any other purpose. The Common Shares issuable upon conversion of the Special Shares are not beneficially owned by any of the Selling Securityholders and are excluded from the beneficial ownership columns in the table below since the conversions of such Special Shares are subject to the Common Share trading price thresholds described herein. We have included a separate column for the Common Shares issuable upon conversion of the Special Shares.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84"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securities registered on its behalf. A Selling Securityholder may sell or otherwise transfer all, some or none of such securities in this offering. See “</w:t>
      </w:r>
      <w:r>
        <w:rPr>
          <w:rFonts w:ascii="Arial" w:cs="Arial" w:eastAsia="Arial" w:hAnsi="Arial"/>
          <w:sz w:val="17"/>
          <w:szCs w:val="17"/>
          <w:i w:val="1"/>
          <w:iCs w:val="1"/>
          <w:color w:val="auto"/>
        </w:rPr>
        <w:t>Plan of Distribution</w:t>
      </w:r>
      <w:r>
        <w:rPr>
          <w:rFonts w:ascii="Arial" w:cs="Arial" w:eastAsia="Arial" w:hAnsi="Arial"/>
          <w:sz w:val="17"/>
          <w:szCs w:val="17"/>
          <w:color w:val="auto"/>
        </w:rPr>
        <w: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spacing w:after="0" w:line="62" w:lineRule="exact"/>
        <w:rPr>
          <w:sz w:val="20"/>
          <w:szCs w:val="20"/>
          <w:color w:val="auto"/>
        </w:rPr>
      </w:pPr>
    </w:p>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Private Placement</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Common Shares</w:t>
            </w: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Warrants</w:t>
            </w: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1160" w:type="dxa"/>
            <w:vAlign w:val="bottom"/>
            <w:gridSpan w:val="2"/>
          </w:tcPr>
          <w:p>
            <w:pPr>
              <w:jc w:val="center"/>
              <w:ind w:right="8"/>
              <w:spacing w:after="0"/>
              <w:rPr>
                <w:sz w:val="20"/>
                <w:szCs w:val="20"/>
                <w:color w:val="auto"/>
              </w:rPr>
            </w:pPr>
            <w:r>
              <w:rPr>
                <w:rFonts w:ascii="Arial" w:cs="Arial" w:eastAsia="Arial" w:hAnsi="Arial"/>
                <w:sz w:val="13"/>
                <w:szCs w:val="13"/>
                <w:b w:val="1"/>
                <w:bCs w:val="1"/>
                <w:color w:val="auto"/>
                <w:w w:val="85"/>
              </w:rPr>
              <w:t>Common Shares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2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Private Placement</w:t>
            </w:r>
          </w:p>
        </w:tc>
        <w:tc>
          <w:tcPr>
            <w:tcW w:w="7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89"/>
              </w:rPr>
              <w:t>Number of</w:t>
            </w:r>
          </w:p>
        </w:tc>
        <w:tc>
          <w:tcPr>
            <w:tcW w:w="12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8"/>
              </w:rPr>
              <w:t>Beneficially Owned</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Beneficially</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160" w:type="dxa"/>
            <w:vAlign w:val="bottom"/>
            <w:gridSpan w:val="2"/>
          </w:tcPr>
          <w:p>
            <w:pPr>
              <w:jc w:val="center"/>
              <w:ind w:right="8"/>
              <w:spacing w:after="0" w:line="135" w:lineRule="exact"/>
              <w:rPr>
                <w:sz w:val="20"/>
                <w:szCs w:val="20"/>
                <w:color w:val="auto"/>
              </w:rPr>
            </w:pPr>
            <w:r>
              <w:rPr>
                <w:rFonts w:ascii="Arial" w:cs="Arial" w:eastAsia="Arial" w:hAnsi="Arial"/>
                <w:sz w:val="13"/>
                <w:szCs w:val="13"/>
                <w:b w:val="1"/>
                <w:bCs w:val="1"/>
                <w:color w:val="auto"/>
                <w:w w:val="87"/>
              </w:rPr>
              <w:t>Beneficially Owned</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Issuable</w:t>
            </w:r>
          </w:p>
        </w:tc>
        <w:tc>
          <w:tcPr>
            <w:tcW w:w="1920" w:type="dxa"/>
            <w:vAlign w:val="bottom"/>
            <w:gridSpan w:val="5"/>
          </w:tcPr>
          <w:p>
            <w:pPr>
              <w:spacing w:after="0" w:line="135" w:lineRule="exact"/>
              <w:rPr>
                <w:sz w:val="20"/>
                <w:szCs w:val="20"/>
                <w:color w:val="auto"/>
              </w:rPr>
            </w:pPr>
            <w:r>
              <w:rPr>
                <w:rFonts w:ascii="Arial" w:cs="Arial" w:eastAsia="Arial" w:hAnsi="Arial"/>
                <w:sz w:val="9"/>
                <w:szCs w:val="9"/>
                <w:b w:val="1"/>
                <w:bCs w:val="1"/>
                <w:color w:val="auto"/>
              </w:rPr>
              <w:t xml:space="preserve">Warrants Beneficially </w:t>
            </w:r>
            <w:r>
              <w:rPr>
                <w:rFonts w:ascii="Arial" w:cs="Arial" w:eastAsia="Arial" w:hAnsi="Arial"/>
                <w:sz w:val="15"/>
                <w:szCs w:val="15"/>
                <w:b w:val="1"/>
                <w:bCs w:val="1"/>
                <w:color w:val="auto"/>
                <w:vertAlign w:val="subscript"/>
              </w:rPr>
              <w:t>Number of</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Private</w:t>
            </w:r>
          </w:p>
        </w:tc>
        <w:tc>
          <w:tcPr>
            <w:tcW w:w="120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After the Offered</w:t>
            </w: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Owned After the</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1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Prior to</w:t>
            </w:r>
          </w:p>
        </w:tc>
        <w:tc>
          <w:tcPr>
            <w:tcW w:w="7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0"/>
              </w:rPr>
              <w:t>Upon</w:t>
            </w:r>
          </w:p>
        </w:tc>
        <w:tc>
          <w:tcPr>
            <w:tcW w:w="1200" w:type="dxa"/>
            <w:vAlign w:val="bottom"/>
            <w:gridSpan w:val="4"/>
          </w:tcPr>
          <w:p>
            <w:pPr>
              <w:jc w:val="center"/>
              <w:ind w:right="8"/>
              <w:spacing w:after="0" w:line="135" w:lineRule="exact"/>
              <w:rPr>
                <w:sz w:val="20"/>
                <w:szCs w:val="20"/>
                <w:color w:val="auto"/>
              </w:rPr>
            </w:pPr>
            <w:r>
              <w:rPr>
                <w:rFonts w:ascii="Arial" w:cs="Arial" w:eastAsia="Arial" w:hAnsi="Arial"/>
                <w:sz w:val="13"/>
                <w:szCs w:val="13"/>
                <w:b w:val="1"/>
                <w:bCs w:val="1"/>
                <w:color w:val="auto"/>
                <w:w w:val="87"/>
              </w:rPr>
              <w:t>Owned prior to this</w:t>
            </w:r>
          </w:p>
        </w:tc>
        <w:tc>
          <w:tcPr>
            <w:tcW w:w="72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Common</w:t>
            </w:r>
          </w:p>
        </w:tc>
        <w:tc>
          <w:tcPr>
            <w:tcW w:w="660" w:type="dxa"/>
            <w:vAlign w:val="bottom"/>
          </w:tcPr>
          <w:p>
            <w:pPr>
              <w:jc w:val="right"/>
              <w:ind w:right="9"/>
              <w:spacing w:after="0" w:line="135" w:lineRule="exact"/>
              <w:rPr>
                <w:sz w:val="20"/>
                <w:szCs w:val="20"/>
                <w:color w:val="auto"/>
              </w:rPr>
            </w:pPr>
            <w:r>
              <w:rPr>
                <w:rFonts w:ascii="Arial" w:cs="Arial" w:eastAsia="Arial" w:hAnsi="Arial"/>
                <w:sz w:val="13"/>
                <w:szCs w:val="13"/>
                <w:b w:val="1"/>
                <w:bCs w:val="1"/>
                <w:color w:val="auto"/>
                <w:w w:val="86"/>
              </w:rPr>
              <w:t>Placement</w:t>
            </w:r>
          </w:p>
        </w:tc>
        <w:tc>
          <w:tcPr>
            <w:tcW w:w="120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Common Shares</w:t>
            </w: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Offered Warrants</w:t>
            </w:r>
          </w:p>
        </w:tc>
        <w:tc>
          <w:tcPr>
            <w:tcW w:w="0" w:type="dxa"/>
            <w:vAlign w:val="bottom"/>
          </w:tcPr>
          <w:p>
            <w:pPr>
              <w:spacing w:after="0"/>
              <w:rPr>
                <w:sz w:val="1"/>
                <w:szCs w:val="1"/>
                <w:color w:val="auto"/>
              </w:rPr>
            </w:pPr>
          </w:p>
        </w:tc>
      </w:tr>
      <w:tr>
        <w:trPr>
          <w:trHeight w:val="144"/>
        </w:trPr>
        <w:tc>
          <w:tcPr>
            <w:tcW w:w="1420" w:type="dxa"/>
            <w:vAlign w:val="bottom"/>
          </w:tcPr>
          <w:p>
            <w:pPr>
              <w:spacing w:after="0"/>
              <w:rPr>
                <w:sz w:val="12"/>
                <w:szCs w:val="12"/>
                <w:color w:val="auto"/>
              </w:rPr>
            </w:pPr>
          </w:p>
        </w:tc>
        <w:tc>
          <w:tcPr>
            <w:tcW w:w="1160" w:type="dxa"/>
            <w:vAlign w:val="bottom"/>
            <w:gridSpan w:val="2"/>
          </w:tcPr>
          <w:p>
            <w:pPr>
              <w:jc w:val="center"/>
              <w:ind w:right="8"/>
              <w:spacing w:after="0" w:line="144" w:lineRule="exact"/>
              <w:rPr>
                <w:sz w:val="20"/>
                <w:szCs w:val="20"/>
                <w:color w:val="auto"/>
              </w:rPr>
            </w:pPr>
            <w:r>
              <w:rPr>
                <w:rFonts w:ascii="Arial" w:cs="Arial" w:eastAsia="Arial" w:hAnsi="Arial"/>
                <w:sz w:val="13"/>
                <w:szCs w:val="13"/>
                <w:b w:val="1"/>
                <w:bCs w:val="1"/>
                <w:color w:val="auto"/>
                <w:w w:val="87"/>
              </w:rPr>
              <w:t>this Offering</w:t>
            </w:r>
          </w:p>
        </w:tc>
        <w:tc>
          <w:tcPr>
            <w:tcW w:w="700" w:type="dxa"/>
            <w:vAlign w:val="bottom"/>
          </w:tcPr>
          <w:p>
            <w:pPr>
              <w:jc w:val="center"/>
              <w:ind w:right="9"/>
              <w:spacing w:after="0" w:line="144" w:lineRule="exact"/>
              <w:rPr>
                <w:sz w:val="20"/>
                <w:szCs w:val="20"/>
                <w:color w:val="auto"/>
              </w:rPr>
            </w:pPr>
            <w:r>
              <w:rPr>
                <w:rFonts w:ascii="Arial" w:cs="Arial" w:eastAsia="Arial" w:hAnsi="Arial"/>
                <w:sz w:val="13"/>
                <w:szCs w:val="13"/>
                <w:b w:val="1"/>
                <w:bCs w:val="1"/>
                <w:color w:val="auto"/>
                <w:w w:val="86"/>
              </w:rPr>
              <w:t>Conversion</w:t>
            </w:r>
          </w:p>
        </w:tc>
        <w:tc>
          <w:tcPr>
            <w:tcW w:w="900" w:type="dxa"/>
            <w:vAlign w:val="bottom"/>
            <w:gridSpan w:val="3"/>
          </w:tcPr>
          <w:p>
            <w:pPr>
              <w:jc w:val="center"/>
              <w:ind w:left="169"/>
              <w:spacing w:after="0" w:line="144" w:lineRule="exact"/>
              <w:rPr>
                <w:sz w:val="20"/>
                <w:szCs w:val="20"/>
                <w:color w:val="auto"/>
              </w:rPr>
            </w:pPr>
            <w:r>
              <w:rPr>
                <w:rFonts w:ascii="Arial" w:cs="Arial" w:eastAsia="Arial" w:hAnsi="Arial"/>
                <w:sz w:val="13"/>
                <w:szCs w:val="13"/>
                <w:b w:val="1"/>
                <w:bCs w:val="1"/>
                <w:color w:val="auto"/>
                <w:w w:val="90"/>
              </w:rPr>
              <w:t>Offering</w:t>
            </w:r>
          </w:p>
        </w:tc>
        <w:tc>
          <w:tcPr>
            <w:tcW w:w="300" w:type="dxa"/>
            <w:vAlign w:val="bottom"/>
          </w:tcPr>
          <w:p>
            <w:pPr>
              <w:spacing w:after="0"/>
              <w:rPr>
                <w:sz w:val="12"/>
                <w:szCs w:val="12"/>
                <w:color w:val="auto"/>
              </w:rPr>
            </w:pPr>
          </w:p>
        </w:tc>
        <w:tc>
          <w:tcPr>
            <w:tcW w:w="720" w:type="dxa"/>
            <w:vAlign w:val="bottom"/>
          </w:tcPr>
          <w:p>
            <w:pPr>
              <w:jc w:val="center"/>
              <w:ind w:right="9"/>
              <w:spacing w:after="0" w:line="144" w:lineRule="exact"/>
              <w:rPr>
                <w:sz w:val="20"/>
                <w:szCs w:val="20"/>
                <w:color w:val="auto"/>
              </w:rPr>
            </w:pPr>
            <w:r>
              <w:rPr>
                <w:rFonts w:ascii="Arial" w:cs="Arial" w:eastAsia="Arial" w:hAnsi="Arial"/>
                <w:sz w:val="13"/>
                <w:szCs w:val="13"/>
                <w:b w:val="1"/>
                <w:bCs w:val="1"/>
                <w:color w:val="auto"/>
                <w:w w:val="82"/>
              </w:rPr>
              <w:t>Shares</w:t>
            </w:r>
          </w:p>
        </w:tc>
        <w:tc>
          <w:tcPr>
            <w:tcW w:w="660" w:type="dxa"/>
            <w:vAlign w:val="bottom"/>
          </w:tcPr>
          <w:p>
            <w:pPr>
              <w:jc w:val="right"/>
              <w:ind w:right="29"/>
              <w:spacing w:after="0" w:line="144" w:lineRule="exact"/>
              <w:rPr>
                <w:sz w:val="20"/>
                <w:szCs w:val="20"/>
                <w:color w:val="auto"/>
              </w:rPr>
            </w:pPr>
            <w:r>
              <w:rPr>
                <w:rFonts w:ascii="Arial" w:cs="Arial" w:eastAsia="Arial" w:hAnsi="Arial"/>
                <w:sz w:val="13"/>
                <w:szCs w:val="13"/>
                <w:b w:val="1"/>
                <w:bCs w:val="1"/>
                <w:color w:val="auto"/>
                <w:w w:val="95"/>
              </w:rPr>
              <w:t>Warrants</w:t>
            </w:r>
          </w:p>
        </w:tc>
        <w:tc>
          <w:tcPr>
            <w:tcW w:w="120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85"/>
              </w:rPr>
              <w:t>are Sold</w:t>
            </w:r>
          </w:p>
        </w:tc>
        <w:tc>
          <w:tcPr>
            <w:tcW w:w="10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5"/>
              </w:rPr>
              <w:t>are Sold</w:t>
            </w:r>
          </w:p>
        </w:tc>
        <w:tc>
          <w:tcPr>
            <w:tcW w:w="0" w:type="dxa"/>
            <w:vAlign w:val="bottom"/>
          </w:tcPr>
          <w:p>
            <w:pPr>
              <w:spacing w:after="0"/>
              <w:rPr>
                <w:sz w:val="1"/>
                <w:szCs w:val="1"/>
                <w:color w:val="auto"/>
              </w:rPr>
            </w:pPr>
          </w:p>
        </w:tc>
      </w:tr>
      <w:tr>
        <w:trPr>
          <w:trHeight w:val="32"/>
        </w:trPr>
        <w:tc>
          <w:tcPr>
            <w:tcW w:w="1420" w:type="dxa"/>
            <w:vAlign w:val="bottom"/>
            <w:vMerge w:val="restart"/>
          </w:tcPr>
          <w:p>
            <w:pPr>
              <w:spacing w:after="0"/>
              <w:rPr>
                <w:sz w:val="20"/>
                <w:szCs w:val="20"/>
                <w:color w:val="auto"/>
              </w:rPr>
            </w:pPr>
            <w:r>
              <w:rPr>
                <w:rFonts w:ascii="Arial" w:cs="Arial" w:eastAsia="Arial" w:hAnsi="Arial"/>
                <w:sz w:val="13"/>
                <w:szCs w:val="13"/>
                <w:b w:val="1"/>
                <w:bCs w:val="1"/>
                <w:color w:val="auto"/>
                <w:w w:val="88"/>
              </w:rPr>
              <w:t>Selling Securityholders</w:t>
            </w:r>
            <w:r>
              <w:rPr>
                <w:rFonts w:ascii="Arial" w:cs="Arial" w:eastAsia="Arial" w:hAnsi="Arial"/>
                <w:sz w:val="14"/>
                <w:szCs w:val="14"/>
                <w:b w:val="1"/>
                <w:bCs w:val="1"/>
                <w:color w:val="auto"/>
                <w:w w:val="88"/>
                <w:vertAlign w:val="superscript"/>
              </w:rPr>
              <w:t>(1)</w:t>
            </w: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of Special</w:t>
            </w: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vMerge w:val="restart"/>
          </w:tcPr>
          <w:p>
            <w:pPr>
              <w:jc w:val="center"/>
              <w:ind w:right="9"/>
              <w:spacing w:after="0" w:line="135" w:lineRule="exact"/>
              <w:rPr>
                <w:sz w:val="20"/>
                <w:szCs w:val="20"/>
                <w:color w:val="auto"/>
              </w:rPr>
            </w:pPr>
            <w:r>
              <w:rPr>
                <w:rFonts w:ascii="Arial" w:cs="Arial" w:eastAsia="Arial" w:hAnsi="Arial"/>
                <w:sz w:val="13"/>
                <w:szCs w:val="13"/>
                <w:b w:val="1"/>
                <w:bCs w:val="1"/>
                <w:color w:val="auto"/>
                <w:w w:val="88"/>
              </w:rPr>
              <w:t>Being</w:t>
            </w:r>
          </w:p>
        </w:tc>
        <w:tc>
          <w:tcPr>
            <w:tcW w:w="6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Being</w:t>
            </w: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420" w:type="dxa"/>
            <w:vAlign w:val="bottom"/>
            <w:vMerge w:val="continue"/>
          </w:tcPr>
          <w:p>
            <w:pPr>
              <w:spacing w:after="0"/>
              <w:rPr>
                <w:sz w:val="16"/>
                <w:szCs w:val="16"/>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79"/>
              </w:rPr>
              <w:t>Percent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200" w:type="dxa"/>
            <w:vAlign w:val="bottom"/>
            <w:gridSpan w:val="4"/>
          </w:tcPr>
          <w:p>
            <w:pPr>
              <w:jc w:val="center"/>
              <w:ind w:right="8"/>
              <w:spacing w:after="0"/>
              <w:rPr>
                <w:sz w:val="20"/>
                <w:szCs w:val="20"/>
                <w:color w:val="auto"/>
              </w:rPr>
            </w:pPr>
            <w:r>
              <w:rPr>
                <w:rFonts w:ascii="Arial" w:cs="Arial" w:eastAsia="Arial" w:hAnsi="Arial"/>
                <w:sz w:val="13"/>
                <w:szCs w:val="13"/>
                <w:b w:val="1"/>
                <w:bCs w:val="1"/>
                <w:color w:val="auto"/>
                <w:w w:val="93"/>
              </w:rPr>
              <w:t>Warrants   Percent</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Offered</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Offered</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w w:val="93"/>
              </w:rPr>
              <w:t>Percent  Warrants</w:t>
            </w:r>
          </w:p>
        </w:tc>
        <w:tc>
          <w:tcPr>
            <w:tcW w:w="460" w:type="dxa"/>
            <w:vAlign w:val="bottom"/>
          </w:tcPr>
          <w:p>
            <w:pPr>
              <w:ind w:left="20"/>
              <w:spacing w:after="0"/>
              <w:rPr>
                <w:sz w:val="20"/>
                <w:szCs w:val="20"/>
                <w:color w:val="auto"/>
              </w:rPr>
            </w:pPr>
            <w:r>
              <w:rPr>
                <w:rFonts w:ascii="Arial" w:cs="Arial" w:eastAsia="Arial" w:hAnsi="Arial"/>
                <w:sz w:val="13"/>
                <w:szCs w:val="13"/>
                <w:b w:val="1"/>
                <w:bCs w:val="1"/>
                <w:color w:val="auto"/>
                <w:w w:val="87"/>
              </w:rPr>
              <w:t>Percent</w:t>
            </w:r>
          </w:p>
        </w:tc>
        <w:tc>
          <w:tcPr>
            <w:tcW w:w="0" w:type="dxa"/>
            <w:vAlign w:val="bottom"/>
          </w:tcPr>
          <w:p>
            <w:pPr>
              <w:spacing w:after="0"/>
              <w:rPr>
                <w:sz w:val="1"/>
                <w:szCs w:val="1"/>
                <w:color w:val="auto"/>
              </w:rPr>
            </w:pPr>
          </w:p>
        </w:tc>
      </w:tr>
      <w:tr>
        <w:trPr>
          <w:trHeight w:val="23"/>
        </w:trPr>
        <w:tc>
          <w:tcPr>
            <w:tcW w:w="142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Gerard Barron</w:t>
            </w:r>
            <w:r>
              <w:rPr>
                <w:rFonts w:ascii="Arial" w:cs="Arial" w:eastAsia="Arial" w:hAnsi="Arial"/>
                <w:sz w:val="14"/>
                <w:szCs w:val="14"/>
                <w:color w:val="auto"/>
                <w:vertAlign w:val="superscript"/>
              </w:rPr>
              <w:t>(2)</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18,287,796</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8,370,973</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22,580,725</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4,078,044</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23"/>
                <w:szCs w:val="23"/>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Andrei Karkar</w:t>
            </w:r>
            <w:r>
              <w:rPr>
                <w:rFonts w:ascii="Arial" w:cs="Arial" w:eastAsia="Arial" w:hAnsi="Arial"/>
                <w:sz w:val="14"/>
                <w:szCs w:val="14"/>
                <w:color w:val="auto"/>
                <w:vertAlign w:val="superscript"/>
              </w:rPr>
              <w:t>(3)</w:t>
            </w:r>
          </w:p>
        </w:tc>
        <w:tc>
          <w:tcPr>
            <w:tcW w:w="700" w:type="dxa"/>
            <w:vAlign w:val="bottom"/>
          </w:tcPr>
          <w:p>
            <w:pPr>
              <w:jc w:val="right"/>
              <w:spacing w:after="0"/>
              <w:rPr>
                <w:sz w:val="20"/>
                <w:szCs w:val="20"/>
                <w:color w:val="auto"/>
              </w:rPr>
            </w:pPr>
            <w:r>
              <w:rPr>
                <w:rFonts w:ascii="Arial" w:cs="Arial" w:eastAsia="Arial" w:hAnsi="Arial"/>
                <w:sz w:val="14"/>
                <w:szCs w:val="14"/>
                <w:color w:val="auto"/>
                <w:w w:val="88"/>
              </w:rPr>
              <w:t>40,264,522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w w:val="94"/>
              </w:rPr>
              <w:t>17.9% 23,341,299</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62,963,208</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642,613</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Paul Matysek</w:t>
            </w:r>
            <w:r>
              <w:rPr>
                <w:rFonts w:ascii="Arial" w:cs="Arial" w:eastAsia="Arial" w:hAnsi="Arial"/>
                <w:sz w:val="14"/>
                <w:szCs w:val="14"/>
                <w:color w:val="auto"/>
                <w:vertAlign w:val="superscript"/>
              </w:rPr>
              <w:t>(4)</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2,425,858</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720,326</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1,943,083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584,720</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Brian Paes-Braga</w:t>
            </w:r>
            <w:r>
              <w:rPr>
                <w:rFonts w:ascii="Arial" w:cs="Arial" w:eastAsia="Arial" w:hAnsi="Arial"/>
                <w:sz w:val="14"/>
                <w:szCs w:val="14"/>
                <w:color w:val="auto"/>
                <w:vertAlign w:val="superscript"/>
              </w:rPr>
              <w:t>(5)</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3,242,503</w:t>
            </w:r>
          </w:p>
        </w:tc>
        <w:tc>
          <w:tcPr>
            <w:tcW w:w="460" w:type="dxa"/>
            <w:vAlign w:val="bottom"/>
          </w:tcPr>
          <w:p>
            <w:pPr>
              <w:jc w:val="right"/>
              <w:spacing w:after="0"/>
              <w:rPr>
                <w:sz w:val="20"/>
                <w:szCs w:val="20"/>
                <w:color w:val="auto"/>
              </w:rPr>
            </w:pPr>
            <w:r>
              <w:rPr>
                <w:rFonts w:ascii="Arial" w:cs="Arial" w:eastAsia="Arial" w:hAnsi="Arial"/>
                <w:sz w:val="14"/>
                <w:szCs w:val="14"/>
                <w:color w:val="auto"/>
              </w:rPr>
              <w:t>1.4%</w:t>
            </w:r>
          </w:p>
        </w:tc>
        <w:tc>
          <w:tcPr>
            <w:tcW w:w="700" w:type="dxa"/>
            <w:vAlign w:val="bottom"/>
          </w:tcPr>
          <w:p>
            <w:pPr>
              <w:jc w:val="right"/>
              <w:spacing w:after="0"/>
              <w:rPr>
                <w:sz w:val="20"/>
                <w:szCs w:val="20"/>
                <w:color w:val="auto"/>
              </w:rPr>
            </w:pPr>
            <w:r>
              <w:rPr>
                <w:rFonts w:ascii="Arial" w:cs="Arial" w:eastAsia="Arial" w:hAnsi="Arial"/>
                <w:sz w:val="14"/>
                <w:szCs w:val="14"/>
                <w:color w:val="auto"/>
              </w:rPr>
              <w:t>341,044</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919,975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Dr. Gregory Stone</w:t>
            </w:r>
            <w:r>
              <w:rPr>
                <w:rFonts w:ascii="Arial" w:cs="Arial" w:eastAsia="Arial" w:hAnsi="Arial"/>
                <w:sz w:val="14"/>
                <w:szCs w:val="14"/>
                <w:color w:val="auto"/>
                <w:vertAlign w:val="superscript"/>
              </w:rPr>
              <w:t>(6)</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1,356,689</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19,482</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52,558</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1,323,613</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Erika Ilves</w:t>
            </w:r>
            <w:r>
              <w:rPr>
                <w:rFonts w:ascii="Arial" w:cs="Arial" w:eastAsia="Arial" w:hAnsi="Arial"/>
                <w:sz w:val="14"/>
                <w:szCs w:val="14"/>
                <w:color w:val="auto"/>
                <w:vertAlign w:val="superscript"/>
              </w:rPr>
              <w:t>(7)</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1,609,858</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127,890</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344,989</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 1,362,077</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Craig Shesky</w:t>
            </w:r>
            <w:r>
              <w:rPr>
                <w:rFonts w:ascii="Arial" w:cs="Arial" w:eastAsia="Arial" w:hAnsi="Arial"/>
                <w:sz w:val="14"/>
                <w:szCs w:val="14"/>
                <w:color w:val="auto"/>
                <w:vertAlign w:val="superscript"/>
              </w:rPr>
              <w:t>(8)</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308,762</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181,887</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490,649</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Maersk Supply</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Service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A/S</w:t>
            </w:r>
            <w:r>
              <w:rPr>
                <w:rFonts w:ascii="Arial" w:cs="Arial" w:eastAsia="Arial" w:hAnsi="Arial"/>
                <w:sz w:val="14"/>
                <w:szCs w:val="14"/>
                <w:color w:val="auto"/>
                <w:vertAlign w:val="superscript"/>
              </w:rPr>
              <w:t>(9)</w:t>
            </w:r>
          </w:p>
        </w:tc>
        <w:tc>
          <w:tcPr>
            <w:tcW w:w="700" w:type="dxa"/>
            <w:vAlign w:val="bottom"/>
          </w:tcPr>
          <w:p>
            <w:pPr>
              <w:jc w:val="right"/>
              <w:spacing w:after="0"/>
              <w:rPr>
                <w:sz w:val="20"/>
                <w:szCs w:val="20"/>
                <w:color w:val="auto"/>
              </w:rPr>
            </w:pPr>
            <w:r>
              <w:rPr>
                <w:rFonts w:ascii="Arial" w:cs="Arial" w:eastAsia="Arial" w:hAnsi="Arial"/>
                <w:sz w:val="14"/>
                <w:szCs w:val="14"/>
                <w:color w:val="auto"/>
                <w:w w:val="88"/>
              </w:rPr>
              <w:t>20,820,816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9.3% 12,265,560</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33,086,376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2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JOZEM Pty Ltd as</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trustee</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of the O’Sullivan</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Family</w:t>
            </w:r>
          </w:p>
        </w:tc>
        <w:tc>
          <w:tcPr>
            <w:tcW w:w="7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Trust No. 1</w:t>
            </w:r>
            <w:r>
              <w:rPr>
                <w:rFonts w:ascii="Arial" w:cs="Arial" w:eastAsia="Arial" w:hAnsi="Arial"/>
                <w:sz w:val="14"/>
                <w:szCs w:val="14"/>
                <w:color w:val="auto"/>
                <w:vertAlign w:val="superscript"/>
              </w:rPr>
              <w:t>(10)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575,110</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338,796</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913,906</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WTP Capital Corp.</w:t>
            </w:r>
            <w:r>
              <w:rPr>
                <w:rFonts w:ascii="Arial" w:cs="Arial" w:eastAsia="Arial" w:hAnsi="Arial"/>
                <w:sz w:val="14"/>
                <w:szCs w:val="14"/>
                <w:color w:val="auto"/>
                <w:vertAlign w:val="superscript"/>
              </w:rPr>
              <w:t>(11)</w:t>
            </w:r>
          </w:p>
        </w:tc>
        <w:tc>
          <w:tcPr>
            <w:tcW w:w="700" w:type="dxa"/>
            <w:vAlign w:val="bottom"/>
          </w:tcPr>
          <w:p>
            <w:pPr>
              <w:jc w:val="right"/>
              <w:spacing w:after="0"/>
              <w:rPr>
                <w:sz w:val="20"/>
                <w:szCs w:val="20"/>
                <w:color w:val="auto"/>
              </w:rPr>
            </w:pPr>
            <w:r>
              <w:rPr>
                <w:rFonts w:ascii="Arial" w:cs="Arial" w:eastAsia="Arial" w:hAnsi="Arial"/>
                <w:sz w:val="14"/>
                <w:szCs w:val="14"/>
                <w:color w:val="auto"/>
              </w:rPr>
              <w:t>57,893</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34,101</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91,994</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5"/>
        </w:trPr>
        <w:tc>
          <w:tcPr>
            <w:tcW w:w="1420" w:type="dxa"/>
            <w:vAlign w:val="bottom"/>
            <w:tcBorders>
              <w:right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Valola Holdings Corp.</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2,605,679</w:t>
            </w: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1,535,004</w:t>
            </w:r>
          </w:p>
        </w:tc>
        <w:tc>
          <w:tcPr>
            <w:tcW w:w="900" w:type="dxa"/>
            <w:vAlign w:val="bottom"/>
            <w:gridSpan w:val="3"/>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vMerge w:val="restart"/>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4,140,683</w:t>
            </w: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70"/>
        </w:trPr>
        <w:tc>
          <w:tcPr>
            <w:tcW w:w="142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7"/>
                <w:szCs w:val="7"/>
                <w:color w:val="auto"/>
              </w:rPr>
              <w:t>(12)</w:t>
            </w:r>
          </w:p>
        </w:tc>
        <w:tc>
          <w:tcPr>
            <w:tcW w:w="700" w:type="dxa"/>
            <w:vAlign w:val="bottom"/>
            <w:tcBorders>
              <w:right w:val="single" w:sz="8" w:color="CCEEFF"/>
            </w:tcBorders>
            <w:vMerge w:val="continue"/>
            <w:shd w:val="clear" w:color="auto" w:fill="CCEEFF"/>
          </w:tcPr>
          <w:p>
            <w:pPr>
              <w:spacing w:after="0"/>
              <w:rPr>
                <w:sz w:val="6"/>
                <w:szCs w:val="6"/>
                <w:color w:val="auto"/>
              </w:rPr>
            </w:pPr>
          </w:p>
        </w:tc>
        <w:tc>
          <w:tcPr>
            <w:tcW w:w="460" w:type="dxa"/>
            <w:vAlign w:val="bottom"/>
            <w:tcBorders>
              <w:right w:val="single" w:sz="8" w:color="CCEEFF"/>
            </w:tcBorders>
            <w:vMerge w:val="continue"/>
            <w:shd w:val="clear" w:color="auto" w:fill="CCEEFF"/>
          </w:tcPr>
          <w:p>
            <w:pPr>
              <w:spacing w:after="0"/>
              <w:rPr>
                <w:sz w:val="6"/>
                <w:szCs w:val="6"/>
                <w:color w:val="auto"/>
              </w:rPr>
            </w:pPr>
          </w:p>
        </w:tc>
        <w:tc>
          <w:tcPr>
            <w:tcW w:w="700" w:type="dxa"/>
            <w:vAlign w:val="bottom"/>
            <w:tcBorders>
              <w:right w:val="single" w:sz="8" w:color="CCEEFF"/>
            </w:tcBorders>
            <w:vMerge w:val="continue"/>
            <w:shd w:val="clear" w:color="auto" w:fill="CCEEFF"/>
          </w:tcPr>
          <w:p>
            <w:pPr>
              <w:spacing w:after="0"/>
              <w:rPr>
                <w:sz w:val="6"/>
                <w:szCs w:val="6"/>
                <w:color w:val="auto"/>
              </w:rPr>
            </w:pPr>
          </w:p>
        </w:tc>
        <w:tc>
          <w:tcPr>
            <w:tcW w:w="900" w:type="dxa"/>
            <w:vAlign w:val="bottom"/>
            <w:gridSpan w:val="3"/>
            <w:vMerge w:val="continue"/>
            <w:shd w:val="clear" w:color="auto" w:fill="CCEEFF"/>
          </w:tcPr>
          <w:p>
            <w:pPr>
              <w:spacing w:after="0"/>
              <w:rPr>
                <w:sz w:val="6"/>
                <w:szCs w:val="6"/>
                <w:color w:val="auto"/>
              </w:rPr>
            </w:pPr>
          </w:p>
        </w:tc>
        <w:tc>
          <w:tcPr>
            <w:tcW w:w="300" w:type="dxa"/>
            <w:vAlign w:val="bottom"/>
            <w:tcBorders>
              <w:right w:val="single" w:sz="8" w:color="CCEEFF"/>
            </w:tcBorders>
            <w:vMerge w:val="continue"/>
            <w:shd w:val="clear" w:color="auto" w:fill="CCEEFF"/>
          </w:tcPr>
          <w:p>
            <w:pPr>
              <w:spacing w:after="0"/>
              <w:rPr>
                <w:sz w:val="6"/>
                <w:szCs w:val="6"/>
                <w:color w:val="auto"/>
              </w:rPr>
            </w:pPr>
          </w:p>
        </w:tc>
        <w:tc>
          <w:tcPr>
            <w:tcW w:w="720" w:type="dxa"/>
            <w:vAlign w:val="bottom"/>
            <w:tcBorders>
              <w:right w:val="single" w:sz="8" w:color="CCEEFF"/>
            </w:tcBorders>
            <w:vMerge w:val="continue"/>
            <w:shd w:val="clear" w:color="auto" w:fill="CCEEFF"/>
          </w:tcPr>
          <w:p>
            <w:pPr>
              <w:spacing w:after="0"/>
              <w:rPr>
                <w:sz w:val="6"/>
                <w:szCs w:val="6"/>
                <w:color w:val="auto"/>
              </w:rPr>
            </w:pPr>
          </w:p>
        </w:tc>
        <w:tc>
          <w:tcPr>
            <w:tcW w:w="660" w:type="dxa"/>
            <w:vAlign w:val="bottom"/>
            <w:tcBorders>
              <w:right w:val="single" w:sz="8" w:color="CCEEFF"/>
            </w:tcBorders>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580" w:type="dxa"/>
            <w:vAlign w:val="bottom"/>
            <w:tcBorders>
              <w:right w:val="single" w:sz="8" w:color="CCEEFF"/>
            </w:tcBorders>
            <w:vMerge w:val="continue"/>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420" w:type="dxa"/>
            <w:vAlign w:val="bottom"/>
            <w:tcBorders>
              <w:right w:val="single" w:sz="8" w:color="CCEEFF"/>
            </w:tcBorders>
            <w:vMerge w:val="continue"/>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420" w:type="dxa"/>
            <w:vAlign w:val="bottom"/>
            <w:tcBorders>
              <w:right w:val="single" w:sz="8" w:color="CCEEFF"/>
            </w:tcBorders>
            <w:shd w:val="clear" w:color="auto" w:fill="CCEEFF"/>
          </w:tcPr>
          <w:p>
            <w:pPr>
              <w:spacing w:after="0"/>
              <w:rPr>
                <w:sz w:val="7"/>
                <w:szCs w:val="7"/>
                <w:color w:val="auto"/>
              </w:rPr>
            </w:pPr>
          </w:p>
        </w:tc>
        <w:tc>
          <w:tcPr>
            <w:tcW w:w="70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7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720" w:type="dxa"/>
            <w:vAlign w:val="bottom"/>
            <w:tcBorders>
              <w:right w:val="single" w:sz="8" w:color="CCEEFF"/>
            </w:tcBorders>
            <w:shd w:val="clear" w:color="auto" w:fill="CCEEFF"/>
          </w:tcPr>
          <w:p>
            <w:pPr>
              <w:spacing w:after="0"/>
              <w:rPr>
                <w:sz w:val="7"/>
                <w:szCs w:val="7"/>
                <w:color w:val="auto"/>
              </w:rPr>
            </w:pPr>
          </w:p>
        </w:tc>
        <w:tc>
          <w:tcPr>
            <w:tcW w:w="660" w:type="dxa"/>
            <w:vAlign w:val="bottom"/>
            <w:tcBorders>
              <w:right w:val="single" w:sz="8" w:color="CCEEFF"/>
            </w:tcBorders>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Tayla Saad</w:t>
            </w:r>
            <w:r>
              <w:rPr>
                <w:rFonts w:ascii="Arial" w:cs="Arial" w:eastAsia="Arial" w:hAnsi="Arial"/>
                <w:sz w:val="14"/>
                <w:szCs w:val="14"/>
                <w:color w:val="auto"/>
                <w:vertAlign w:val="superscript"/>
              </w:rPr>
              <w:t>(13)</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1,736,793</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1,023,143</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2,759,936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3"/>
        </w:trPr>
        <w:tc>
          <w:tcPr>
            <w:tcW w:w="1420" w:type="dxa"/>
            <w:vAlign w:val="bottom"/>
            <w:tcBorders>
              <w:right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Bedrock Capital</w:t>
            </w:r>
          </w:p>
        </w:tc>
        <w:tc>
          <w:tcPr>
            <w:tcW w:w="70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Corp</w:t>
            </w:r>
            <w:r>
              <w:rPr>
                <w:rFonts w:ascii="Arial" w:cs="Arial" w:eastAsia="Arial" w:hAnsi="Arial"/>
                <w:sz w:val="14"/>
                <w:szCs w:val="14"/>
                <w:color w:val="auto"/>
                <w:vertAlign w:val="superscript"/>
              </w:rPr>
              <w:t>(14)</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618,381</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364,284</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982,665</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Silver Creek CS SAV,</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L.L.C.</w:t>
            </w:r>
            <w:r>
              <w:rPr>
                <w:rFonts w:ascii="Arial" w:cs="Arial" w:eastAsia="Arial" w:hAnsi="Arial"/>
                <w:sz w:val="14"/>
                <w:szCs w:val="14"/>
                <w:color w:val="auto"/>
                <w:vertAlign w:val="superscript"/>
              </w:rPr>
              <w:t>(15)</w:t>
            </w:r>
          </w:p>
        </w:tc>
        <w:tc>
          <w:tcPr>
            <w:tcW w:w="700" w:type="dxa"/>
            <w:vAlign w:val="bottom"/>
          </w:tcPr>
          <w:p>
            <w:pPr>
              <w:jc w:val="right"/>
              <w:spacing w:after="0"/>
              <w:rPr>
                <w:sz w:val="20"/>
                <w:szCs w:val="20"/>
                <w:color w:val="auto"/>
              </w:rPr>
            </w:pPr>
            <w:r>
              <w:rPr>
                <w:rFonts w:ascii="Arial" w:cs="Arial" w:eastAsia="Arial" w:hAnsi="Arial"/>
                <w:sz w:val="14"/>
                <w:szCs w:val="14"/>
                <w:color w:val="auto"/>
              </w:rPr>
              <w:t>24,536</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24,536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3"/>
        </w:trPr>
        <w:tc>
          <w:tcPr>
            <w:tcW w:w="1420" w:type="dxa"/>
            <w:vAlign w:val="bottom"/>
            <w:tcBorders>
              <w:right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Blackwell Partners</w:t>
            </w:r>
          </w:p>
        </w:tc>
        <w:tc>
          <w:tcPr>
            <w:tcW w:w="70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LLC – Series A</w:t>
            </w:r>
            <w:r>
              <w:rPr>
                <w:rFonts w:ascii="Arial" w:cs="Arial" w:eastAsia="Arial" w:hAnsi="Arial"/>
                <w:sz w:val="14"/>
                <w:szCs w:val="14"/>
                <w:color w:val="auto"/>
                <w:vertAlign w:val="superscript"/>
              </w:rPr>
              <w:t>(15)</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107,723</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107,723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Nantahala Capital</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Partners Limited</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Partnership</w:t>
            </w:r>
            <w:r>
              <w:rPr>
                <w:rFonts w:ascii="Arial" w:cs="Arial" w:eastAsia="Arial" w:hAnsi="Arial"/>
                <w:sz w:val="14"/>
                <w:szCs w:val="14"/>
                <w:color w:val="auto"/>
                <w:vertAlign w:val="superscript"/>
              </w:rPr>
              <w:t>(15)</w:t>
            </w:r>
          </w:p>
        </w:tc>
        <w:tc>
          <w:tcPr>
            <w:tcW w:w="700" w:type="dxa"/>
            <w:vAlign w:val="bottom"/>
          </w:tcPr>
          <w:p>
            <w:pPr>
              <w:jc w:val="right"/>
              <w:spacing w:after="0"/>
              <w:rPr>
                <w:sz w:val="20"/>
                <w:szCs w:val="20"/>
                <w:color w:val="auto"/>
              </w:rPr>
            </w:pPr>
            <w:r>
              <w:rPr>
                <w:rFonts w:ascii="Arial" w:cs="Arial" w:eastAsia="Arial" w:hAnsi="Arial"/>
                <w:sz w:val="14"/>
                <w:szCs w:val="14"/>
                <w:color w:val="auto"/>
              </w:rPr>
              <w:t>43,278</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43,278</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2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Nantahala Capital</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Partners II Limited</w:t>
            </w:r>
          </w:p>
        </w:tc>
        <w:tc>
          <w:tcPr>
            <w:tcW w:w="7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Partnership</w:t>
            </w:r>
            <w:r>
              <w:rPr>
                <w:rFonts w:ascii="Arial" w:cs="Arial" w:eastAsia="Arial" w:hAnsi="Arial"/>
                <w:sz w:val="14"/>
                <w:szCs w:val="14"/>
                <w:color w:val="auto"/>
                <w:vertAlign w:val="superscript"/>
              </w:rPr>
              <w:t>(15)</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123,119</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123,119</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Nantahala Capital</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Partners</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SI, LP</w:t>
            </w:r>
            <w:r>
              <w:rPr>
                <w:rFonts w:ascii="Arial" w:cs="Arial" w:eastAsia="Arial" w:hAnsi="Arial"/>
                <w:sz w:val="14"/>
                <w:szCs w:val="14"/>
                <w:color w:val="auto"/>
                <w:vertAlign w:val="superscript"/>
              </w:rPr>
              <w:t>(15)</w:t>
            </w:r>
          </w:p>
        </w:tc>
        <w:tc>
          <w:tcPr>
            <w:tcW w:w="700" w:type="dxa"/>
            <w:vAlign w:val="bottom"/>
          </w:tcPr>
          <w:p>
            <w:pPr>
              <w:jc w:val="right"/>
              <w:spacing w:after="0"/>
              <w:rPr>
                <w:sz w:val="20"/>
                <w:szCs w:val="20"/>
                <w:color w:val="auto"/>
              </w:rPr>
            </w:pPr>
            <w:r>
              <w:rPr>
                <w:rFonts w:ascii="Arial" w:cs="Arial" w:eastAsia="Arial" w:hAnsi="Arial"/>
                <w:sz w:val="14"/>
                <w:szCs w:val="14"/>
                <w:color w:val="auto"/>
              </w:rPr>
              <w:t>305,105</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305,105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NCP QR LP</w:t>
            </w:r>
            <w:r>
              <w:rPr>
                <w:rFonts w:ascii="Arial" w:cs="Arial" w:eastAsia="Arial" w:hAnsi="Arial"/>
                <w:sz w:val="14"/>
                <w:szCs w:val="14"/>
                <w:color w:val="auto"/>
                <w:vertAlign w:val="superscript"/>
              </w:rPr>
              <w:t>(15)</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51,203</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51,203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NCP RFM LP</w:t>
            </w:r>
            <w:r>
              <w:rPr>
                <w:rFonts w:ascii="Arial" w:cs="Arial" w:eastAsia="Arial" w:hAnsi="Arial"/>
                <w:sz w:val="14"/>
                <w:szCs w:val="14"/>
                <w:color w:val="auto"/>
                <w:vertAlign w:val="superscript"/>
              </w:rPr>
              <w:t>(15)</w:t>
            </w:r>
          </w:p>
        </w:tc>
        <w:tc>
          <w:tcPr>
            <w:tcW w:w="700" w:type="dxa"/>
            <w:vAlign w:val="bottom"/>
          </w:tcPr>
          <w:p>
            <w:pPr>
              <w:jc w:val="right"/>
              <w:spacing w:after="0"/>
              <w:rPr>
                <w:sz w:val="20"/>
                <w:szCs w:val="20"/>
                <w:color w:val="auto"/>
              </w:rPr>
            </w:pPr>
            <w:r>
              <w:rPr>
                <w:rFonts w:ascii="Arial" w:cs="Arial" w:eastAsia="Arial" w:hAnsi="Arial"/>
                <w:sz w:val="14"/>
                <w:szCs w:val="14"/>
                <w:color w:val="auto"/>
              </w:rPr>
              <w:t>45,036</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45,036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2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ACM ASOF VII</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(Cayman)</w:t>
            </w:r>
          </w:p>
        </w:tc>
        <w:tc>
          <w:tcPr>
            <w:tcW w:w="7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Holdco LP</w:t>
            </w:r>
            <w:r>
              <w:rPr>
                <w:rFonts w:ascii="Arial" w:cs="Arial" w:eastAsia="Arial" w:hAnsi="Arial"/>
                <w:sz w:val="14"/>
                <w:szCs w:val="14"/>
                <w:color w:val="auto"/>
                <w:vertAlign w:val="superscript"/>
              </w:rPr>
              <w:t>(16)</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233,333</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233,333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ACM DGOP LLC</w:t>
            </w:r>
            <w:r>
              <w:rPr>
                <w:rFonts w:ascii="Arial" w:cs="Arial" w:eastAsia="Arial" w:hAnsi="Arial"/>
                <w:sz w:val="14"/>
                <w:szCs w:val="14"/>
                <w:color w:val="auto"/>
                <w:vertAlign w:val="superscript"/>
              </w:rPr>
              <w:t>(16)</w:t>
            </w:r>
          </w:p>
        </w:tc>
        <w:tc>
          <w:tcPr>
            <w:tcW w:w="700" w:type="dxa"/>
            <w:vAlign w:val="bottom"/>
          </w:tcPr>
          <w:p>
            <w:pPr>
              <w:jc w:val="right"/>
              <w:spacing w:after="0"/>
              <w:rPr>
                <w:sz w:val="20"/>
                <w:szCs w:val="20"/>
                <w:color w:val="auto"/>
              </w:rPr>
            </w:pPr>
            <w:r>
              <w:rPr>
                <w:rFonts w:ascii="Arial" w:cs="Arial" w:eastAsia="Arial" w:hAnsi="Arial"/>
                <w:sz w:val="14"/>
                <w:szCs w:val="14"/>
                <w:color w:val="auto"/>
              </w:rPr>
              <w:t>70,000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70,000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2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ARCM Master Fund</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IV</w:t>
            </w:r>
          </w:p>
        </w:tc>
        <w:tc>
          <w:tcPr>
            <w:tcW w:w="7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Ltd.</w:t>
            </w:r>
            <w:r>
              <w:rPr>
                <w:rFonts w:ascii="Arial" w:cs="Arial" w:eastAsia="Arial" w:hAnsi="Arial"/>
                <w:sz w:val="14"/>
                <w:szCs w:val="14"/>
                <w:color w:val="auto"/>
                <w:vertAlign w:val="superscript"/>
              </w:rPr>
              <w:t>(17)</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1,500,000</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Atalaya Special</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Purpose</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Investment</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Fund II LP</w:t>
            </w:r>
            <w:r>
              <w:rPr>
                <w:rFonts w:ascii="Arial" w:cs="Arial" w:eastAsia="Arial" w:hAnsi="Arial"/>
                <w:sz w:val="14"/>
                <w:szCs w:val="14"/>
                <w:color w:val="auto"/>
                <w:vertAlign w:val="superscript"/>
              </w:rPr>
              <w:t>(16)</w:t>
            </w:r>
          </w:p>
        </w:tc>
        <w:tc>
          <w:tcPr>
            <w:tcW w:w="700" w:type="dxa"/>
            <w:vAlign w:val="bottom"/>
          </w:tcPr>
          <w:p>
            <w:pPr>
              <w:jc w:val="right"/>
              <w:spacing w:after="0"/>
              <w:rPr>
                <w:sz w:val="20"/>
                <w:szCs w:val="20"/>
                <w:color w:val="auto"/>
              </w:rPr>
            </w:pPr>
            <w:r>
              <w:rPr>
                <w:rFonts w:ascii="Arial" w:cs="Arial" w:eastAsia="Arial" w:hAnsi="Arial"/>
                <w:sz w:val="14"/>
                <w:szCs w:val="14"/>
                <w:color w:val="auto"/>
              </w:rPr>
              <w:t>162,633</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162,633</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2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Corbin ERISA</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Opportunity</w:t>
            </w:r>
          </w:p>
        </w:tc>
        <w:tc>
          <w:tcPr>
            <w:tcW w:w="7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Fund, Ltd.</w:t>
            </w:r>
            <w:r>
              <w:rPr>
                <w:rFonts w:ascii="Arial" w:cs="Arial" w:eastAsia="Arial" w:hAnsi="Arial"/>
                <w:sz w:val="14"/>
                <w:szCs w:val="14"/>
                <w:color w:val="auto"/>
                <w:vertAlign w:val="superscript"/>
              </w:rPr>
              <w:t>(18)</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162,633</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162,633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Corbin Opportunity</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Fund,</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L.P.</w:t>
            </w:r>
            <w:r>
              <w:rPr>
                <w:rFonts w:ascii="Arial" w:cs="Arial" w:eastAsia="Arial" w:hAnsi="Arial"/>
                <w:sz w:val="14"/>
                <w:szCs w:val="14"/>
                <w:color w:val="auto"/>
                <w:vertAlign w:val="superscript"/>
              </w:rPr>
              <w:t>(18)</w:t>
            </w:r>
          </w:p>
        </w:tc>
        <w:tc>
          <w:tcPr>
            <w:tcW w:w="700" w:type="dxa"/>
            <w:vAlign w:val="bottom"/>
          </w:tcPr>
          <w:p>
            <w:pPr>
              <w:jc w:val="right"/>
              <w:spacing w:after="0"/>
              <w:rPr>
                <w:sz w:val="20"/>
                <w:szCs w:val="20"/>
                <w:color w:val="auto"/>
              </w:rPr>
            </w:pPr>
            <w:r>
              <w:rPr>
                <w:rFonts w:ascii="Arial" w:cs="Arial" w:eastAsia="Arial" w:hAnsi="Arial"/>
                <w:sz w:val="14"/>
                <w:szCs w:val="14"/>
                <w:color w:val="auto"/>
              </w:rPr>
              <w:t>71,401</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71,401</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David Walch</w:t>
            </w:r>
            <w:r>
              <w:rPr>
                <w:rFonts w:ascii="Arial" w:cs="Arial" w:eastAsia="Arial" w:hAnsi="Arial"/>
                <w:sz w:val="14"/>
                <w:szCs w:val="14"/>
                <w:color w:val="auto"/>
                <w:vertAlign w:val="superscript"/>
              </w:rPr>
              <w:t>(19)</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135,786</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68,207</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203,993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Peter Jon Deschenes,</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420" w:type="dxa"/>
            <w:vAlign w:val="bottom"/>
          </w:tcPr>
          <w:p>
            <w:pPr>
              <w:ind w:left="180"/>
              <w:spacing w:after="0" w:line="207" w:lineRule="exact"/>
              <w:rPr>
                <w:sz w:val="20"/>
                <w:szCs w:val="20"/>
                <w:color w:val="auto"/>
              </w:rPr>
            </w:pPr>
            <w:r>
              <w:rPr>
                <w:rFonts w:ascii="Arial" w:cs="Arial" w:eastAsia="Arial" w:hAnsi="Arial"/>
                <w:sz w:val="24"/>
                <w:szCs w:val="24"/>
                <w:color w:val="auto"/>
                <w:vertAlign w:val="subscript"/>
              </w:rPr>
              <w:t>Jr</w:t>
            </w:r>
            <w:r>
              <w:rPr>
                <w:rFonts w:ascii="Arial" w:cs="Arial" w:eastAsia="Arial" w:hAnsi="Arial"/>
                <w:sz w:val="7"/>
                <w:szCs w:val="7"/>
                <w:color w:val="auto"/>
              </w:rPr>
              <w:t>(20)</w:t>
            </w:r>
          </w:p>
        </w:tc>
        <w:tc>
          <w:tcPr>
            <w:tcW w:w="700" w:type="dxa"/>
            <w:vAlign w:val="bottom"/>
          </w:tcPr>
          <w:p>
            <w:pPr>
              <w:jc w:val="right"/>
              <w:spacing w:after="0"/>
              <w:rPr>
                <w:sz w:val="20"/>
                <w:szCs w:val="20"/>
                <w:color w:val="auto"/>
              </w:rPr>
            </w:pPr>
            <w:r>
              <w:rPr>
                <w:rFonts w:ascii="Arial" w:cs="Arial" w:eastAsia="Arial" w:hAnsi="Arial"/>
                <w:sz w:val="14"/>
                <w:szCs w:val="14"/>
                <w:color w:val="auto"/>
              </w:rPr>
              <w:t>25,000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25,000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8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Blue Dragons AG</w:t>
            </w:r>
            <w:r>
              <w:rPr>
                <w:rFonts w:ascii="Arial" w:cs="Arial" w:eastAsia="Arial" w:hAnsi="Arial"/>
                <w:sz w:val="14"/>
                <w:szCs w:val="14"/>
                <w:color w:val="auto"/>
                <w:vertAlign w:val="superscript"/>
              </w:rPr>
              <w:t>(21)</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Greg Upson</w:t>
            </w:r>
            <w:r>
              <w:rPr>
                <w:rFonts w:ascii="Arial" w:cs="Arial" w:eastAsia="Arial" w:hAnsi="Arial"/>
                <w:sz w:val="14"/>
                <w:szCs w:val="14"/>
                <w:color w:val="auto"/>
                <w:vertAlign w:val="superscript"/>
              </w:rPr>
              <w:t>(22)</w:t>
            </w:r>
          </w:p>
        </w:tc>
        <w:tc>
          <w:tcPr>
            <w:tcW w:w="700" w:type="dxa"/>
            <w:vAlign w:val="bottom"/>
          </w:tcPr>
          <w:p>
            <w:pPr>
              <w:jc w:val="right"/>
              <w:spacing w:after="0"/>
              <w:rPr>
                <w:sz w:val="20"/>
                <w:szCs w:val="20"/>
                <w:color w:val="auto"/>
              </w:rPr>
            </w:pPr>
            <w:r>
              <w:rPr>
                <w:rFonts w:ascii="Arial" w:cs="Arial" w:eastAsia="Arial" w:hAnsi="Arial"/>
                <w:sz w:val="14"/>
                <w:szCs w:val="14"/>
                <w:color w:val="auto"/>
              </w:rPr>
              <w:t>5,000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Justin Gmelich</w:t>
            </w:r>
            <w:r>
              <w:rPr>
                <w:rFonts w:ascii="Arial" w:cs="Arial" w:eastAsia="Arial" w:hAnsi="Arial"/>
                <w:sz w:val="14"/>
                <w:szCs w:val="14"/>
                <w:color w:val="auto"/>
                <w:vertAlign w:val="superscript"/>
              </w:rPr>
              <w:t>(23)</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905,617</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395,000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Daniel Ehrmann</w:t>
            </w:r>
            <w:r>
              <w:rPr>
                <w:rFonts w:ascii="Arial" w:cs="Arial" w:eastAsia="Arial" w:hAnsi="Arial"/>
                <w:sz w:val="14"/>
                <w:szCs w:val="14"/>
                <w:color w:val="auto"/>
                <w:vertAlign w:val="superscript"/>
              </w:rPr>
              <w:t>(24)</w:t>
            </w:r>
          </w:p>
        </w:tc>
        <w:tc>
          <w:tcPr>
            <w:tcW w:w="700" w:type="dxa"/>
            <w:vAlign w:val="bottom"/>
          </w:tcPr>
          <w:p>
            <w:pPr>
              <w:jc w:val="right"/>
              <w:spacing w:after="0"/>
              <w:rPr>
                <w:sz w:val="20"/>
                <w:szCs w:val="20"/>
                <w:color w:val="auto"/>
              </w:rPr>
            </w:pPr>
            <w:r>
              <w:rPr>
                <w:rFonts w:ascii="Arial" w:cs="Arial" w:eastAsia="Arial" w:hAnsi="Arial"/>
                <w:sz w:val="14"/>
                <w:szCs w:val="14"/>
                <w:color w:val="auto"/>
              </w:rPr>
              <w:t>27,367</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10,226</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37,593</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Nico Guardans</w:t>
            </w:r>
            <w:r>
              <w:rPr>
                <w:rFonts w:ascii="Arial" w:cs="Arial" w:eastAsia="Arial" w:hAnsi="Arial"/>
                <w:sz w:val="14"/>
                <w:szCs w:val="14"/>
                <w:color w:val="auto"/>
                <w:vertAlign w:val="superscript"/>
              </w:rPr>
              <w:t>(25)</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170,786</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68,207</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238,993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Sea Otter Securities</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Group</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Pr>
          <w:p>
            <w:pPr>
              <w:ind w:left="180"/>
              <w:spacing w:after="0" w:line="207" w:lineRule="exact"/>
              <w:rPr>
                <w:sz w:val="20"/>
                <w:szCs w:val="20"/>
                <w:color w:val="auto"/>
              </w:rPr>
            </w:pPr>
            <w:r>
              <w:rPr>
                <w:rFonts w:ascii="Arial" w:cs="Arial" w:eastAsia="Arial" w:hAnsi="Arial"/>
                <w:sz w:val="24"/>
                <w:szCs w:val="24"/>
                <w:color w:val="auto"/>
                <w:vertAlign w:val="subscript"/>
              </w:rPr>
              <w:t>LLC</w:t>
            </w:r>
            <w:r>
              <w:rPr>
                <w:rFonts w:ascii="Arial" w:cs="Arial" w:eastAsia="Arial" w:hAnsi="Arial"/>
                <w:sz w:val="7"/>
                <w:szCs w:val="7"/>
                <w:color w:val="auto"/>
              </w:rPr>
              <w:t>(26)</w:t>
            </w:r>
          </w:p>
        </w:tc>
        <w:tc>
          <w:tcPr>
            <w:tcW w:w="700" w:type="dxa"/>
            <w:vAlign w:val="bottom"/>
          </w:tcPr>
          <w:p>
            <w:pPr>
              <w:jc w:val="right"/>
              <w:spacing w:after="0"/>
              <w:rPr>
                <w:sz w:val="20"/>
                <w:szCs w:val="20"/>
                <w:color w:val="auto"/>
              </w:rPr>
            </w:pPr>
            <w:r>
              <w:rPr>
                <w:rFonts w:ascii="Arial" w:cs="Arial" w:eastAsia="Arial" w:hAnsi="Arial"/>
                <w:sz w:val="14"/>
                <w:szCs w:val="14"/>
                <w:color w:val="auto"/>
              </w:rPr>
              <w:t>400,000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400,000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3"/>
        </w:trPr>
        <w:tc>
          <w:tcPr>
            <w:tcW w:w="1420" w:type="dxa"/>
            <w:vAlign w:val="bottom"/>
            <w:tcBorders>
              <w:right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Sigsbee Investments</w:t>
            </w:r>
          </w:p>
        </w:tc>
        <w:tc>
          <w:tcPr>
            <w:tcW w:w="7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line="207" w:lineRule="exact"/>
              <w:rPr>
                <w:sz w:val="20"/>
                <w:szCs w:val="20"/>
                <w:color w:val="auto"/>
              </w:rPr>
            </w:pPr>
            <w:r>
              <w:rPr>
                <w:rFonts w:ascii="Arial" w:cs="Arial" w:eastAsia="Arial" w:hAnsi="Arial"/>
                <w:sz w:val="24"/>
                <w:szCs w:val="24"/>
                <w:color w:val="auto"/>
                <w:vertAlign w:val="subscript"/>
              </w:rPr>
              <w:t>LLC</w:t>
            </w:r>
            <w:r>
              <w:rPr>
                <w:rFonts w:ascii="Arial" w:cs="Arial" w:eastAsia="Arial" w:hAnsi="Arial"/>
                <w:sz w:val="7"/>
                <w:szCs w:val="7"/>
                <w:color w:val="auto"/>
              </w:rPr>
              <w:t>(27)</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2,939,418</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1,142,510</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4,081,928</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14"/>
                <w:szCs w:val="14"/>
                <w:color w:val="auto"/>
              </w:rPr>
              <w:t>VPF Delphi Global</w:t>
            </w:r>
            <w:r>
              <w:rPr>
                <w:rFonts w:ascii="Arial" w:cs="Arial" w:eastAsia="Arial" w:hAnsi="Arial"/>
                <w:sz w:val="14"/>
                <w:szCs w:val="14"/>
                <w:color w:val="auto"/>
                <w:vertAlign w:val="superscript"/>
              </w:rPr>
              <w:t>(28)</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1,780,000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1,780,000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3"/>
        </w:trPr>
        <w:tc>
          <w:tcPr>
            <w:tcW w:w="1420" w:type="dxa"/>
            <w:vAlign w:val="bottom"/>
            <w:tcBorders>
              <w:right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VPF Delphi Green</w:t>
            </w:r>
          </w:p>
        </w:tc>
        <w:tc>
          <w:tcPr>
            <w:tcW w:w="70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Trends</w:t>
            </w:r>
            <w:r>
              <w:rPr>
                <w:rFonts w:ascii="Arial" w:cs="Arial" w:eastAsia="Arial" w:hAnsi="Arial"/>
                <w:sz w:val="14"/>
                <w:szCs w:val="14"/>
                <w:color w:val="auto"/>
                <w:vertAlign w:val="superscript"/>
              </w:rPr>
              <w:t>(29)</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The Justin Gmelich</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80"/>
              <w:spacing w:after="0"/>
              <w:rPr>
                <w:sz w:val="20"/>
                <w:szCs w:val="20"/>
                <w:color w:val="auto"/>
              </w:rPr>
            </w:pPr>
            <w:r>
              <w:rPr>
                <w:rFonts w:ascii="Arial" w:cs="Arial" w:eastAsia="Arial" w:hAnsi="Arial"/>
                <w:sz w:val="14"/>
                <w:szCs w:val="14"/>
                <w:color w:val="auto"/>
              </w:rPr>
              <w:t>2012</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rPr>
                <w:sz w:val="20"/>
                <w:szCs w:val="20"/>
                <w:color w:val="auto"/>
              </w:rPr>
            </w:pPr>
            <w:r>
              <w:rPr>
                <w:rFonts w:ascii="Arial" w:cs="Arial" w:eastAsia="Arial" w:hAnsi="Arial"/>
                <w:sz w:val="14"/>
                <w:szCs w:val="14"/>
                <w:color w:val="auto"/>
              </w:rPr>
              <w:t>Family Trust</w:t>
            </w:r>
            <w:r>
              <w:rPr>
                <w:rFonts w:ascii="Arial" w:cs="Arial" w:eastAsia="Arial" w:hAnsi="Arial"/>
                <w:sz w:val="14"/>
                <w:szCs w:val="14"/>
                <w:color w:val="auto"/>
                <w:vertAlign w:val="superscript"/>
              </w:rPr>
              <w:t>(30)</w:t>
            </w:r>
          </w:p>
        </w:tc>
        <w:tc>
          <w:tcPr>
            <w:tcW w:w="700" w:type="dxa"/>
            <w:vAlign w:val="bottom"/>
          </w:tcPr>
          <w:p>
            <w:pPr>
              <w:jc w:val="right"/>
              <w:spacing w:after="0"/>
              <w:rPr>
                <w:sz w:val="20"/>
                <w:szCs w:val="20"/>
                <w:color w:val="auto"/>
              </w:rPr>
            </w:pPr>
            <w:r>
              <w:rPr>
                <w:rFonts w:ascii="Arial" w:cs="Arial" w:eastAsia="Arial" w:hAnsi="Arial"/>
                <w:sz w:val="14"/>
                <w:szCs w:val="14"/>
                <w:color w:val="auto"/>
              </w:rPr>
              <w:t>510,617</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300,800</w:t>
            </w:r>
          </w:p>
        </w:tc>
        <w:tc>
          <w:tcPr>
            <w:tcW w:w="9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811,417</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93"/>
        </w:trPr>
        <w:tc>
          <w:tcPr>
            <w:tcW w:w="1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Helena Lupas</w:t>
            </w:r>
            <w:r>
              <w:rPr>
                <w:rFonts w:ascii="Arial" w:cs="Arial" w:eastAsia="Arial" w:hAnsi="Arial"/>
                <w:sz w:val="14"/>
                <w:szCs w:val="14"/>
                <w:color w:val="auto"/>
                <w:vertAlign w:val="superscript"/>
              </w:rPr>
              <w:t>(31)</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15,341</w:t>
            </w:r>
          </w:p>
        </w:tc>
        <w:tc>
          <w:tcPr>
            <w:tcW w:w="460" w:type="dxa"/>
            <w:vAlign w:val="bottom"/>
            <w:tcBorders>
              <w:right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9,033</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24,374</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313"/>
        </w:trPr>
        <w:tc>
          <w:tcPr>
            <w:tcW w:w="1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Dora Lupas</w:t>
            </w:r>
            <w:r>
              <w:rPr>
                <w:rFonts w:ascii="Arial" w:cs="Arial" w:eastAsia="Arial" w:hAnsi="Arial"/>
                <w:sz w:val="14"/>
                <w:szCs w:val="14"/>
                <w:color w:val="auto"/>
                <w:vertAlign w:val="superscript"/>
              </w:rPr>
              <w:t>(31)</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15,341</w:t>
            </w:r>
          </w:p>
        </w:tc>
        <w:tc>
          <w:tcPr>
            <w:tcW w:w="46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9,033</w:t>
            </w:r>
          </w:p>
        </w:tc>
        <w:tc>
          <w:tcPr>
            <w:tcW w:w="900" w:type="dxa"/>
            <w:vAlign w:val="bottom"/>
            <w:tcBorders>
              <w:bottom w:val="single" w:sz="8" w:color="CCEEFF"/>
            </w:tcBorders>
            <w:gridSpan w:val="3"/>
          </w:tcPr>
          <w:p>
            <w:pPr>
              <w:ind w:left="4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24,374</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bl>
    <w:p>
      <w:pPr>
        <w:sectPr>
          <w:pgSz w:w="11900" w:h="16900" w:orient="portrait"/>
          <w:cols w:equalWidth="0" w:num="1">
            <w:col w:w="9019"/>
          </w:cols>
          <w:pgMar w:left="1440" w:top="274" w:right="1440" w:bottom="0" w:gutter="0" w:footer="0" w:header="0"/>
        </w:sectPr>
      </w:pPr>
    </w:p>
    <w:bookmarkStart w:id="138" w:name="page139"/>
    <w:bookmarkEnd w:id="138"/>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Argentum Cedit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9"/>
              </w:rPr>
              <w:t>1,000,000</w:t>
            </w:r>
          </w:p>
        </w:tc>
        <w:tc>
          <w:tcPr>
            <w:tcW w:w="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r>
      <w:tr>
        <w:trPr>
          <w:trHeight w:val="208"/>
        </w:trPr>
        <w:tc>
          <w:tcPr>
            <w:tcW w:w="1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Virtuti</w:t>
            </w:r>
            <w:r>
              <w:rPr>
                <w:rFonts w:ascii="Arial" w:cs="Arial" w:eastAsia="Arial" w:hAnsi="Arial"/>
                <w:sz w:val="14"/>
                <w:szCs w:val="14"/>
                <w:color w:val="auto"/>
                <w:vertAlign w:val="superscript"/>
              </w:rPr>
              <w:t>(32)</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4"/>
                <w:szCs w:val="14"/>
                <w:color w:val="auto"/>
              </w:rPr>
              <w:t>Allseas Group SA</w:t>
            </w:r>
            <w:r>
              <w:rPr>
                <w:rFonts w:ascii="Arial" w:cs="Arial" w:eastAsia="Arial" w:hAnsi="Arial"/>
                <w:sz w:val="14"/>
                <w:szCs w:val="14"/>
                <w:color w:val="auto"/>
                <w:vertAlign w:val="superscript"/>
              </w:rPr>
              <w:t>(33)</w:t>
            </w:r>
          </w:p>
        </w:tc>
        <w:tc>
          <w:tcPr>
            <w:tcW w:w="800" w:type="dxa"/>
            <w:vAlign w:val="bottom"/>
          </w:tcPr>
          <w:p>
            <w:pPr>
              <w:jc w:val="right"/>
              <w:spacing w:after="0"/>
              <w:rPr>
                <w:sz w:val="20"/>
                <w:szCs w:val="20"/>
                <w:color w:val="auto"/>
              </w:rPr>
            </w:pPr>
            <w:r>
              <w:rPr>
                <w:rFonts w:ascii="Arial" w:cs="Arial" w:eastAsia="Arial" w:hAnsi="Arial"/>
                <w:sz w:val="14"/>
                <w:szCs w:val="14"/>
                <w:color w:val="auto"/>
              </w:rPr>
              <w:t>27,730,268</w:t>
            </w:r>
          </w:p>
        </w:tc>
        <w:tc>
          <w:tcPr>
            <w:tcW w:w="480" w:type="dxa"/>
            <w:vAlign w:val="bottom"/>
          </w:tcPr>
          <w:p>
            <w:pPr>
              <w:jc w:val="right"/>
              <w:spacing w:after="0"/>
              <w:rPr>
                <w:sz w:val="20"/>
                <w:szCs w:val="20"/>
                <w:color w:val="auto"/>
              </w:rPr>
            </w:pPr>
            <w:r>
              <w:rPr>
                <w:rFonts w:ascii="Arial" w:cs="Arial" w:eastAsia="Arial" w:hAnsi="Arial"/>
                <w:sz w:val="14"/>
                <w:szCs w:val="14"/>
                <w:color w:val="auto"/>
              </w:rPr>
              <w:t>11.8%</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w w:val="99"/>
              </w:rPr>
              <w:t>8,336,743</w:t>
            </w:r>
          </w:p>
        </w:tc>
        <w:tc>
          <w:tcPr>
            <w:tcW w:w="600" w:type="dxa"/>
            <w:vAlign w:val="bottom"/>
          </w:tcPr>
          <w:p>
            <w:pPr>
              <w:ind w:lef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88"/>
              <w:spacing w:after="0"/>
              <w:rPr>
                <w:sz w:val="20"/>
                <w:szCs w:val="20"/>
                <w:color w:val="auto"/>
              </w:rPr>
            </w:pPr>
            <w:r>
              <w:rPr>
                <w:rFonts w:ascii="Arial" w:cs="Arial" w:eastAsia="Arial" w:hAnsi="Arial"/>
                <w:sz w:val="14"/>
                <w:szCs w:val="14"/>
                <w:color w:val="auto"/>
              </w:rPr>
              <w:t>— 36,067,011</w:t>
            </w:r>
          </w:p>
        </w:tc>
        <w:tc>
          <w:tcPr>
            <w:tcW w:w="660" w:type="dxa"/>
            <w:vAlign w:val="bottom"/>
          </w:tcPr>
          <w:p>
            <w:pPr>
              <w:ind w:left="260"/>
              <w:spacing w:after="0"/>
              <w:rPr>
                <w:sz w:val="20"/>
                <w:szCs w:val="20"/>
                <w:color w:val="auto"/>
              </w:rPr>
            </w:pPr>
            <w:r>
              <w:rPr>
                <w:rFonts w:ascii="Arial" w:cs="Arial" w:eastAsia="Arial" w:hAnsi="Arial"/>
                <w:sz w:val="14"/>
                <w:szCs w:val="14"/>
                <w:color w:val="auto"/>
              </w:rPr>
              <w:t>—</w:t>
            </w:r>
          </w:p>
        </w:tc>
        <w:tc>
          <w:tcPr>
            <w:tcW w:w="520" w:type="dxa"/>
            <w:vAlign w:val="bottom"/>
          </w:tcPr>
          <w:p>
            <w:pPr>
              <w:ind w:left="240"/>
              <w:spacing w:after="0"/>
              <w:rPr>
                <w:sz w:val="20"/>
                <w:szCs w:val="20"/>
                <w:color w:val="auto"/>
              </w:rPr>
            </w:pPr>
            <w:r>
              <w:rPr>
                <w:rFonts w:ascii="Arial" w:cs="Arial" w:eastAsia="Arial" w:hAnsi="Arial"/>
                <w:sz w:val="14"/>
                <w:szCs w:val="14"/>
                <w:color w:val="auto"/>
              </w:rPr>
              <w:t>—</w:t>
            </w:r>
          </w:p>
        </w:tc>
        <w:tc>
          <w:tcPr>
            <w:tcW w:w="580" w:type="dxa"/>
            <w:vAlign w:val="bottom"/>
          </w:tcPr>
          <w:p>
            <w:pPr>
              <w:ind w:left="14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r>
      <w:tr>
        <w:trPr>
          <w:trHeight w:val="153"/>
        </w:trPr>
        <w:tc>
          <w:tcPr>
            <w:tcW w:w="13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Majid Fahad M</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208"/>
        </w:trPr>
        <w:tc>
          <w:tcPr>
            <w:tcW w:w="1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Alghaslan</w:t>
            </w:r>
            <w:r>
              <w:rPr>
                <w:rFonts w:ascii="Arial" w:cs="Arial" w:eastAsia="Arial" w:hAnsi="Arial"/>
                <w:sz w:val="14"/>
                <w:szCs w:val="14"/>
                <w:color w:val="auto"/>
                <w:vertAlign w:val="superscript"/>
              </w:rPr>
              <w:t>(34)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200,000</w:t>
            </w:r>
          </w:p>
        </w:tc>
        <w:tc>
          <w:tcPr>
            <w:tcW w:w="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r>
      <w:tr>
        <w:trPr>
          <w:trHeight w:val="130"/>
        </w:trPr>
        <w:tc>
          <w:tcPr>
            <w:tcW w:w="1300" w:type="dxa"/>
            <w:vAlign w:val="bottom"/>
          </w:tcPr>
          <w:p>
            <w:pPr>
              <w:spacing w:after="0" w:line="130" w:lineRule="exact"/>
              <w:rPr>
                <w:sz w:val="20"/>
                <w:szCs w:val="20"/>
                <w:color w:val="auto"/>
              </w:rPr>
            </w:pPr>
            <w:r>
              <w:rPr>
                <w:rFonts w:ascii="Arial" w:cs="Arial" w:eastAsia="Arial" w:hAnsi="Arial"/>
                <w:sz w:val="14"/>
                <w:szCs w:val="14"/>
                <w:color w:val="auto"/>
              </w:rPr>
              <w:t>Glazer Enhanced</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62"/>
        </w:trPr>
        <w:tc>
          <w:tcPr>
            <w:tcW w:w="1300" w:type="dxa"/>
            <w:vAlign w:val="bottom"/>
          </w:tcPr>
          <w:p>
            <w:pPr>
              <w:ind w:left="180"/>
              <w:spacing w:after="0"/>
              <w:rPr>
                <w:sz w:val="20"/>
                <w:szCs w:val="20"/>
                <w:color w:val="auto"/>
              </w:rPr>
            </w:pPr>
            <w:r>
              <w:rPr>
                <w:rFonts w:ascii="Arial" w:cs="Arial" w:eastAsia="Arial" w:hAnsi="Arial"/>
                <w:sz w:val="14"/>
                <w:szCs w:val="14"/>
                <w:color w:val="auto"/>
              </w:rPr>
              <w:t>Fund,</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08"/>
        </w:trPr>
        <w:tc>
          <w:tcPr>
            <w:tcW w:w="1300" w:type="dxa"/>
            <w:vAlign w:val="bottom"/>
          </w:tcPr>
          <w:p>
            <w:pPr>
              <w:ind w:left="180"/>
              <w:spacing w:after="0" w:line="207" w:lineRule="exact"/>
              <w:rPr>
                <w:sz w:val="20"/>
                <w:szCs w:val="20"/>
                <w:color w:val="auto"/>
              </w:rPr>
            </w:pPr>
            <w:r>
              <w:rPr>
                <w:rFonts w:ascii="Arial" w:cs="Arial" w:eastAsia="Arial" w:hAnsi="Arial"/>
                <w:sz w:val="24"/>
                <w:szCs w:val="24"/>
                <w:color w:val="auto"/>
                <w:vertAlign w:val="subscript"/>
              </w:rPr>
              <w:t>LP</w:t>
            </w:r>
            <w:r>
              <w:rPr>
                <w:rFonts w:ascii="Arial" w:cs="Arial" w:eastAsia="Arial" w:hAnsi="Arial"/>
                <w:sz w:val="7"/>
                <w:szCs w:val="7"/>
                <w:color w:val="auto"/>
              </w:rPr>
              <w:t>(35)</w:t>
            </w:r>
          </w:p>
        </w:tc>
        <w:tc>
          <w:tcPr>
            <w:tcW w:w="800" w:type="dxa"/>
            <w:vAlign w:val="bottom"/>
          </w:tcPr>
          <w:p>
            <w:pPr>
              <w:jc w:val="right"/>
              <w:spacing w:after="0"/>
              <w:rPr>
                <w:sz w:val="20"/>
                <w:szCs w:val="20"/>
                <w:color w:val="auto"/>
              </w:rPr>
            </w:pPr>
            <w:r>
              <w:rPr>
                <w:rFonts w:ascii="Arial" w:cs="Arial" w:eastAsia="Arial" w:hAnsi="Arial"/>
                <w:sz w:val="14"/>
                <w:szCs w:val="14"/>
                <w:color w:val="auto"/>
              </w:rPr>
              <w:t>131,500</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131,500</w:t>
            </w:r>
          </w:p>
        </w:tc>
        <w:tc>
          <w:tcPr>
            <w:tcW w:w="660" w:type="dxa"/>
            <w:vAlign w:val="bottom"/>
          </w:tcPr>
          <w:p>
            <w:pPr>
              <w:ind w:left="260"/>
              <w:spacing w:after="0"/>
              <w:rPr>
                <w:sz w:val="20"/>
                <w:szCs w:val="20"/>
                <w:color w:val="auto"/>
              </w:rPr>
            </w:pPr>
            <w:r>
              <w:rPr>
                <w:rFonts w:ascii="Arial" w:cs="Arial" w:eastAsia="Arial" w:hAnsi="Arial"/>
                <w:sz w:val="14"/>
                <w:szCs w:val="14"/>
                <w:color w:val="auto"/>
              </w:rPr>
              <w:t>—</w:t>
            </w:r>
          </w:p>
        </w:tc>
        <w:tc>
          <w:tcPr>
            <w:tcW w:w="520" w:type="dxa"/>
            <w:vAlign w:val="bottom"/>
          </w:tcPr>
          <w:p>
            <w:pPr>
              <w:ind w:left="240"/>
              <w:spacing w:after="0"/>
              <w:rPr>
                <w:sz w:val="20"/>
                <w:szCs w:val="20"/>
                <w:color w:val="auto"/>
              </w:rPr>
            </w:pPr>
            <w:r>
              <w:rPr>
                <w:rFonts w:ascii="Arial" w:cs="Arial" w:eastAsia="Arial" w:hAnsi="Arial"/>
                <w:sz w:val="14"/>
                <w:szCs w:val="14"/>
                <w:color w:val="auto"/>
              </w:rPr>
              <w:t>—</w:t>
            </w:r>
          </w:p>
        </w:tc>
        <w:tc>
          <w:tcPr>
            <w:tcW w:w="580" w:type="dxa"/>
            <w:vAlign w:val="bottom"/>
          </w:tcPr>
          <w:p>
            <w:pPr>
              <w:ind w:left="14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r>
      <w:tr>
        <w:trPr>
          <w:trHeight w:val="130"/>
        </w:trPr>
        <w:tc>
          <w:tcPr>
            <w:tcW w:w="1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Glazer Enhanced</w:t>
            </w:r>
          </w:p>
        </w:tc>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62"/>
        </w:trPr>
        <w:tc>
          <w:tcPr>
            <w:tcW w:w="1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Offshore</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208"/>
        </w:trPr>
        <w:tc>
          <w:tcPr>
            <w:tcW w:w="1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Fund, Ltd.</w:t>
            </w:r>
            <w:r>
              <w:rPr>
                <w:rFonts w:ascii="Arial" w:cs="Arial" w:eastAsia="Arial" w:hAnsi="Arial"/>
                <w:sz w:val="14"/>
                <w:szCs w:val="14"/>
                <w:color w:val="auto"/>
                <w:vertAlign w:val="superscript"/>
              </w:rPr>
              <w:t>(35)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311,500</w:t>
            </w:r>
          </w:p>
        </w:tc>
        <w:tc>
          <w:tcPr>
            <w:tcW w:w="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r>
      <w:tr>
        <w:trPr>
          <w:trHeight w:val="265"/>
        </w:trPr>
        <w:tc>
          <w:tcPr>
            <w:tcW w:w="1300" w:type="dxa"/>
            <w:vAlign w:val="bottom"/>
          </w:tcPr>
          <w:p>
            <w:pPr>
              <w:spacing w:after="0"/>
              <w:rPr>
                <w:sz w:val="20"/>
                <w:szCs w:val="20"/>
                <w:color w:val="auto"/>
              </w:rPr>
            </w:pPr>
            <w:r>
              <w:rPr>
                <w:rFonts w:ascii="Arial" w:cs="Arial" w:eastAsia="Arial" w:hAnsi="Arial"/>
                <w:sz w:val="14"/>
                <w:szCs w:val="14"/>
                <w:color w:val="auto"/>
              </w:rPr>
              <w:t>Highmark Limited</w:t>
            </w:r>
            <w:r>
              <w:rPr>
                <w:rFonts w:ascii="Arial" w:cs="Arial" w:eastAsia="Arial" w:hAnsi="Arial"/>
                <w:sz w:val="14"/>
                <w:szCs w:val="14"/>
                <w:color w:val="auto"/>
                <w:vertAlign w:val="superscript"/>
              </w:rPr>
              <w:t>(35)</w:t>
            </w:r>
          </w:p>
        </w:tc>
        <w:tc>
          <w:tcPr>
            <w:tcW w:w="800" w:type="dxa"/>
            <w:vAlign w:val="bottom"/>
          </w:tcPr>
          <w:p>
            <w:pPr>
              <w:jc w:val="right"/>
              <w:spacing w:after="0"/>
              <w:rPr>
                <w:sz w:val="20"/>
                <w:szCs w:val="20"/>
                <w:color w:val="auto"/>
              </w:rPr>
            </w:pPr>
            <w:r>
              <w:rPr>
                <w:rFonts w:ascii="Arial" w:cs="Arial" w:eastAsia="Arial" w:hAnsi="Arial"/>
                <w:sz w:val="14"/>
                <w:szCs w:val="14"/>
                <w:color w:val="auto"/>
              </w:rPr>
              <w:t>57,000</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57,000</w:t>
            </w:r>
          </w:p>
        </w:tc>
        <w:tc>
          <w:tcPr>
            <w:tcW w:w="660" w:type="dxa"/>
            <w:vAlign w:val="bottom"/>
          </w:tcPr>
          <w:p>
            <w:pPr>
              <w:ind w:left="260"/>
              <w:spacing w:after="0"/>
              <w:rPr>
                <w:sz w:val="20"/>
                <w:szCs w:val="20"/>
                <w:color w:val="auto"/>
              </w:rPr>
            </w:pPr>
            <w:r>
              <w:rPr>
                <w:rFonts w:ascii="Arial" w:cs="Arial" w:eastAsia="Arial" w:hAnsi="Arial"/>
                <w:sz w:val="14"/>
                <w:szCs w:val="14"/>
                <w:color w:val="auto"/>
              </w:rPr>
              <w:t>—</w:t>
            </w:r>
          </w:p>
        </w:tc>
        <w:tc>
          <w:tcPr>
            <w:tcW w:w="520" w:type="dxa"/>
            <w:vAlign w:val="bottom"/>
          </w:tcPr>
          <w:p>
            <w:pPr>
              <w:ind w:left="240"/>
              <w:spacing w:after="0"/>
              <w:rPr>
                <w:sz w:val="20"/>
                <w:szCs w:val="20"/>
                <w:color w:val="auto"/>
              </w:rPr>
            </w:pPr>
            <w:r>
              <w:rPr>
                <w:rFonts w:ascii="Arial" w:cs="Arial" w:eastAsia="Arial" w:hAnsi="Arial"/>
                <w:sz w:val="14"/>
                <w:szCs w:val="14"/>
                <w:color w:val="auto"/>
              </w:rPr>
              <w:t>—</w:t>
            </w:r>
          </w:p>
        </w:tc>
        <w:tc>
          <w:tcPr>
            <w:tcW w:w="580" w:type="dxa"/>
            <w:vAlign w:val="bottom"/>
          </w:tcPr>
          <w:p>
            <w:pPr>
              <w:ind w:left="14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r>
    </w:tbl>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39" w:name="page140"/>
    <w:bookmarkEnd w:id="1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7"/>
              </w:rPr>
              <w:t>Private Placement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Common Shares</w:t>
            </w:r>
          </w:p>
        </w:tc>
        <w:tc>
          <w:tcPr>
            <w:tcW w:w="11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Private Placement</w:t>
            </w:r>
          </w:p>
        </w:tc>
        <w:tc>
          <w:tcPr>
            <w:tcW w:w="0" w:type="dxa"/>
            <w:vAlign w:val="bottom"/>
          </w:tcPr>
          <w:p>
            <w:pPr>
              <w:spacing w:after="0"/>
              <w:rPr>
                <w:sz w:val="1"/>
                <w:szCs w:val="1"/>
                <w:color w:val="auto"/>
              </w:rPr>
            </w:pPr>
          </w:p>
        </w:tc>
      </w:tr>
      <w:tr>
        <w:trPr>
          <w:trHeight w:val="153"/>
        </w:trPr>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7"/>
              </w:rPr>
              <w:t>Common Shares</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12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2"/>
              </w:rPr>
              <w:t>Warrants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Number of</w:t>
            </w:r>
          </w:p>
        </w:tc>
        <w:tc>
          <w:tcPr>
            <w:tcW w:w="11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7"/>
              </w:rPr>
              <w:t>Beneficially Owned</w:t>
            </w:r>
          </w:p>
        </w:tc>
        <w:tc>
          <w:tcPr>
            <w:tcW w:w="11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Warrants</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7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Issuable</w:t>
            </w:r>
          </w:p>
        </w:tc>
        <w:tc>
          <w:tcPr>
            <w:tcW w:w="120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Number of</w:t>
            </w: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Private</w:t>
            </w:r>
          </w:p>
        </w:tc>
        <w:tc>
          <w:tcPr>
            <w:tcW w:w="114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After the Offered</w:t>
            </w:r>
          </w:p>
        </w:tc>
        <w:tc>
          <w:tcPr>
            <w:tcW w:w="11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Prior to this</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Upon</w:t>
            </w:r>
          </w:p>
        </w:tc>
        <w:tc>
          <w:tcPr>
            <w:tcW w:w="120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prior to this</w:t>
            </w: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Common</w:t>
            </w: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Placement</w:t>
            </w:r>
          </w:p>
        </w:tc>
        <w:tc>
          <w:tcPr>
            <w:tcW w:w="114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Common Shares</w:t>
            </w:r>
          </w:p>
        </w:tc>
        <w:tc>
          <w:tcPr>
            <w:tcW w:w="11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After the Offered</w:t>
            </w:r>
          </w:p>
        </w:tc>
        <w:tc>
          <w:tcPr>
            <w:tcW w:w="0" w:type="dxa"/>
            <w:vAlign w:val="bottom"/>
          </w:tcPr>
          <w:p>
            <w:pPr>
              <w:spacing w:after="0"/>
              <w:rPr>
                <w:sz w:val="1"/>
                <w:szCs w:val="1"/>
                <w:color w:val="auto"/>
              </w:rPr>
            </w:pPr>
          </w:p>
        </w:tc>
      </w:tr>
      <w:tr>
        <w:trPr>
          <w:trHeight w:val="144"/>
        </w:trPr>
        <w:tc>
          <w:tcPr>
            <w:tcW w:w="1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Selling</w:t>
            </w:r>
          </w:p>
        </w:tc>
        <w:tc>
          <w:tcPr>
            <w:tcW w:w="1140" w:type="dxa"/>
            <w:vAlign w:val="bottom"/>
            <w:gridSpan w:val="5"/>
          </w:tcPr>
          <w:p>
            <w:pPr>
              <w:jc w:val="center"/>
              <w:ind w:right="80"/>
              <w:spacing w:after="0" w:line="144" w:lineRule="exact"/>
              <w:rPr>
                <w:sz w:val="20"/>
                <w:szCs w:val="20"/>
                <w:color w:val="auto"/>
              </w:rPr>
            </w:pPr>
            <w:r>
              <w:rPr>
                <w:rFonts w:ascii="Arial" w:cs="Arial" w:eastAsia="Arial" w:hAnsi="Arial"/>
                <w:sz w:val="13"/>
                <w:szCs w:val="13"/>
                <w:b w:val="1"/>
                <w:bCs w:val="1"/>
                <w:color w:val="auto"/>
                <w:w w:val="90"/>
              </w:rPr>
              <w:t>Offering</w:t>
            </w:r>
          </w:p>
        </w:tc>
        <w:tc>
          <w:tcPr>
            <w:tcW w:w="70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86"/>
              </w:rPr>
              <w:t>Conversion</w:t>
            </w:r>
          </w:p>
        </w:tc>
        <w:tc>
          <w:tcPr>
            <w:tcW w:w="1200" w:type="dxa"/>
            <w:vAlign w:val="bottom"/>
            <w:gridSpan w:val="4"/>
          </w:tcPr>
          <w:p>
            <w:pPr>
              <w:jc w:val="center"/>
              <w:ind w:right="60"/>
              <w:spacing w:after="0" w:line="144" w:lineRule="exact"/>
              <w:rPr>
                <w:sz w:val="20"/>
                <w:szCs w:val="20"/>
                <w:color w:val="auto"/>
              </w:rPr>
            </w:pPr>
            <w:r>
              <w:rPr>
                <w:rFonts w:ascii="Arial" w:cs="Arial" w:eastAsia="Arial" w:hAnsi="Arial"/>
                <w:sz w:val="13"/>
                <w:szCs w:val="13"/>
                <w:b w:val="1"/>
                <w:bCs w:val="1"/>
                <w:color w:val="auto"/>
                <w:w w:val="90"/>
              </w:rPr>
              <w:t>Offering</w:t>
            </w:r>
          </w:p>
        </w:tc>
        <w:tc>
          <w:tcPr>
            <w:tcW w:w="7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82"/>
              </w:rPr>
              <w:t>Shares</w:t>
            </w:r>
          </w:p>
        </w:tc>
        <w:tc>
          <w:tcPr>
            <w:tcW w:w="6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2"/>
              </w:rPr>
              <w:t>Warrants</w:t>
            </w:r>
          </w:p>
        </w:tc>
        <w:tc>
          <w:tcPr>
            <w:tcW w:w="1140" w:type="dxa"/>
            <w:vAlign w:val="bottom"/>
            <w:gridSpan w:val="4"/>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are Sold</w:t>
            </w:r>
          </w:p>
        </w:tc>
        <w:tc>
          <w:tcPr>
            <w:tcW w:w="110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8"/>
              </w:rPr>
              <w:t>Warrants are Sold</w:t>
            </w:r>
          </w:p>
        </w:tc>
        <w:tc>
          <w:tcPr>
            <w:tcW w:w="0" w:type="dxa"/>
            <w:vAlign w:val="bottom"/>
          </w:tcPr>
          <w:p>
            <w:pPr>
              <w:spacing w:after="0"/>
              <w:rPr>
                <w:sz w:val="1"/>
                <w:szCs w:val="1"/>
                <w:color w:val="auto"/>
              </w:rPr>
            </w:pPr>
          </w:p>
        </w:tc>
      </w:tr>
      <w:tr>
        <w:trPr>
          <w:trHeight w:val="32"/>
        </w:trPr>
        <w:tc>
          <w:tcPr>
            <w:tcW w:w="1400" w:type="dxa"/>
            <w:vAlign w:val="bottom"/>
            <w:gridSpan w:val="2"/>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restart"/>
          </w:tcPr>
          <w:p>
            <w:pPr>
              <w:jc w:val="center"/>
              <w:ind w:right="60"/>
              <w:spacing w:after="0" w:line="126" w:lineRule="exact"/>
              <w:rPr>
                <w:sz w:val="20"/>
                <w:szCs w:val="20"/>
                <w:color w:val="auto"/>
              </w:rPr>
            </w:pPr>
            <w:r>
              <w:rPr>
                <w:rFonts w:ascii="Arial" w:cs="Arial" w:eastAsia="Arial" w:hAnsi="Arial"/>
                <w:sz w:val="13"/>
                <w:szCs w:val="13"/>
                <w:b w:val="1"/>
                <w:bCs w:val="1"/>
                <w:color w:val="auto"/>
                <w:w w:val="84"/>
              </w:rPr>
              <w:t>of Special</w:t>
            </w: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restart"/>
          </w:tcPr>
          <w:p>
            <w:pPr>
              <w:jc w:val="center"/>
              <w:ind w:right="80"/>
              <w:spacing w:after="0" w:line="126" w:lineRule="exact"/>
              <w:rPr>
                <w:sz w:val="20"/>
                <w:szCs w:val="20"/>
                <w:color w:val="auto"/>
              </w:rPr>
            </w:pPr>
            <w:r>
              <w:rPr>
                <w:rFonts w:ascii="Arial" w:cs="Arial" w:eastAsia="Arial" w:hAnsi="Arial"/>
                <w:sz w:val="13"/>
                <w:szCs w:val="13"/>
                <w:b w:val="1"/>
                <w:bCs w:val="1"/>
                <w:color w:val="auto"/>
                <w:w w:val="82"/>
              </w:rPr>
              <w:t>Being</w:t>
            </w:r>
          </w:p>
        </w:tc>
        <w:tc>
          <w:tcPr>
            <w:tcW w:w="680" w:type="dxa"/>
            <w:vAlign w:val="bottom"/>
            <w:gridSpan w:val="2"/>
            <w:vMerge w:val="restart"/>
          </w:tcPr>
          <w:p>
            <w:pPr>
              <w:jc w:val="center"/>
              <w:ind w:right="100"/>
              <w:spacing w:after="0" w:line="126" w:lineRule="exact"/>
              <w:rPr>
                <w:sz w:val="20"/>
                <w:szCs w:val="20"/>
                <w:color w:val="auto"/>
              </w:rPr>
            </w:pPr>
            <w:r>
              <w:rPr>
                <w:rFonts w:ascii="Arial" w:cs="Arial" w:eastAsia="Arial" w:hAnsi="Arial"/>
                <w:sz w:val="13"/>
                <w:szCs w:val="13"/>
                <w:b w:val="1"/>
                <w:bCs w:val="1"/>
                <w:color w:val="auto"/>
                <w:w w:val="82"/>
              </w:rPr>
              <w:t>Being</w:t>
            </w: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4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400" w:type="dxa"/>
            <w:vAlign w:val="bottom"/>
            <w:gridSpan w:val="2"/>
          </w:tcPr>
          <w:p>
            <w:pPr>
              <w:spacing w:after="0"/>
              <w:rPr>
                <w:sz w:val="20"/>
                <w:szCs w:val="20"/>
                <w:color w:val="auto"/>
              </w:rPr>
            </w:pPr>
            <w:r>
              <w:rPr>
                <w:rFonts w:ascii="Arial" w:cs="Arial" w:eastAsia="Arial" w:hAnsi="Arial"/>
                <w:sz w:val="13"/>
                <w:szCs w:val="13"/>
                <w:b w:val="1"/>
                <w:bCs w:val="1"/>
                <w:color w:val="auto"/>
              </w:rPr>
              <w:t>Securityholders</w:t>
            </w:r>
            <w:r>
              <w:rPr>
                <w:rFonts w:ascii="Arial" w:cs="Arial" w:eastAsia="Arial" w:hAnsi="Arial"/>
                <w:sz w:val="14"/>
                <w:szCs w:val="14"/>
                <w:b w:val="1"/>
                <w:bCs w:val="1"/>
                <w:color w:val="auto"/>
                <w:vertAlign w:val="superscript"/>
              </w:rPr>
              <w:t>(1)</w:t>
            </w:r>
          </w:p>
        </w:tc>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Percent</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5"/>
              </w:rPr>
              <w:t>Warrants</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7"/>
              </w:rPr>
              <w:t>Percent</w:t>
            </w: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Offered</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Offered</w:t>
            </w:r>
          </w:p>
        </w:tc>
        <w:tc>
          <w:tcPr>
            <w:tcW w:w="60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ind w:left="20"/>
              <w:spacing w:after="0"/>
              <w:rPr>
                <w:sz w:val="20"/>
                <w:szCs w:val="20"/>
                <w:color w:val="auto"/>
              </w:rPr>
            </w:pPr>
            <w:r>
              <w:rPr>
                <w:rFonts w:ascii="Arial" w:cs="Arial" w:eastAsia="Arial" w:hAnsi="Arial"/>
                <w:sz w:val="13"/>
                <w:szCs w:val="13"/>
                <w:b w:val="1"/>
                <w:bCs w:val="1"/>
                <w:color w:val="auto"/>
              </w:rPr>
              <w:t>Percent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8"/>
              </w:rPr>
              <w:t>Warrants</w:t>
            </w:r>
          </w:p>
        </w:tc>
        <w:tc>
          <w:tcPr>
            <w:tcW w:w="500" w:type="dxa"/>
            <w:vAlign w:val="bottom"/>
          </w:tcPr>
          <w:p>
            <w:pPr>
              <w:ind w:left="40"/>
              <w:spacing w:after="0"/>
              <w:rPr>
                <w:sz w:val="20"/>
                <w:szCs w:val="20"/>
                <w:color w:val="auto"/>
              </w:rPr>
            </w:pPr>
            <w:r>
              <w:rPr>
                <w:rFonts w:ascii="Arial" w:cs="Arial" w:eastAsia="Arial" w:hAnsi="Arial"/>
                <w:sz w:val="13"/>
                <w:szCs w:val="13"/>
                <w:b w:val="1"/>
                <w:bCs w:val="1"/>
                <w:color w:val="auto"/>
                <w:w w:val="92"/>
              </w:rPr>
              <w:t>Percent</w:t>
            </w:r>
          </w:p>
        </w:tc>
        <w:tc>
          <w:tcPr>
            <w:tcW w:w="0" w:type="dxa"/>
            <w:vAlign w:val="bottom"/>
          </w:tcPr>
          <w:p>
            <w:pPr>
              <w:spacing w:after="0"/>
              <w:rPr>
                <w:sz w:val="1"/>
                <w:szCs w:val="1"/>
                <w:color w:val="auto"/>
              </w:rPr>
            </w:pPr>
          </w:p>
        </w:tc>
      </w:tr>
      <w:tr>
        <w:trPr>
          <w:trHeight w:val="130"/>
        </w:trPr>
        <w:tc>
          <w:tcPr>
            <w:tcW w:w="132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Portline Holdings</w:t>
            </w: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Investments</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Limited</w:t>
            </w:r>
            <w:r>
              <w:rPr>
                <w:rFonts w:ascii="Arial" w:cs="Arial" w:eastAsia="Arial" w:hAnsi="Arial"/>
                <w:sz w:val="14"/>
                <w:szCs w:val="14"/>
                <w:color w:val="auto"/>
                <w:vertAlign w:val="superscript"/>
              </w:rPr>
              <w:t>(36)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58"/>
        </w:trPr>
        <w:tc>
          <w:tcPr>
            <w:tcW w:w="1400" w:type="dxa"/>
            <w:vAlign w:val="bottom"/>
            <w:gridSpan w:val="2"/>
          </w:tcPr>
          <w:p>
            <w:pPr>
              <w:spacing w:after="0"/>
              <w:rPr>
                <w:sz w:val="20"/>
                <w:szCs w:val="20"/>
                <w:color w:val="auto"/>
              </w:rPr>
            </w:pPr>
            <w:r>
              <w:rPr>
                <w:rFonts w:ascii="Arial" w:cs="Arial" w:eastAsia="Arial" w:hAnsi="Arial"/>
                <w:sz w:val="14"/>
                <w:szCs w:val="14"/>
                <w:color w:val="auto"/>
              </w:rPr>
              <w:t>Deepak Natarajan</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58,596</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22,734</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81,330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6"/>
        </w:trPr>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Sustainable</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Opportunities</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Holdings, LLC</w:t>
            </w:r>
            <w:r>
              <w:rPr>
                <w:rFonts w:ascii="Arial" w:cs="Arial" w:eastAsia="Arial" w:hAnsi="Arial"/>
                <w:sz w:val="14"/>
                <w:szCs w:val="14"/>
                <w:color w:val="auto"/>
                <w:vertAlign w:val="superscript"/>
              </w:rPr>
              <w:t>(37)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6,669,000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1,241,000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9"/>
              </w:rPr>
              <w:t>9,500,000</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17,410,000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9,500,000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74"/>
        </w:trPr>
        <w:tc>
          <w:tcPr>
            <w:tcW w:w="1400" w:type="dxa"/>
            <w:vAlign w:val="bottom"/>
            <w:gridSpan w:val="2"/>
          </w:tcPr>
          <w:p>
            <w:pPr>
              <w:spacing w:after="0"/>
              <w:rPr>
                <w:sz w:val="20"/>
                <w:szCs w:val="20"/>
                <w:color w:val="auto"/>
              </w:rPr>
            </w:pPr>
            <w:r>
              <w:rPr>
                <w:rFonts w:ascii="Arial" w:cs="Arial" w:eastAsia="Arial" w:hAnsi="Arial"/>
                <w:sz w:val="14"/>
                <w:szCs w:val="14"/>
                <w:color w:val="auto"/>
              </w:rPr>
              <w:t>Isaac Barchas</w:t>
            </w:r>
            <w:r>
              <w:rPr>
                <w:rFonts w:ascii="Arial" w:cs="Arial" w:eastAsia="Arial" w:hAnsi="Arial"/>
                <w:sz w:val="14"/>
                <w:szCs w:val="14"/>
                <w:color w:val="auto"/>
                <w:vertAlign w:val="superscript"/>
              </w:rPr>
              <w:t>(38)</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30,000</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30,000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The Justin and Susan</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Kelly</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Foundation</w:t>
            </w:r>
            <w:r>
              <w:rPr>
                <w:rFonts w:ascii="Arial" w:cs="Arial" w:eastAsia="Arial" w:hAnsi="Arial"/>
                <w:sz w:val="14"/>
                <w:szCs w:val="14"/>
                <w:color w:val="auto"/>
                <w:vertAlign w:val="superscript"/>
              </w:rPr>
              <w:t>(39)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30,000</w:t>
            </w:r>
          </w:p>
        </w:tc>
        <w:tc>
          <w:tcPr>
            <w:tcW w:w="4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line="139" w:lineRule="exact"/>
              <w:rPr>
                <w:sz w:val="20"/>
                <w:szCs w:val="20"/>
                <w:color w:val="auto"/>
              </w:rPr>
            </w:pPr>
            <w:r>
              <w:rPr>
                <w:rFonts w:ascii="Arial" w:cs="Arial" w:eastAsia="Arial" w:hAnsi="Arial"/>
                <w:sz w:val="14"/>
                <w:szCs w:val="14"/>
                <w:color w:val="auto"/>
              </w:rPr>
              <w:t>Richard W. Gaenzle</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27"/>
                <w:szCs w:val="27"/>
                <w:color w:val="auto"/>
                <w:vertAlign w:val="subscript"/>
              </w:rPr>
              <w:t>Jr</w:t>
            </w:r>
            <w:r>
              <w:rPr>
                <w:rFonts w:ascii="Arial" w:cs="Arial" w:eastAsia="Arial" w:hAnsi="Arial"/>
                <w:sz w:val="11"/>
                <w:szCs w:val="11"/>
                <w:color w:val="auto"/>
              </w:rPr>
              <w:t>(40)</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30,000</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30,000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83"/>
        </w:trPr>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1290533 B.C. Ltd</w:t>
            </w:r>
            <w:r>
              <w:rPr>
                <w:rFonts w:ascii="Arial" w:cs="Arial" w:eastAsia="Arial" w:hAnsi="Arial"/>
                <w:sz w:val="21"/>
                <w:szCs w:val="21"/>
                <w:color w:val="auto"/>
                <w:vertAlign w:val="superscript"/>
              </w:rPr>
              <w:t>(41)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7,394,879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4,356,328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11,751,207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line="139" w:lineRule="exact"/>
              <w:rPr>
                <w:sz w:val="20"/>
                <w:szCs w:val="20"/>
                <w:color w:val="auto"/>
              </w:rPr>
            </w:pPr>
            <w:r>
              <w:rPr>
                <w:rFonts w:ascii="Arial" w:cs="Arial" w:eastAsia="Arial" w:hAnsi="Arial"/>
                <w:sz w:val="14"/>
                <w:szCs w:val="14"/>
                <w:color w:val="auto"/>
              </w:rPr>
              <w:t>Andrew Carlyle</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Greig</w:t>
            </w:r>
            <w:r>
              <w:rPr>
                <w:rFonts w:ascii="Arial" w:cs="Arial" w:eastAsia="Arial" w:hAnsi="Arial"/>
                <w:sz w:val="21"/>
                <w:szCs w:val="21"/>
                <w:color w:val="auto"/>
                <w:vertAlign w:val="superscript"/>
              </w:rPr>
              <w:t>(42)</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4,686,336</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2,412,848</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6,508,675</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590,509</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Sterling Securities</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Int. Ltd</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1,262,208</w:t>
            </w: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743,566</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2,005,774</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Aequanimitas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40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Limited</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Partnership</w:t>
            </w:r>
            <w:r>
              <w:rPr>
                <w:rFonts w:ascii="Arial" w:cs="Arial" w:eastAsia="Arial" w:hAnsi="Arial"/>
                <w:sz w:val="21"/>
                <w:szCs w:val="21"/>
                <w:color w:val="auto"/>
                <w:vertAlign w:val="superscript"/>
              </w:rPr>
              <w:t>(43)</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1,690,481</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995,859</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2,686,340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South Lake One</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27"/>
                <w:szCs w:val="27"/>
                <w:color w:val="auto"/>
                <w:vertAlign w:val="subscript"/>
              </w:rPr>
              <w:t>LLC</w:t>
            </w:r>
            <w:r>
              <w:rPr>
                <w:rFonts w:ascii="Arial" w:cs="Arial" w:eastAsia="Arial" w:hAnsi="Arial"/>
                <w:sz w:val="11"/>
                <w:szCs w:val="11"/>
                <w:color w:val="auto"/>
              </w:rPr>
              <w:t>(44)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2,540,386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1,496,537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4,036,923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line="139" w:lineRule="exact"/>
              <w:rPr>
                <w:sz w:val="20"/>
                <w:szCs w:val="20"/>
                <w:color w:val="auto"/>
              </w:rPr>
            </w:pPr>
            <w:r>
              <w:rPr>
                <w:rFonts w:ascii="Arial" w:cs="Arial" w:eastAsia="Arial" w:hAnsi="Arial"/>
                <w:sz w:val="14"/>
                <w:szCs w:val="14"/>
                <w:color w:val="auto"/>
              </w:rPr>
              <w:t>Cadence Capital</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Limited</w:t>
            </w:r>
            <w:r>
              <w:rPr>
                <w:rFonts w:ascii="Arial" w:cs="Arial" w:eastAsia="Arial" w:hAnsi="Arial"/>
                <w:sz w:val="21"/>
                <w:szCs w:val="21"/>
                <w:color w:val="auto"/>
                <w:vertAlign w:val="superscript"/>
              </w:rPr>
              <w:t>(45)</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1,748,371</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1,029,962</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2,778,333</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Cadence Global Pty</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Limited</w:t>
            </w:r>
            <w:r>
              <w:rPr>
                <w:rFonts w:ascii="Arial" w:cs="Arial" w:eastAsia="Arial" w:hAnsi="Arial"/>
                <w:sz w:val="21"/>
                <w:szCs w:val="21"/>
                <w:color w:val="auto"/>
                <w:vertAlign w:val="superscript"/>
              </w:rPr>
              <w:t>(46)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2,026,258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1,193,670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3,219,928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Glencore</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40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International</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27"/>
                <w:szCs w:val="27"/>
                <w:color w:val="auto"/>
                <w:vertAlign w:val="subscript"/>
              </w:rPr>
              <w:t>AG</w:t>
            </w:r>
            <w:r>
              <w:rPr>
                <w:rFonts w:ascii="Arial" w:cs="Arial" w:eastAsia="Arial" w:hAnsi="Arial"/>
                <w:sz w:val="11"/>
                <w:szCs w:val="11"/>
                <w:color w:val="auto"/>
              </w:rPr>
              <w:t>(47)</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2,315,724</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1,364,190</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3,679,914</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Windward Prospects</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Limited</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7,440,642</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4,383,288</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11,823,930</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$PTY Limited ATP</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Fund</w:t>
            </w:r>
            <w:r>
              <w:rPr>
                <w:rFonts w:ascii="Arial" w:cs="Arial" w:eastAsia="Arial" w:hAnsi="Arial"/>
                <w:sz w:val="21"/>
                <w:szCs w:val="21"/>
                <w:color w:val="auto"/>
                <w:vertAlign w:val="superscript"/>
              </w:rPr>
              <w:t>(48)</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567,352</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334,226</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901,578</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Wimbledon</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Investments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0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4"/>
                <w:szCs w:val="14"/>
                <w:color w:val="auto"/>
              </w:rPr>
              <w:t>PTY Limited ATF</w:t>
            </w: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40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Deakin Fund</w:t>
            </w:r>
            <w:r>
              <w:rPr>
                <w:rFonts w:ascii="Arial" w:cs="Arial" w:eastAsia="Arial" w:hAnsi="Arial"/>
                <w:sz w:val="21"/>
                <w:szCs w:val="21"/>
                <w:color w:val="auto"/>
                <w:vertAlign w:val="superscript"/>
              </w:rPr>
              <w:t>(49)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569,494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335,488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904,982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0"/>
        </w:trPr>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Nomura 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40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International, Inc.</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320" w:type="dxa"/>
            <w:vAlign w:val="bottom"/>
          </w:tcPr>
          <w:p>
            <w:pPr>
              <w:ind w:left="180"/>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787,962</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787,962</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5"/>
        </w:trPr>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Mintz, Levin, Cohn,</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Ferris,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Glovsky and</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0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4"/>
                <w:szCs w:val="14"/>
                <w:color w:val="auto"/>
              </w:rPr>
              <w:t>Popeo,</w:t>
            </w: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40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P.C.</w:t>
            </w:r>
            <w:r>
              <w:rPr>
                <w:rFonts w:ascii="Arial" w:cs="Arial" w:eastAsia="Arial" w:hAnsi="Arial"/>
                <w:sz w:val="21"/>
                <w:szCs w:val="21"/>
                <w:color w:val="auto"/>
                <w:vertAlign w:val="superscript"/>
              </w:rPr>
              <w:t>(51)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36,361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36,361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line="139" w:lineRule="exact"/>
              <w:rPr>
                <w:sz w:val="20"/>
                <w:szCs w:val="20"/>
                <w:color w:val="auto"/>
              </w:rPr>
            </w:pPr>
            <w:r>
              <w:rPr>
                <w:rFonts w:ascii="Arial" w:cs="Arial" w:eastAsia="Arial" w:hAnsi="Arial"/>
                <w:sz w:val="14"/>
                <w:szCs w:val="14"/>
                <w:color w:val="auto"/>
              </w:rPr>
              <w:t>Fasken Martineau</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DuMoulin LLP</w:t>
            </w:r>
            <w:r>
              <w:rPr>
                <w:rFonts w:ascii="Arial" w:cs="Arial" w:eastAsia="Arial" w:hAnsi="Arial"/>
                <w:sz w:val="21"/>
                <w:szCs w:val="21"/>
                <w:color w:val="auto"/>
                <w:vertAlign w:val="superscript"/>
              </w:rPr>
              <w:t>(52)</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14,630</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14,630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Wedbush Securities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40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Inc.</w:t>
            </w:r>
            <w:r>
              <w:rPr>
                <w:rFonts w:ascii="Arial" w:cs="Arial" w:eastAsia="Arial" w:hAnsi="Arial"/>
                <w:sz w:val="21"/>
                <w:szCs w:val="21"/>
                <w:color w:val="auto"/>
                <w:vertAlign w:val="superscript"/>
              </w:rPr>
              <w:t>(53)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line="139" w:lineRule="exact"/>
              <w:rPr>
                <w:sz w:val="20"/>
                <w:szCs w:val="20"/>
                <w:color w:val="auto"/>
              </w:rPr>
            </w:pPr>
            <w:r>
              <w:rPr>
                <w:rFonts w:ascii="Arial" w:cs="Arial" w:eastAsia="Arial" w:hAnsi="Arial"/>
                <w:sz w:val="14"/>
                <w:szCs w:val="14"/>
                <w:color w:val="auto"/>
              </w:rPr>
              <w:t>Northland Securities,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400" w:type="dxa"/>
            <w:vAlign w:val="bottom"/>
            <w:gridSpan w:val="2"/>
          </w:tcPr>
          <w:p>
            <w:pPr>
              <w:ind w:left="180"/>
              <w:spacing w:after="0"/>
              <w:rPr>
                <w:sz w:val="20"/>
                <w:szCs w:val="20"/>
                <w:color w:val="auto"/>
              </w:rPr>
            </w:pPr>
            <w:r>
              <w:rPr>
                <w:rFonts w:ascii="Arial" w:cs="Arial" w:eastAsia="Arial" w:hAnsi="Arial"/>
                <w:sz w:val="14"/>
                <w:szCs w:val="14"/>
                <w:color w:val="auto"/>
              </w:rPr>
              <w:t>Inc.</w:t>
            </w:r>
            <w:r>
              <w:rPr>
                <w:rFonts w:ascii="Arial" w:cs="Arial" w:eastAsia="Arial" w:hAnsi="Arial"/>
                <w:sz w:val="21"/>
                <w:szCs w:val="21"/>
                <w:color w:val="auto"/>
                <w:vertAlign w:val="superscript"/>
              </w:rPr>
              <w:t>(54)</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25,000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Denotes less than 1%.</w:t>
      </w:r>
    </w:p>
    <w:p>
      <w:pPr>
        <w:spacing w:after="0" w:line="22" w:lineRule="exact"/>
        <w:rPr>
          <w:sz w:val="20"/>
          <w:szCs w:val="20"/>
          <w:color w:val="auto"/>
        </w:rPr>
      </w:pPr>
    </w:p>
    <w:p>
      <w:pPr>
        <w:ind w:left="860" w:hanging="406"/>
        <w:spacing w:after="0"/>
        <w:tabs>
          <w:tab w:leader="none" w:pos="8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Certain Selling Securityholders may be deemed to beneficially own other shares reported herein.</w:t>
      </w:r>
    </w:p>
    <w:p>
      <w:pPr>
        <w:spacing w:after="0" w:line="19" w:lineRule="exact"/>
        <w:rPr>
          <w:sz w:val="20"/>
          <w:szCs w:val="20"/>
          <w:color w:val="auto"/>
        </w:rPr>
      </w:pPr>
    </w:p>
    <w:p>
      <w:pPr>
        <w:ind w:left="880" w:right="979" w:hanging="426"/>
        <w:spacing w:after="0" w:line="254"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these holders is c/o TMC the metals company Inc., 595 Howe Street,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Vancouver, British Columbia, Canada V6C 2T5.</w:t>
      </w:r>
    </w:p>
    <w:p>
      <w:pPr>
        <w:spacing w:after="0" w:line="1" w:lineRule="exact"/>
        <w:rPr>
          <w:rFonts w:ascii="Arial" w:cs="Arial" w:eastAsia="Arial" w:hAnsi="Arial"/>
          <w:sz w:val="16"/>
          <w:szCs w:val="16"/>
          <w:color w:val="auto"/>
        </w:rPr>
      </w:pPr>
    </w:p>
    <w:p>
      <w:pPr>
        <w:ind w:left="880" w:right="839" w:hanging="426"/>
        <w:spacing w:after="0" w:line="259"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Represents (i) 14,209,752 Common Shares and (ii) 4,078,044 Common Shares that are issuable upon exercise of options that are exercisable within 60 days of October 1, 2021. Does not include 2,275,334 Common Shares underlying options that are not exercisable within 60 days of October 1, 2021.</w:t>
      </w:r>
    </w:p>
    <w:p>
      <w:pPr>
        <w:spacing w:after="0" w:line="1" w:lineRule="exact"/>
        <w:rPr>
          <w:rFonts w:ascii="Arial" w:cs="Arial" w:eastAsia="Arial" w:hAnsi="Arial"/>
          <w:sz w:val="16"/>
          <w:szCs w:val="16"/>
          <w:color w:val="auto"/>
        </w:rPr>
      </w:pPr>
    </w:p>
    <w:p>
      <w:pPr>
        <w:ind w:left="880" w:right="619" w:hanging="426"/>
        <w:spacing w:after="0" w:line="281" w:lineRule="auto"/>
        <w:tabs>
          <w:tab w:leader="none" w:pos="8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Represents (i) 39,621,909 Common Shares held by ERAS Capital LLC (“ERAS”) and (ii) 642,613 Common Shares that are issuable upon exercise of options that are exercisable within 60 days of October 1, 2021 held by</w:t>
      </w:r>
    </w:p>
    <w:p>
      <w:pPr>
        <w:spacing w:after="0" w:line="1" w:lineRule="exact"/>
        <w:rPr>
          <w:rFonts w:ascii="Arial" w:cs="Arial" w:eastAsia="Arial" w:hAnsi="Arial"/>
          <w:sz w:val="15"/>
          <w:szCs w:val="15"/>
          <w:color w:val="auto"/>
        </w:rPr>
      </w:pPr>
    </w:p>
    <w:p>
      <w:pPr>
        <w:jc w:val="both"/>
        <w:ind w:left="880" w:right="579"/>
        <w:spacing w:after="0" w:line="281" w:lineRule="auto"/>
        <w:rPr>
          <w:rFonts w:ascii="Arial" w:cs="Arial" w:eastAsia="Arial" w:hAnsi="Arial"/>
          <w:sz w:val="15"/>
          <w:szCs w:val="15"/>
          <w:color w:val="auto"/>
        </w:rPr>
      </w:pPr>
      <w:r>
        <w:rPr>
          <w:rFonts w:ascii="Arial" w:cs="Arial" w:eastAsia="Arial" w:hAnsi="Arial"/>
          <w:sz w:val="15"/>
          <w:szCs w:val="15"/>
          <w:color w:val="auto"/>
        </w:rPr>
        <w:t>Mr. Karkar. Does not include 126,407 Common Shares underlying options that are not exercisable within 60 days of October 1, 2021 held by Mr. Karkar. Mr. Karkar has voting and dispositive control over the securities held by ERAS and therefore Mr. Karkar may be deemed to have beneficial ownership of the shares held by ERAS.</w:t>
      </w:r>
    </w:p>
    <w:p>
      <w:pPr>
        <w:spacing w:after="0" w:line="1" w:lineRule="exact"/>
        <w:rPr>
          <w:rFonts w:ascii="Arial" w:cs="Arial" w:eastAsia="Arial" w:hAnsi="Arial"/>
          <w:sz w:val="15"/>
          <w:szCs w:val="15"/>
          <w:color w:val="auto"/>
        </w:rPr>
      </w:pPr>
    </w:p>
    <w:p>
      <w:pPr>
        <w:ind w:left="880" w:right="979" w:hanging="426"/>
        <w:spacing w:after="0" w:line="301" w:lineRule="auto"/>
        <w:tabs>
          <w:tab w:leader="none" w:pos="8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(i) 1,222,757 Common Shares, (ii) 618,381 Common Shares held by Bedrock Capital Corp., and (iii) 584,720 Common Shares that are issuable upon exercise of options that are exercisable within 60 days of October 1, 2021. Does not include 101,126 Common Shares underlying options that are not exercisable within</w:t>
      </w:r>
    </w:p>
    <w:p>
      <w:pPr>
        <w:spacing w:after="0" w:line="1" w:lineRule="exact"/>
        <w:rPr>
          <w:rFonts w:ascii="Arial" w:cs="Arial" w:eastAsia="Arial" w:hAnsi="Arial"/>
          <w:sz w:val="14"/>
          <w:szCs w:val="14"/>
          <w:color w:val="auto"/>
        </w:rPr>
      </w:pPr>
    </w:p>
    <w:p>
      <w:pPr>
        <w:jc w:val="both"/>
        <w:ind w:left="880" w:right="599"/>
        <w:spacing w:after="0" w:line="264" w:lineRule="auto"/>
        <w:rPr>
          <w:rFonts w:ascii="Arial" w:cs="Arial" w:eastAsia="Arial" w:hAnsi="Arial"/>
          <w:sz w:val="14"/>
          <w:szCs w:val="14"/>
          <w:color w:val="auto"/>
        </w:rPr>
      </w:pPr>
      <w:r>
        <w:rPr>
          <w:rFonts w:ascii="Arial" w:cs="Arial" w:eastAsia="Arial" w:hAnsi="Arial"/>
          <w:sz w:val="16"/>
          <w:szCs w:val="16"/>
          <w:color w:val="auto"/>
        </w:rPr>
        <w:t>60 days of October 1, 2021. Mr. Matysek has voting and investment power over the shares held by Bedrock Capital Corp. The business address of such holder is 5603 — 1480 Howe Street, Vancouver, British Columbia, Canada V6Z 0G5.</w:t>
      </w:r>
    </w:p>
    <w:p>
      <w:pPr>
        <w:ind w:left="880" w:right="659" w:hanging="426"/>
        <w:spacing w:after="0" w:line="272"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Does not include 126,407 Common Shares underlying options that are not exercisable within 60 days of October 1, 2021. Mr. Paes-Braga has voting and investment power over the shares held by WTP Capital Corp. and Valola Holdings Corp. The business address of such holder is 5603 — 1480 Howe Street, Vancouver, British Columbia, Canada V6Z 0G5.</w:t>
      </w:r>
    </w:p>
    <w:p>
      <w:pPr>
        <w:sectPr>
          <w:pgSz w:w="11900" w:h="16838" w:orient="portrait"/>
          <w:cols w:equalWidth="0" w:num="1">
            <w:col w:w="9019"/>
          </w:cols>
          <w:pgMar w:left="1440" w:top="274" w:right="1440" w:bottom="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40" w:name="page141"/>
    <w:bookmarkEnd w:id="1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499" w:hanging="426"/>
        <w:spacing w:after="0" w:line="261"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Represents (i) 33,076 Common Shares and (ii) 1,323,613 Common Shares that are issuable upon exercise of options that are exercisable within 60 days of October 1, 2021. Does not include 505,630 Common Shares underlying options that are not exercisable within 60 days of October 1, 2021.</w:t>
      </w:r>
    </w:p>
    <w:p>
      <w:pPr>
        <w:spacing w:after="0" w:line="1" w:lineRule="exact"/>
        <w:rPr>
          <w:rFonts w:ascii="Arial" w:cs="Arial" w:eastAsia="Arial" w:hAnsi="Arial"/>
          <w:sz w:val="16"/>
          <w:szCs w:val="16"/>
          <w:color w:val="auto"/>
        </w:rPr>
      </w:pPr>
    </w:p>
    <w:p>
      <w:pPr>
        <w:ind w:left="880" w:right="619" w:hanging="426"/>
        <w:spacing w:after="0" w:line="264"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Represents (i) 217,099 Common Shares, (ii) 30,682 Common Shares held of record by Ms. Ilves’ children, Helena Lupas and Dora Lupas, and (iii) 1,362,077 Common Shares that are issuable upon exercise of options that are exercisable within 60 days of October 1, 2021. Does not include 1,011,259 Common Shares underlying options that are not exercisable within 60 days of October 1, 2021. Ms. Ilves disclaims ownership over the shares held by her children, Helena Lupas and Dora Lupas.</w:t>
      </w:r>
    </w:p>
    <w:p>
      <w:pPr>
        <w:ind w:left="880" w:right="659" w:hanging="426"/>
        <w:spacing w:after="0" w:line="264"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Does not include 658,065 Common Shares underlying options that are not exercisable within 60 days of October 1, 2021.</w:t>
      </w:r>
    </w:p>
    <w:p>
      <w:pPr>
        <w:ind w:left="880" w:right="479" w:hanging="426"/>
        <w:spacing w:after="0" w:line="264" w:lineRule="auto"/>
        <w:tabs>
          <w:tab w:leader="none" w:pos="8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shares reported herein are held directly by Maersk Supply Services A/S, a wholly-owned subsidiary of A.P. Moller — Maersk A/S. A.P. Moller Holding A/S controls a majority of the outstanding equity interests and voting power of A.P. Moller — Maersk A/S. A.P. Moller Holding A/S is a wholly-owned subsidiary of A.P. Moller og Hustru Chastine Mc-Kinney Mollers Fond til almene Formaal (the “Moller Foundation”). Ane Maersk Mc Kinney Uggla, Brigitte Possing, Lars-Erik Brenoe, Alette Maersk Mc-Kinney Sorensen and Claus Michael Valentin Hemmingsen, directors of the Moller Foundation, have voting and investment control over the shares held by Maersk Supply Service A/S. The business address of such holder is Esplanaden 50 Copenhagen K, DK-1098 Denmark. Maersk Supply Service A/S is a subsidiary of AP Moller-Maersk A/S.</w:t>
      </w:r>
    </w:p>
    <w:p>
      <w:pPr>
        <w:ind w:left="880" w:right="519" w:hanging="426"/>
        <w:spacing w:after="0" w:line="264" w:lineRule="auto"/>
        <w:tabs>
          <w:tab w:leader="none" w:pos="871"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Anthony O’Sullivan has voting and investment control over the shares held by JOZEM Pty Ltd. The business address of such holder is 19 Tennyson Street, Bulimba, Queensland 4171.</w:t>
      </w:r>
    </w:p>
    <w:p>
      <w:pPr>
        <w:ind w:left="880" w:right="539" w:hanging="426"/>
        <w:spacing w:after="0" w:line="264" w:lineRule="auto"/>
        <w:tabs>
          <w:tab w:leader="none" w:pos="874" w:val="left"/>
        </w:tabs>
        <w:numPr>
          <w:ilvl w:val="0"/>
          <w:numId w:val="95"/>
        </w:numPr>
        <w:rPr>
          <w:rFonts w:ascii="Arial" w:cs="Arial" w:eastAsia="Arial" w:hAnsi="Arial"/>
          <w:sz w:val="16"/>
          <w:szCs w:val="16"/>
          <w:color w:val="auto"/>
        </w:rPr>
      </w:pPr>
      <w:r>
        <w:rPr>
          <w:rFonts w:ascii="Arial" w:cs="Arial" w:eastAsia="Arial" w:hAnsi="Arial"/>
          <w:sz w:val="16"/>
          <w:szCs w:val="16"/>
          <w:color w:val="auto"/>
        </w:rPr>
        <w:t>Mr. Paes-Braga has voting and investment power over the shares held by WTP Capital Corp. The business address of such holder is 1000-595 Howe Street, Vancouver, British Columbia, Canada V6C 2T5.</w:t>
      </w:r>
    </w:p>
    <w:p>
      <w:pPr>
        <w:ind w:left="880" w:right="499" w:hanging="426"/>
        <w:spacing w:after="0" w:line="281" w:lineRule="auto"/>
        <w:tabs>
          <w:tab w:leader="none" w:pos="8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Mr. Paes-Braga has voting and investment power over the shares held by Valola Holdings Corp. The business address of such holder is One Nexus Way, Camana Bay, Grand Cayman, Cayman Islands KY1-9005.</w:t>
      </w:r>
    </w:p>
    <w:p>
      <w:pPr>
        <w:spacing w:after="0" w:line="1" w:lineRule="exact"/>
        <w:rPr>
          <w:rFonts w:ascii="Arial" w:cs="Arial" w:eastAsia="Arial" w:hAnsi="Arial"/>
          <w:sz w:val="15"/>
          <w:szCs w:val="15"/>
          <w:color w:val="auto"/>
        </w:rPr>
      </w:pPr>
    </w:p>
    <w:p>
      <w:pPr>
        <w:ind w:left="880" w:right="999" w:hanging="426"/>
        <w:spacing w:after="0" w:line="264" w:lineRule="auto"/>
        <w:tabs>
          <w:tab w:leader="none" w:pos="8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business address of such holder is 7 West Quay Road, Marina Residential Estate, 206 Pembroke Block C, Waterfront, Cape Town, South Africa 8001.</w:t>
      </w:r>
    </w:p>
    <w:p>
      <w:pPr>
        <w:ind w:left="880" w:right="499" w:hanging="426"/>
        <w:spacing w:after="0" w:line="264"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Mr. Matysek has voting and investment power over the shares held by Bedrock Capital Corp. The business address of such holder is 5603 — 1480 Howe Street, Vancouver, British Columbia, Canada V6Z 0G5.</w:t>
      </w:r>
    </w:p>
    <w:p>
      <w:pPr>
        <w:ind w:left="880" w:right="559" w:hanging="426"/>
        <w:spacing w:after="0" w:line="279" w:lineRule="auto"/>
        <w:tabs>
          <w:tab w:leader="none" w:pos="8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Nantahala Capital Management, LLC is a Registered Investment Adviser and has been delegated the legal power to vote and/or direct the disposition of such securities on behalf of each of Silver Creek CS SAV, L.L.C., Blackwell Partners LLC — Series A, Nantahala Capital Partners Limited Partnership, Nantahala Capital Partners II Limited Partnership, Nantahala Capital Partners SI, LP, NCP QR LP and NCP RFM LP (collectively, the “Nantahala Securityholders”) as a General Partner or Investment Manager and would be considered the beneficial owner of such securities. The above shall not be deemed to be an admission by the record owners or the applicable Nantahala Securityholder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Nantahala Securityholders. The business address of such holder is c/o Nantahala Capital Management, LLC, 130 Main Street, 2</w:t>
      </w:r>
      <w:r>
        <w:rPr>
          <w:rFonts w:ascii="Arial" w:cs="Arial" w:eastAsia="Arial" w:hAnsi="Arial"/>
          <w:sz w:val="17"/>
          <w:szCs w:val="17"/>
          <w:color w:val="auto"/>
          <w:vertAlign w:val="superscript"/>
        </w:rPr>
        <w:t>nd</w:t>
      </w:r>
      <w:r>
        <w:rPr>
          <w:rFonts w:ascii="Arial" w:cs="Arial" w:eastAsia="Arial" w:hAnsi="Arial"/>
          <w:sz w:val="15"/>
          <w:szCs w:val="15"/>
          <w:color w:val="auto"/>
        </w:rPr>
        <w:t xml:space="preserve"> Floor, New Canaan, Connecticut 06844.</w:t>
      </w:r>
    </w:p>
    <w:p>
      <w:pPr>
        <w:spacing w:after="0" w:line="5" w:lineRule="exact"/>
        <w:rPr>
          <w:rFonts w:ascii="Arial" w:cs="Arial" w:eastAsia="Arial" w:hAnsi="Arial"/>
          <w:sz w:val="15"/>
          <w:szCs w:val="15"/>
          <w:color w:val="auto"/>
        </w:rPr>
      </w:pPr>
    </w:p>
    <w:p>
      <w:pPr>
        <w:ind w:left="880" w:right="519" w:hanging="426"/>
        <w:spacing w:after="0" w:line="279" w:lineRule="auto"/>
        <w:tabs>
          <w:tab w:leader="none" w:pos="8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Ivan Zinn is the Chief Investment Officer of Atalaya Capital Management Holdco LP, the investment manager to ACM ASOF VII (Cayman) Holdco LP and ACM DGOP LLC, and of Atalaya Special Purpose Investment Fund II GP LLC, the investment manager to Atalaya Special Purpose Investment Fund II LP (together with ACM ASOF VII (Cayman) Holdco LP and ACM DGOP LLC, the “Atalaya Securityholders”), and holds voting and investment power over the shares held by the Atalaya Securityholders. The business address of such holder is c/o Atalaya Capital Management Holdco LP, One Rockefeller Center, New York, New York 10020.</w:t>
      </w:r>
    </w:p>
    <w:p>
      <w:pPr>
        <w:spacing w:after="0" w:line="1" w:lineRule="exact"/>
        <w:rPr>
          <w:rFonts w:ascii="Arial" w:cs="Arial" w:eastAsia="Arial" w:hAnsi="Arial"/>
          <w:sz w:val="15"/>
          <w:szCs w:val="15"/>
          <w:color w:val="auto"/>
        </w:rPr>
      </w:pPr>
    </w:p>
    <w:p>
      <w:pPr>
        <w:ind w:left="880" w:right="519" w:hanging="426"/>
        <w:spacing w:after="0" w:line="281" w:lineRule="auto"/>
        <w:tabs>
          <w:tab w:leader="none" w:pos="871" w:val="left"/>
        </w:tabs>
        <w:numPr>
          <w:ilvl w:val="0"/>
          <w:numId w:val="95"/>
        </w:numPr>
        <w:rPr>
          <w:rFonts w:ascii="Arial" w:cs="Arial" w:eastAsia="Arial" w:hAnsi="Arial"/>
          <w:sz w:val="15"/>
          <w:szCs w:val="15"/>
          <w:color w:val="auto"/>
        </w:rPr>
      </w:pPr>
      <w:r>
        <w:rPr>
          <w:rFonts w:ascii="Arial" w:cs="Arial" w:eastAsia="Arial" w:hAnsi="Arial"/>
          <w:sz w:val="15"/>
          <w:szCs w:val="15"/>
          <w:color w:val="auto"/>
        </w:rPr>
        <w:t>Alp Ercil has voting and investment power over the shares held by ARCM Master Fund IV Ltd. The business address of such holder is 21F Shanghai Commercial Bank Tower, 12 Queen’s Road Central, Hong Kong.</w:t>
      </w:r>
    </w:p>
    <w:p>
      <w:pPr>
        <w:spacing w:after="0" w:line="1" w:lineRule="exact"/>
        <w:rPr>
          <w:rFonts w:ascii="Arial" w:cs="Arial" w:eastAsia="Arial" w:hAnsi="Arial"/>
          <w:sz w:val="15"/>
          <w:szCs w:val="15"/>
          <w:color w:val="auto"/>
        </w:rPr>
      </w:pPr>
    </w:p>
    <w:p>
      <w:pPr>
        <w:ind w:left="880" w:right="519" w:hanging="426"/>
        <w:spacing w:after="0" w:line="257"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Corbin Capital Partners, L.P., is the investment manager of Corbin ERISA Opportunity Fund, Ltd. (“CEOF”) and Corbin Opportunity Fund, L.P. (“COF”). Craig Bergstrom is the Chief Investment Officer of Corbin Capital Partners, L.P. and directs the voting and investment decisions with respect to the shares held by CEOF and COF. The business address of CEOF and COF is 590 Madison Avenue, 31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Floor, New York, New York 10022. Mr. Bergstrom disclaims beneficial ownership of shares held by CEOF and COF.</w:t>
      </w:r>
    </w:p>
    <w:p>
      <w:pPr>
        <w:spacing w:after="0" w:line="2" w:lineRule="exact"/>
        <w:rPr>
          <w:rFonts w:ascii="Arial" w:cs="Arial" w:eastAsia="Arial" w:hAnsi="Arial"/>
          <w:sz w:val="16"/>
          <w:szCs w:val="16"/>
          <w:color w:val="auto"/>
        </w:rPr>
      </w:pPr>
    </w:p>
    <w:p>
      <w:pPr>
        <w:ind w:left="880" w:hanging="426"/>
        <w:spacing w:after="0"/>
        <w:tabs>
          <w:tab w:leader="none" w:pos="8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business address of such holder is c/o King Street, 299 Park Avenue, 40</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New York, New York 10171.</w:t>
      </w:r>
    </w:p>
    <w:p>
      <w:pPr>
        <w:spacing w:after="0" w:line="17" w:lineRule="exact"/>
        <w:rPr>
          <w:rFonts w:ascii="Arial" w:cs="Arial" w:eastAsia="Arial" w:hAnsi="Arial"/>
          <w:sz w:val="15"/>
          <w:szCs w:val="15"/>
          <w:color w:val="auto"/>
        </w:rPr>
      </w:pPr>
    </w:p>
    <w:p>
      <w:pPr>
        <w:ind w:left="880" w:hanging="426"/>
        <w:spacing w:after="0" w:line="234"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business address of such holder is 115 East 67</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Street, Apartment 4B, New York, New York 10065.</w:t>
      </w:r>
    </w:p>
    <w:p>
      <w:pPr>
        <w:ind w:left="880" w:right="599" w:hanging="426"/>
        <w:spacing w:after="0" w:line="259"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Christian Bolleter and Johannes Matt are each Directors of Blue Dragons AG (“Blue Dragons”) and may be deemed to have voting and investment power over the shares held by Blue Dragons. The business address of such holder is Essanestrasse 91, Eschen, Liechtenstein 9492.</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business address of such holder is 3270 Mathers Avenue, West Vancouver, British Columbia, Canada V7V 2K5.</w:t>
      </w:r>
    </w:p>
    <w:p>
      <w:pPr>
        <w:spacing w:after="0" w:line="41" w:lineRule="exact"/>
        <w:rPr>
          <w:rFonts w:ascii="Arial" w:cs="Arial" w:eastAsia="Arial" w:hAnsi="Arial"/>
          <w:sz w:val="14"/>
          <w:szCs w:val="14"/>
          <w:color w:val="auto"/>
        </w:rPr>
      </w:pPr>
    </w:p>
    <w:p>
      <w:pPr>
        <w:ind w:left="880" w:hanging="426"/>
        <w:spacing w:after="0"/>
        <w:tabs>
          <w:tab w:leader="none" w:pos="8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business address of such holder is c/o King Street, 299 Park Avenue, 40</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New York, New York 10171.</w:t>
      </w:r>
    </w:p>
    <w:p>
      <w:pPr>
        <w:spacing w:after="0" w:line="17" w:lineRule="exact"/>
        <w:rPr>
          <w:rFonts w:ascii="Arial" w:cs="Arial" w:eastAsia="Arial" w:hAnsi="Arial"/>
          <w:sz w:val="15"/>
          <w:szCs w:val="15"/>
          <w:color w:val="auto"/>
        </w:rPr>
      </w:pPr>
    </w:p>
    <w:p>
      <w:pPr>
        <w:ind w:left="880" w:hanging="426"/>
        <w:spacing w:after="0" w:line="234"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business address of such holder is 316 West 36</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Street, Apartment 10A, New York, New York 10018.</w:t>
      </w:r>
    </w:p>
    <w:p>
      <w:pPr>
        <w:ind w:left="880" w:hanging="426"/>
        <w:spacing w:after="0"/>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business address of such holder is Flat 6, 46 Pont Street, London, United Kingdom SW1X 0AD.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499" w:hanging="426"/>
        <w:spacing w:after="0" w:line="271" w:lineRule="auto"/>
        <w:tabs>
          <w:tab w:leader="none" w:pos="8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Sea Otter Securities Group is a registered broker-dealer and FINRA member. Peter Smith, Peter Wisniewski and Nick Fahey may be deemed to have voting and investment power over the shares held by Sea Otter Securities Group. The business address of such holder is 107 Grand Street, 7</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New York, New York 10013.</w:t>
      </w:r>
    </w:p>
    <w:p>
      <w:pPr>
        <w:spacing w:after="0" w:line="1" w:lineRule="exact"/>
        <w:rPr>
          <w:rFonts w:ascii="Arial" w:cs="Arial" w:eastAsia="Arial" w:hAnsi="Arial"/>
          <w:sz w:val="15"/>
          <w:szCs w:val="15"/>
          <w:color w:val="auto"/>
        </w:rPr>
      </w:pPr>
    </w:p>
    <w:p>
      <w:pPr>
        <w:ind w:left="880" w:right="739" w:hanging="426"/>
        <w:spacing w:after="0" w:line="249"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Brian J. Higgins may be deemed to have voting and investment power over the shares held by Sigsbee Investments LLC. The business address of such holder is c/o King Street, 299 Park Avenue, 40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New York 10171.</w:t>
      </w:r>
    </w:p>
    <w:p>
      <w:pPr>
        <w:ind w:left="880" w:right="579" w:hanging="426"/>
        <w:spacing w:after="0" w:line="264" w:lineRule="auto"/>
        <w:tabs>
          <w:tab w:leader="none" w:pos="87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Tian Tollefsen, Portfolio Manager of VPF Delphi Global (“VPF Global”), may be deemed to have voting and investment power over the shares held by VPF Global. The business address of such holder is Professor Kohts vei 9, Lysaker, Norway 1327.</w:t>
      </w:r>
    </w:p>
    <w:p>
      <w:pPr>
        <w:ind w:left="880" w:right="619" w:hanging="426"/>
        <w:spacing w:after="0" w:line="264"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Ivar Harstveit, Portfolio Manager of VPF Delphi Green Trends (“VPF Green”), may be deemed to have voting and investment power over the shares held by VPF Green. The business address of such holder is Professor Kohts vei 9, Lysaker, Norway 1327.</w:t>
      </w:r>
    </w:p>
    <w:p>
      <w:pPr>
        <w:ind w:left="880" w:right="659" w:hanging="426"/>
        <w:spacing w:after="0" w:line="253"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Mr. Gmelich may be deemed to have voting and investment power over the shares held by the Justin Gmelich 2012 Family Trust. The business address of such holder is c/o King Street, 299 Park Avenue, 40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New York 10171.</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business of such holder is Apartment 6403, Jaddaf Waterfront Tower D1, Dubair, United Arab Emirates.</w:t>
      </w:r>
    </w:p>
    <w:p>
      <w:pPr>
        <w:spacing w:after="0" w:line="18" w:lineRule="exact"/>
        <w:rPr>
          <w:rFonts w:ascii="Arial" w:cs="Arial" w:eastAsia="Arial" w:hAnsi="Arial"/>
          <w:sz w:val="16"/>
          <w:szCs w:val="16"/>
          <w:color w:val="auto"/>
        </w:rPr>
      </w:pPr>
    </w:p>
    <w:p>
      <w:pPr>
        <w:jc w:val="both"/>
        <w:ind w:left="880" w:right="619" w:hanging="426"/>
        <w:spacing w:after="0" w:line="264"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Mr. Edward Heerema may be deemed to have voting and investment power over the shares held by Argentum Cedit Virtuti. The business address of such holder is 18 Route de Pra de Plan, Case Postale, 411 1618 Chatel-Saint-Denis, Switzerland.</w:t>
      </w:r>
    </w:p>
    <w:p>
      <w:pPr>
        <w:ind w:left="880" w:right="519" w:hanging="426"/>
        <w:spacing w:after="0" w:line="301" w:lineRule="auto"/>
        <w:tabs>
          <w:tab w:leader="none" w:pos="8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(i) 16,151,648 Common Shares and (ii) 11,578,620 Common Shares issuable upon exercise of the Allseas Warrant. Mr. Edward Heerema, the Administrateur President of Allseas, has sole authority over Allseas. Mr.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w:t>
      </w:r>
    </w:p>
    <w:p>
      <w:pPr>
        <w:spacing w:after="0" w:line="3" w:lineRule="exact"/>
        <w:rPr>
          <w:rFonts w:ascii="Arial" w:cs="Arial" w:eastAsia="Arial" w:hAnsi="Arial"/>
          <w:sz w:val="14"/>
          <w:szCs w:val="14"/>
          <w:color w:val="auto"/>
        </w:rPr>
      </w:pPr>
    </w:p>
    <w:p>
      <w:pPr>
        <w:ind w:left="880" w:right="999" w:hanging="426"/>
        <w:spacing w:after="0" w:line="248" w:lineRule="auto"/>
        <w:tabs>
          <w:tab w:leader="none" w:pos="87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business address of such holder is 18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Al Subaeie Tower, 5316 Street Prince Faisal Ibn Fahd Road, Khobar, Eastern Province, Kingdom of Saudi Arabia.</w:t>
      </w:r>
    </w:p>
    <w:p>
      <w:pPr>
        <w:ind w:left="880" w:right="639" w:hanging="426"/>
        <w:spacing w:after="0" w:line="277" w:lineRule="auto"/>
        <w:tabs>
          <w:tab w:leader="none" w:pos="877" w:val="left"/>
        </w:tabs>
        <w:numPr>
          <w:ilvl w:val="0"/>
          <w:numId w:val="96"/>
        </w:numPr>
        <w:rPr>
          <w:rFonts w:ascii="Arial" w:cs="Arial" w:eastAsia="Arial" w:hAnsi="Arial"/>
          <w:sz w:val="15"/>
          <w:szCs w:val="15"/>
          <w:color w:val="auto"/>
        </w:rPr>
      </w:pPr>
      <w:r>
        <w:rPr>
          <w:rFonts w:ascii="Arial" w:cs="Arial" w:eastAsia="Arial" w:hAnsi="Arial"/>
          <w:sz w:val="15"/>
          <w:szCs w:val="15"/>
          <w:color w:val="auto"/>
        </w:rPr>
        <w:t>Voting and investment power over the shares held by such entities resides with their investment manager, Glazer Capital, LLC (“Glazer Capital”). Mr. Paul J. Glazer (“Mr. Glazer”), serves as the Managing Member of Glazer Capital and may be deemed to be the beneficial owner of the shares held by such entities. Mr. Glazer, however, disclaims any beneficial ownership of the shares held by such entities. The address of the foregoing individuals and entities is c/o Glazer Capital, LLC, 250 West, 55</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Street, Suite 30A, New York, New York 10019.</w:t>
      </w:r>
    </w:p>
    <w:p>
      <w:pPr>
        <w:ind w:left="880" w:right="479" w:hanging="426"/>
        <w:spacing w:after="0" w:line="259" w:lineRule="auto"/>
        <w:tabs>
          <w:tab w:leader="none" w:pos="871"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Angela On Kei Leong, Ambrose So and Avraham Malamud may be deemed to have voting and investment power over the shares held by Portline Holdings Investments Limited. The business address of such holder is Wickhams Cay 1, Road Town, Tortola, British Virgin Islands.</w:t>
      </w:r>
    </w:p>
    <w:p>
      <w:pPr>
        <w:spacing w:after="0" w:line="1" w:lineRule="exact"/>
        <w:rPr>
          <w:rFonts w:ascii="Arial" w:cs="Arial" w:eastAsia="Arial" w:hAnsi="Arial"/>
          <w:sz w:val="16"/>
          <w:szCs w:val="16"/>
          <w:color w:val="auto"/>
        </w:rPr>
      </w:pPr>
    </w:p>
    <w:p>
      <w:pPr>
        <w:ind w:left="880" w:right="779" w:hanging="426"/>
        <w:spacing w:after="0" w:line="281" w:lineRule="auto"/>
        <w:tabs>
          <w:tab w:leader="none" w:pos="8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Scott Leonard and Scott Honour are the managers of the Sponsor and share voting and dispositive power over the securities held by the Sponsor and therefore each may be deemed to be a beneficial owner thereof. The business address of such holder is 1601 Bryan Street, Suite 4141, Dallas, Texas 75201.</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business address of such holder is 902 Blanco Street, Austing Texas 78703.</w:t>
      </w:r>
    </w:p>
    <w:p>
      <w:pPr>
        <w:spacing w:after="0" w:line="18" w:lineRule="exact"/>
        <w:rPr>
          <w:rFonts w:ascii="Arial" w:cs="Arial" w:eastAsia="Arial" w:hAnsi="Arial"/>
          <w:sz w:val="16"/>
          <w:szCs w:val="16"/>
          <w:color w:val="auto"/>
        </w:rPr>
      </w:pPr>
    </w:p>
    <w:p>
      <w:pPr>
        <w:ind w:left="880" w:right="899" w:hanging="426"/>
        <w:spacing w:after="0" w:line="264" w:lineRule="auto"/>
        <w:tabs>
          <w:tab w:leader="none" w:pos="87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business address of such holder is c/o The Foundation Source, 501 Silverside Road, Wilmington, Delaware 19809.</w:t>
      </w:r>
    </w:p>
    <w:p>
      <w:pPr>
        <w:ind w:left="880" w:right="819" w:hanging="426"/>
        <w:spacing w:after="0" w:line="264" w:lineRule="auto"/>
        <w:tabs>
          <w:tab w:leader="none" w:pos="87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business address of such holder is c/o Sustainable Opportunities Acquisition Corp., 1601 Bryan Street, Suite 4141, Dallas, Texas 75201.</w:t>
      </w:r>
    </w:p>
    <w:p>
      <w:pPr>
        <w:ind w:left="880" w:right="639" w:hanging="426"/>
        <w:spacing w:after="0" w:line="281" w:lineRule="auto"/>
        <w:tabs>
          <w:tab w:leader="none" w:pos="8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Mr. David J. Foley may be deemed to have voting and investment power over the shares held by 1290533 B.C. Ltd. The business address of such holder is 38 Prince Arthur Avenue, Toronto Ontario, Canada M5R 1A9.</w:t>
      </w:r>
    </w:p>
    <w:p>
      <w:pPr>
        <w:spacing w:after="0" w:line="1" w:lineRule="exact"/>
        <w:rPr>
          <w:rFonts w:ascii="Arial" w:cs="Arial" w:eastAsia="Arial" w:hAnsi="Arial"/>
          <w:sz w:val="15"/>
          <w:szCs w:val="15"/>
          <w:color w:val="auto"/>
        </w:rPr>
      </w:pPr>
    </w:p>
    <w:p>
      <w:pPr>
        <w:ind w:left="880" w:right="499" w:hanging="426"/>
        <w:spacing w:after="0" w:line="264"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Represents (i) 4,095,827 Common Shares and (ii) 590,509 Common Shares that are issuable upon exercise of options that are exercisable within 60 days of October 1, 2021. Does not include 126,417 Common Shares underlying options that are not exercisable within 60 days of October 1, 2021. The business address of such holder is 16/1 MacQuarie Street, Teneriffe, QLD 4005 Australia.</w:t>
      </w:r>
    </w:p>
    <w:p>
      <w:pPr>
        <w:ind w:left="880" w:right="559" w:hanging="426"/>
        <w:spacing w:after="0" w:line="264"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Isidoro Quiroga Cortés, in his capacity as the sole limited partner of Aequanimitas Limited Partnership (“Aequanimitas”) and the manager of Aequanimitas’s general partner, may be deemed to have voting and dispositive power with respect to the securities held by Aequanimitas. The business address of such holder is Presidente Riesco 5711 office 1603 Las Condes, Santiago, Chile.</w:t>
      </w:r>
    </w:p>
    <w:p>
      <w:pPr>
        <w:ind w:left="880" w:right="539" w:hanging="426"/>
        <w:spacing w:after="0" w:line="264"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Isidoro Quiroga Cortés, María Victoria Quiroga Moreno, Martín Guiloff Salvador and Felipe Correa Gonzȧlez, in their capacity as members of the board of managers, may be deemed to have voting and dispositive power with respect to the securities held by South Lake One LLC. The business address of such holder is Presidente Riesco 5711 office 1603 Las Condes, Santiago, Chile.</w:t>
      </w:r>
    </w:p>
    <w:p>
      <w:pPr>
        <w:ind w:left="880" w:right="1019" w:hanging="426"/>
        <w:spacing w:after="0" w:line="281" w:lineRule="auto"/>
        <w:tabs>
          <w:tab w:leader="none" w:pos="8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Cadence Capital Limited (“Cadence Capital”) is a company listed on the Australian Securities Exchange. The business address of such holder is Level 11, 131 Macquarie Street, Sydney, NSW 2000 Australia.</w:t>
      </w:r>
    </w:p>
    <w:p>
      <w:pPr>
        <w:spacing w:after="0" w:line="1" w:lineRule="exact"/>
        <w:rPr>
          <w:rFonts w:ascii="Arial" w:cs="Arial" w:eastAsia="Arial" w:hAnsi="Arial"/>
          <w:sz w:val="15"/>
          <w:szCs w:val="15"/>
          <w:color w:val="auto"/>
        </w:rPr>
      </w:pPr>
    </w:p>
    <w:p>
      <w:pPr>
        <w:ind w:left="880" w:right="479" w:hanging="426"/>
        <w:spacing w:after="0" w:line="264"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Cadence Global Pty Limited (“Cadence Global”) is a 100% owned subsidiary of Cadence Capital, which is a company listed on the Australian Securities Exchange. Cadence Global disclaims beneficial ownership of its shares to Cadence Capital. The business address of such holder is Level 11, 131 Macquarie Street, Sydney, NSW 2000 Australia.</w:t>
      </w:r>
    </w:p>
    <w:p>
      <w:pPr>
        <w:ind w:left="880" w:right="659" w:hanging="426"/>
        <w:spacing w:after="0" w:line="288"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Glencore International AG is owned by Glencore plc, a publically listed entity on the London Stock Exchange. The business address of such holder is Baarermattstrasse 3, Baar, Zug, Switzerland 6340.</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2" w:name="page143"/>
    <w:bookmarkEnd w:id="1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599" w:hanging="426"/>
        <w:spacing w:after="0" w:line="262" w:lineRule="auto"/>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David Heydon may be deemed to have voting and investment power over the shares held by $ PTY Limited ATP #1 Fund. The business address of such holder is 88 Stanmere Street, Carindale, QLD 4152 Australia. Mr. Heydon disclaims beneficial ownership over the shares held by Wimbledon Investments PTY Limited ATF Deakin Fund, which is controlled by his wife, Janis Heydon.</w:t>
      </w:r>
    </w:p>
    <w:p>
      <w:pPr>
        <w:ind w:left="880" w:right="519" w:hanging="426"/>
        <w:spacing w:after="0" w:line="264" w:lineRule="auto"/>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Janis Heydon may be deemed to have voting and investment power over the shares held by Wimbledon Investments PTY Limited ATF Deakin Fund. The business address of such holder is 88 Stanmere Street, Carindale, QLD 4152 Australia. Ms. Heydon disclaims beneficial ownership over the shares held by $ PTY Limited ATP #1 Fund, which is controlled by her husband, David Heydon.</w:t>
      </w:r>
    </w:p>
    <w:p>
      <w:pPr>
        <w:ind w:left="880" w:right="839" w:hanging="426"/>
        <w:spacing w:after="0" w:line="264" w:lineRule="auto"/>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Nomura Securities International, Inc. is a registered broker-dealer and FINRA member. Received such Common Shares as consideration for advisory and placement agent services rendered in connection with the Business Combination.</w:t>
      </w:r>
    </w:p>
    <w:p>
      <w:pPr>
        <w:ind w:left="880" w:right="819" w:hanging="426"/>
        <w:spacing w:after="0" w:line="264" w:lineRule="auto"/>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Received such Common Shares in lieu of fees for professional services rendered in connection with the Business Combination.</w:t>
      </w:r>
    </w:p>
    <w:p>
      <w:pPr>
        <w:ind w:left="880" w:right="819" w:hanging="426"/>
        <w:spacing w:after="0" w:line="264" w:lineRule="auto"/>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Received such Common Shares in lieu of fees for professional services rendered in connection with the Business Combination</w:t>
      </w:r>
    </w:p>
    <w:p>
      <w:pPr>
        <w:ind w:left="880" w:right="859" w:hanging="426"/>
        <w:spacing w:after="0" w:line="301" w:lineRule="auto"/>
        <w:tabs>
          <w:tab w:leader="none" w:pos="877" w:val="left"/>
        </w:tabs>
        <w:numPr>
          <w:ilvl w:val="0"/>
          <w:numId w:val="97"/>
        </w:numPr>
        <w:rPr>
          <w:rFonts w:ascii="Arial" w:cs="Arial" w:eastAsia="Arial" w:hAnsi="Arial"/>
          <w:sz w:val="14"/>
          <w:szCs w:val="14"/>
          <w:color w:val="auto"/>
        </w:rPr>
      </w:pPr>
      <w:r>
        <w:rPr>
          <w:rFonts w:ascii="Arial" w:cs="Arial" w:eastAsia="Arial" w:hAnsi="Arial"/>
          <w:sz w:val="14"/>
          <w:szCs w:val="14"/>
          <w:color w:val="auto"/>
        </w:rPr>
        <w:t>Wedbush Securities Inc. is a registered broker-dealer and FINRA member. Received such Common Shares as consideration for advisory and placement agent services rendered in connection with the Business Combination.</w:t>
      </w:r>
    </w:p>
    <w:p>
      <w:pPr>
        <w:spacing w:after="0" w:line="1" w:lineRule="exact"/>
        <w:rPr>
          <w:rFonts w:ascii="Arial" w:cs="Arial" w:eastAsia="Arial" w:hAnsi="Arial"/>
          <w:sz w:val="14"/>
          <w:szCs w:val="14"/>
          <w:color w:val="auto"/>
        </w:rPr>
      </w:pPr>
    </w:p>
    <w:p>
      <w:pPr>
        <w:ind w:left="880" w:right="859" w:hanging="426"/>
        <w:spacing w:after="0" w:line="363" w:lineRule="auto"/>
        <w:tabs>
          <w:tab w:leader="none" w:pos="8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Northland Securities, Inc. is a registered broker-dealer and FINRA member. Received such Common Shares as consideration for advisory and placement agent services rendered in connection with the Business Combination.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 and Management</w:t>
      </w:r>
    </w:p>
    <w:p>
      <w:pPr>
        <w:spacing w:after="0" w:line="14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Effective as of the Closing Date, and in connection with the closing of the Business Combination, the size of the board of directors was increased from five to eight members. Each of Scott Honour, Rick Gaenzle, Isaac Barchas and Justin Kelly resigned as directors of SOAC effective as of the Closing Date. Effective as of the Closing Date, Gerard Barron, Christian Madsbjerg, Andrew Hall, Sheila Khama, Amelia Kinahoi Siamomua, Gina Stryker and Andrei Karkar were elected to serve as directors on the board of directors, with Scott Leonard elected and continuing to serve on the board of directors. Accordingly, the following table sets forth certain information concerning our executive officers and directors as of September 30, 2021:</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4800" w:type="dxa"/>
            <w:vAlign w:val="bottom"/>
          </w:tcPr>
          <w:p>
            <w:pPr>
              <w:ind w:left="2120"/>
              <w:spacing w:after="0"/>
              <w:rPr>
                <w:sz w:val="20"/>
                <w:szCs w:val="20"/>
                <w:color w:val="auto"/>
              </w:rPr>
            </w:pPr>
            <w:r>
              <w:rPr>
                <w:rFonts w:ascii="Arial" w:cs="Arial" w:eastAsia="Arial" w:hAnsi="Arial"/>
                <w:sz w:val="16"/>
                <w:szCs w:val="16"/>
                <w:b w:val="1"/>
                <w:bCs w:val="1"/>
                <w:color w:val="auto"/>
              </w:rPr>
              <w:t>Position</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57"/>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2"/>
                <w:szCs w:val="22"/>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Gerard Barron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w w:val="95"/>
              </w:rPr>
              <w:t>Chief Executive Officer and Chairman of the Board of Directors</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Anthony O’Sullivan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Development Officer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Erika Ilves</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Strategy Officer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Craig Shesky</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Dr. Gregory Stone</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Ocean Scientist</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385"/>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0" w:type="dxa"/>
            <w:vAlign w:val="bottom"/>
            <w:tcBorders>
              <w:bottom w:val="single" w:sz="8" w:color="CCEEFF"/>
            </w:tcBorders>
            <w:shd w:val="clear" w:color="auto" w:fill="CCEEFF"/>
          </w:tcPr>
          <w:p>
            <w:pPr>
              <w:spacing w:after="0"/>
              <w:rPr>
                <w:sz w:val="24"/>
                <w:szCs w:val="24"/>
                <w:color w:val="auto"/>
              </w:rPr>
            </w:pPr>
          </w:p>
        </w:tc>
      </w:tr>
      <w:tr>
        <w:trPr>
          <w:trHeight w:val="277"/>
        </w:trPr>
        <w:tc>
          <w:tcPr>
            <w:tcW w:w="2700" w:type="dxa"/>
            <w:vAlign w:val="bottom"/>
            <w:gridSpan w:val="2"/>
          </w:tcPr>
          <w:p>
            <w:pPr>
              <w:spacing w:after="0"/>
              <w:rPr>
                <w:sz w:val="20"/>
                <w:szCs w:val="20"/>
                <w:color w:val="auto"/>
              </w:rPr>
            </w:pPr>
            <w:r>
              <w:rPr>
                <w:rFonts w:ascii="Arial" w:cs="Arial" w:eastAsia="Arial" w:hAnsi="Arial"/>
                <w:sz w:val="18"/>
                <w:szCs w:val="18"/>
                <w:color w:val="auto"/>
              </w:rPr>
              <w:t>Scott Leonard</w:t>
            </w:r>
            <w:r>
              <w:rPr>
                <w:rFonts w:ascii="Arial" w:cs="Arial" w:eastAsia="Arial" w:hAnsi="Arial"/>
                <w:sz w:val="20"/>
                <w:szCs w:val="20"/>
                <w:color w:val="auto"/>
                <w:vertAlign w:val="superscript"/>
              </w:rPr>
              <w:t>(1)</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Andrew Hall</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Gina Stryker</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b w:val="1"/>
          <w:bCs w:val="1"/>
          <w:i w:val="1"/>
          <w:iCs w:val="1"/>
          <w:color w:val="auto"/>
        </w:rPr>
        <w:t xml:space="preserve">Gerard Barron </w:t>
      </w:r>
      <w:r>
        <w:rPr>
          <w:rFonts w:ascii="Arial" w:cs="Arial" w:eastAsia="Arial" w:hAnsi="Arial"/>
          <w:sz w:val="16"/>
          <w:szCs w:val="16"/>
          <w:color w:val="auto"/>
        </w:rPr>
        <w:t>has served as our Chief Executive Officer and Chairman of the board of directors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Closing of the Business Combination. Mr. Barron 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w:t>
      </w:r>
    </w:p>
    <w:p>
      <w:pPr>
        <w:spacing w:after="0" w:line="4" w:lineRule="exact"/>
        <w:rPr>
          <w:sz w:val="20"/>
          <w:szCs w:val="20"/>
          <w:color w:val="auto"/>
        </w:rPr>
      </w:pPr>
    </w:p>
    <w:p>
      <w:pPr>
        <w:ind w:left="460" w:right="719"/>
        <w:spacing w:after="0" w:line="260" w:lineRule="auto"/>
        <w:rPr>
          <w:sz w:val="20"/>
          <w:szCs w:val="20"/>
          <w:color w:val="auto"/>
        </w:rPr>
      </w:pPr>
      <w:r>
        <w:rPr>
          <w:rFonts w:ascii="Arial" w:cs="Arial" w:eastAsia="Arial" w:hAnsi="Arial"/>
          <w:sz w:val="18"/>
          <w:szCs w:val="18"/>
          <w:color w:val="auto"/>
        </w:rPr>
        <w:t>Mr. Barron’s qualifications to serve on the board of directors include his extensive leadership and investment experience in the technology and resource development industries.</w:t>
      </w:r>
    </w:p>
    <w:p>
      <w:pPr>
        <w:spacing w:after="0" w:line="11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Anthony O’Sullivan </w:t>
      </w:r>
      <w:r>
        <w:rPr>
          <w:rFonts w:ascii="Arial" w:cs="Arial" w:eastAsia="Arial" w:hAnsi="Arial"/>
          <w:sz w:val="17"/>
          <w:szCs w:val="17"/>
          <w:color w:val="auto"/>
        </w:rPr>
        <w:t>has served as our Chief Development Officer since the Closing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and has served as DeepGreen’s Chief Development Officer since July 25, 2017.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4" w:name="page145"/>
    <w:bookmarkEnd w:id="1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7" w:lineRule="auto"/>
        <w:rPr>
          <w:sz w:val="20"/>
          <w:szCs w:val="20"/>
          <w:color w:val="auto"/>
        </w:rPr>
      </w:pPr>
      <w:r>
        <w:rPr>
          <w:rFonts w:ascii="Arial" w:cs="Arial" w:eastAsia="Arial" w:hAnsi="Arial"/>
          <w:sz w:val="16"/>
          <w:szCs w:val="16"/>
          <w:color w:val="auto"/>
        </w:rPr>
        <w:t>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43-101 compliant resources, grant of the environmental permit and mining lease from the Government of Papua Niugini, ore sales agreement with one of China’s leading copper producers, Tongling Nonferrous Metals Group, and the completion of project design and commencement of project construction. Mr. O’Sullivan was previously part of the BHP Billion Global Exploration Leader Team with responsibility for the company’s iron ore, bauxite, coal and non-porphyry base metal exploration portfolios. Mr. O’Sullivan is the named co-inventor on 5 subsea mining patents. Mr. O’Sullivan earned a M.Sc. in Mineral Exploration from the University of Western Australia and a B.Sc. (Hons) in Geology from the University of Western Australia.</w:t>
      </w:r>
    </w:p>
    <w:p>
      <w:pPr>
        <w:spacing w:after="0" w:line="104"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b w:val="1"/>
          <w:bCs w:val="1"/>
          <w:i w:val="1"/>
          <w:iCs w:val="1"/>
          <w:color w:val="auto"/>
        </w:rPr>
        <w:t xml:space="preserve">Erika Ilves </w:t>
      </w:r>
      <w:r>
        <w:rPr>
          <w:rFonts w:ascii="Arial" w:cs="Arial" w:eastAsia="Arial" w:hAnsi="Arial"/>
          <w:sz w:val="16"/>
          <w:szCs w:val="16"/>
          <w:color w:val="auto"/>
        </w:rPr>
        <w:t>has served as our Chief Strategy Officer since the Closing of the Business Combination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DeepGreen’s Head of Strategy and Business Development since September 2018. During her time at DeepGreen, Erika has worked to build the world’s first vertically integrated clean energy ecosystem by establishing alliances with like-minded leaders in offshore, electric vehicles and renewable energy technology, as well as developing a transparent provenance strategy to enable DeepGreen to establish clean metals as a new purchasing category. Ms. Ilves is an entrepreneur and seasoned strategy lead dedicated to creating the systems and conditions required to secure a safe future for the human species. From November 2015 until</w:t>
      </w:r>
    </w:p>
    <w:p>
      <w:pPr>
        <w:spacing w:after="0" w:line="2" w:lineRule="exact"/>
        <w:rPr>
          <w:sz w:val="20"/>
          <w:szCs w:val="20"/>
          <w:color w:val="auto"/>
        </w:rPr>
      </w:pPr>
    </w:p>
    <w:p>
      <w:pPr>
        <w:ind w:left="460" w:right="479"/>
        <w:spacing w:after="0" w:line="267" w:lineRule="auto"/>
        <w:rPr>
          <w:sz w:val="20"/>
          <w:szCs w:val="20"/>
          <w:color w:val="auto"/>
        </w:rPr>
      </w:pPr>
      <w:r>
        <w:rPr>
          <w:rFonts w:ascii="Arial" w:cs="Arial" w:eastAsia="Arial" w:hAnsi="Arial"/>
          <w:sz w:val="17"/>
          <w:szCs w:val="17"/>
          <w:color w:val="auto"/>
        </w:rPr>
        <w:t>December 2018, 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Mr.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TANDBERD, a videoconferencing technology firm acquired by Cisco Systems Inc. in 2010, where she was responsible for developing leadership and sales capability for the firm’s global sales force. In 1999, Ms. Ilves attended Emory Law School as a research scholarship recipient. Ms. Ilves earned a LL.M. from the Central European University and a LL.B. magna cum laude from the University of Tartu.</w:t>
      </w:r>
    </w:p>
    <w:p>
      <w:pPr>
        <w:spacing w:after="0" w:line="114" w:lineRule="exact"/>
        <w:rPr>
          <w:sz w:val="20"/>
          <w:szCs w:val="20"/>
          <w:color w:val="auto"/>
        </w:rPr>
      </w:pPr>
    </w:p>
    <w:p>
      <w:pPr>
        <w:ind w:left="460" w:right="739" w:firstLine="432"/>
        <w:spacing w:after="0" w:line="291" w:lineRule="auto"/>
        <w:rPr>
          <w:sz w:val="20"/>
          <w:szCs w:val="20"/>
          <w:color w:val="auto"/>
        </w:rPr>
      </w:pPr>
      <w:r>
        <w:rPr>
          <w:rFonts w:ascii="Arial" w:cs="Arial" w:eastAsia="Arial" w:hAnsi="Arial"/>
          <w:sz w:val="16"/>
          <w:szCs w:val="16"/>
          <w:b w:val="1"/>
          <w:bCs w:val="1"/>
          <w:i w:val="1"/>
          <w:iCs w:val="1"/>
          <w:color w:val="auto"/>
        </w:rPr>
        <w:t xml:space="preserve">Craig Shesky </w:t>
      </w:r>
      <w:r>
        <w:rPr>
          <w:rFonts w:ascii="Arial" w:cs="Arial" w:eastAsia="Arial" w:hAnsi="Arial"/>
          <w:sz w:val="16"/>
          <w:szCs w:val="16"/>
          <w:color w:val="auto"/>
        </w:rPr>
        <w:t>has served as our Chief Financial Officer since the Closing of the Business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has served as DeepGreen’s Head of Financial Markets and Investor Relations since February 2021.</w:t>
      </w:r>
    </w:p>
    <w:p>
      <w:pPr>
        <w:ind w:left="460" w:right="519"/>
        <w:spacing w:after="0" w:line="265" w:lineRule="auto"/>
        <w:rPr>
          <w:sz w:val="20"/>
          <w:szCs w:val="20"/>
          <w:color w:val="auto"/>
        </w:rPr>
      </w:pPr>
      <w:r>
        <w:rPr>
          <w:rFonts w:ascii="Arial" w:cs="Arial" w:eastAsia="Arial" w:hAnsi="Arial"/>
          <w:sz w:val="17"/>
          <w:szCs w:val="17"/>
          <w:color w:val="auto"/>
        </w:rPr>
        <w:t>Mr. Shesky has over 15 years combined experience in public investing, metals research and investment banking in New York. From August 2008 until July 2020, Mr. Shesky was employed by King Street Capital Management, most recently as senior analyst in charge of recommending investments the global metals &amp;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w:t>
      </w:r>
    </w:p>
    <w:p>
      <w:pPr>
        <w:spacing w:after="0" w:line="1" w:lineRule="exact"/>
        <w:rPr>
          <w:sz w:val="20"/>
          <w:szCs w:val="20"/>
          <w:color w:val="auto"/>
        </w:rPr>
      </w:pPr>
    </w:p>
    <w:p>
      <w:pPr>
        <w:ind w:left="460" w:right="779"/>
        <w:spacing w:after="0" w:line="323" w:lineRule="auto"/>
        <w:rPr>
          <w:sz w:val="20"/>
          <w:szCs w:val="20"/>
          <w:color w:val="auto"/>
        </w:rPr>
      </w:pPr>
      <w:r>
        <w:rPr>
          <w:rFonts w:ascii="Arial" w:cs="Arial" w:eastAsia="Arial" w:hAnsi="Arial"/>
          <w:sz w:val="16"/>
          <w:szCs w:val="16"/>
          <w:color w:val="auto"/>
        </w:rPr>
        <w:t>Mr. Shesky served as an analyst on the insurance &amp; asset management investment banking team at Morgan Stanley. Mr. Shesky graduated magna cum laude with a B.S. in Finance from the University of Notre Dame.</w:t>
      </w:r>
    </w:p>
    <w:p>
      <w:pPr>
        <w:spacing w:after="0" w:line="57"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b w:val="1"/>
          <w:bCs w:val="1"/>
          <w:i w:val="1"/>
          <w:iCs w:val="1"/>
          <w:color w:val="auto"/>
        </w:rPr>
        <w:t xml:space="preserve">Gregory Stone, Ph.D. </w:t>
      </w:r>
      <w:r>
        <w:rPr>
          <w:rFonts w:ascii="Arial" w:cs="Arial" w:eastAsia="Arial" w:hAnsi="Arial"/>
          <w:sz w:val="16"/>
          <w:szCs w:val="16"/>
          <w:color w:val="auto"/>
        </w:rPr>
        <w:t>has served as our Chief Ocean Officer since the Closing of the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and has served as a Director and Chief Ocean Officer of DeepGreen since February 2018. In January 2020, Dr. Stone founded Pole-to-Pole, a non-profit organization with a mission to apply practical solutions to the problems facing Earth’s ocean, and has been serving as the organization’s Chairman since that time. Dr. Stone is an ocean scientist and explorer with over 10,000 dives throughout Earth’s ocean down to 18,000 feet using submarines, SCUBA, underwater habitats and robotics. Dr. Stone is also widely known as a global thought leader who finds ways for humanity and the ocean to co-exist and support each other in the modern world. Dr. Stone was a catalysts at the genesis of the Ocean Health Index, a scientific framework used to measure oceans’ health, and specializes in sustainable fishing, aquaculture, climate adaptation and seamount ecology. Dr. Stone’s ability to communicate complex science is illustrated by his compelling TED and World Economic Forum talks, and his appearances in documentaries for the Discovery Channel and National Geographic. Dr. Stone has authored hundreds of publications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69" w:lineRule="auto"/>
        <w:rPr>
          <w:sz w:val="20"/>
          <w:szCs w:val="20"/>
          <w:color w:val="auto"/>
        </w:rPr>
      </w:pPr>
      <w:r>
        <w:rPr>
          <w:rFonts w:ascii="Arial" w:cs="Arial" w:eastAsia="Arial" w:hAnsi="Arial"/>
          <w:sz w:val="17"/>
          <w:szCs w:val="17"/>
          <w:color w:val="auto"/>
        </w:rPr>
        <w:t>including for Nature, National Geographic, and four books, one of which is a National Outdoor Book Award winner. Dr. Stone’s numerous accolades and professional associations include the Explorers Club, Pew Fellowship for Marine Conservation, National Geographic Hero, the Boston Sea Rover’s Diver of the year, Order of Kiribati Medal, the U.S. National Science Foundation/Navy Antarctic Service medal, and a NOGI Award from National Academy of Underwater Arts and Sciences. Dr. Stone is also a Senior Science Advisor to the Special Envoy for Ocean and the World Economic Forum Ocean Program, From September 2008 to February 2018, Dr. Stone served as Chief Scientist for Conservation International and head of the Global Ocean Program. Dr. Stone earned a Ph.D. in Marine Science from the University of the South Pacific, a M.Sc. in Marine Policy from the University of Rhode Island and a B.A. in Human Ecology and Marine Biology from the College of the Atlantic.</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58" w:lineRule="exact"/>
        <w:rPr>
          <w:sz w:val="20"/>
          <w:szCs w:val="20"/>
          <w:color w:val="auto"/>
        </w:rPr>
      </w:pPr>
    </w:p>
    <w:p>
      <w:pPr>
        <w:jc w:val="both"/>
        <w:ind w:left="460" w:right="699" w:firstLine="432"/>
        <w:spacing w:after="0" w:line="287" w:lineRule="auto"/>
        <w:rPr>
          <w:sz w:val="20"/>
          <w:szCs w:val="20"/>
          <w:color w:val="auto"/>
        </w:rPr>
      </w:pPr>
      <w:r>
        <w:rPr>
          <w:rFonts w:ascii="Arial" w:cs="Arial" w:eastAsia="Arial" w:hAnsi="Arial"/>
          <w:sz w:val="16"/>
          <w:szCs w:val="16"/>
          <w:b w:val="1"/>
          <w:bCs w:val="1"/>
          <w:i w:val="1"/>
          <w:iCs w:val="1"/>
          <w:color w:val="auto"/>
        </w:rPr>
        <w:t xml:space="preserve">Scott Leonard </w:t>
      </w:r>
      <w:r>
        <w:rPr>
          <w:rFonts w:ascii="Arial" w:cs="Arial" w:eastAsia="Arial" w:hAnsi="Arial"/>
          <w:sz w:val="16"/>
          <w:szCs w:val="16"/>
          <w:color w:val="auto"/>
        </w:rPr>
        <w:t>was the Chief Executive Officer and a director of SOAC and has continued to serve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since the Closing of the Business Combination. Mr. Leonard has over 15 years of experience leading highly successful business transformations and transitions. Mr. Leonard also has deep expertise over the past</w:t>
      </w:r>
    </w:p>
    <w:p>
      <w:pPr>
        <w:spacing w:after="0" w:line="2" w:lineRule="exact"/>
        <w:rPr>
          <w:sz w:val="20"/>
          <w:szCs w:val="20"/>
          <w:color w:val="auto"/>
        </w:rPr>
      </w:pPr>
    </w:p>
    <w:p>
      <w:pPr>
        <w:ind w:left="460" w:right="479"/>
        <w:spacing w:after="0" w:line="266" w:lineRule="auto"/>
        <w:rPr>
          <w:sz w:val="20"/>
          <w:szCs w:val="20"/>
          <w:color w:val="auto"/>
        </w:rPr>
      </w:pPr>
      <w:r>
        <w:rPr>
          <w:rFonts w:ascii="Arial" w:cs="Arial" w:eastAsia="Arial" w:hAnsi="Arial"/>
          <w:sz w:val="17"/>
          <w:szCs w:val="17"/>
          <w:color w:val="auto"/>
        </w:rPr>
        <w:t>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 Mr. Leonard’s qualifications to serve on the board of directors include his extensive experience in business transformations and transitions and his expertise in decarbonization technology adoption and product lifecycle management.</w:t>
      </w:r>
    </w:p>
    <w:p>
      <w:pPr>
        <w:spacing w:after="0" w:line="123"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Christian Madsbjerg </w:t>
      </w:r>
      <w:r>
        <w:rPr>
          <w:rFonts w:ascii="Arial" w:cs="Arial" w:eastAsia="Arial" w:hAnsi="Arial"/>
          <w:sz w:val="16"/>
          <w:szCs w:val="16"/>
          <w:color w:val="auto"/>
        </w:rPr>
        <w:t>has served on our board of directors since the Closing of the Business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2021. Since 2019, Mr. Madsbjerg has served on the board of directors of Fritz Hansen A/S Copenhagen. Since August 2018, Mr. Madsbjerg has served as Professor of Applied Humanities at The</w:t>
      </w:r>
    </w:p>
    <w:p>
      <w:pPr>
        <w:spacing w:after="0" w:line="2" w:lineRule="exact"/>
        <w:rPr>
          <w:sz w:val="20"/>
          <w:szCs w:val="20"/>
          <w:color w:val="auto"/>
        </w:rPr>
      </w:pPr>
    </w:p>
    <w:p>
      <w:pPr>
        <w:ind w:left="460" w:right="499"/>
        <w:spacing w:after="0" w:line="268" w:lineRule="auto"/>
        <w:rPr>
          <w:sz w:val="20"/>
          <w:szCs w:val="20"/>
          <w:color w:val="auto"/>
        </w:rPr>
      </w:pPr>
      <w:r>
        <w:rPr>
          <w:rFonts w:ascii="Arial" w:cs="Arial" w:eastAsia="Arial" w:hAnsi="Arial"/>
          <w:sz w:val="17"/>
          <w:szCs w:val="17"/>
          <w:color w:val="auto"/>
        </w:rPr>
        <w:t xml:space="preserve">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Arial" w:cs="Arial" w:eastAsia="Arial" w:hAnsi="Arial"/>
          <w:sz w:val="17"/>
          <w:szCs w:val="17"/>
          <w:i w:val="1"/>
          <w:iCs w:val="1"/>
          <w:color w:val="auto"/>
        </w:rPr>
        <w:t>The Wall Street Journal, Financial Times, The</w:t>
      </w:r>
      <w:r>
        <w:rPr>
          <w:rFonts w:ascii="Arial" w:cs="Arial" w:eastAsia="Arial" w:hAnsi="Arial"/>
          <w:sz w:val="17"/>
          <w:szCs w:val="17"/>
          <w:color w:val="auto"/>
        </w:rPr>
        <w:t xml:space="preserve"> </w:t>
      </w:r>
      <w:r>
        <w:rPr>
          <w:rFonts w:ascii="Arial" w:cs="Arial" w:eastAsia="Arial" w:hAnsi="Arial"/>
          <w:sz w:val="17"/>
          <w:szCs w:val="17"/>
          <w:i w:val="1"/>
          <w:iCs w:val="1"/>
          <w:color w:val="auto"/>
        </w:rPr>
        <w:t>Washington Post, Der Spiegel</w:t>
      </w:r>
      <w:r>
        <w:rPr>
          <w:rFonts w:ascii="Arial" w:cs="Arial" w:eastAsia="Arial" w:hAnsi="Arial"/>
          <w:sz w:val="17"/>
          <w:szCs w:val="17"/>
          <w:color w:val="auto"/>
        </w:rPr>
        <w:t>, and</w:t>
      </w:r>
      <w:r>
        <w:rPr>
          <w:rFonts w:ascii="Arial" w:cs="Arial" w:eastAsia="Arial" w:hAnsi="Arial"/>
          <w:sz w:val="17"/>
          <w:szCs w:val="17"/>
          <w:i w:val="1"/>
          <w:iCs w:val="1"/>
          <w:color w:val="auto"/>
        </w:rPr>
        <w:t xml:space="preserve"> Bloomberg Businessweek</w:t>
      </w:r>
      <w:r>
        <w:rPr>
          <w:rFonts w:ascii="Arial" w:cs="Arial" w:eastAsia="Arial" w:hAnsi="Arial"/>
          <w:sz w:val="17"/>
          <w:szCs w:val="17"/>
          <w:color w:val="auto"/>
        </w:rPr>
        <w:t>. His latest book,</w:t>
      </w:r>
      <w:r>
        <w:rPr>
          <w:rFonts w:ascii="Arial" w:cs="Arial" w:eastAsia="Arial" w:hAnsi="Arial"/>
          <w:sz w:val="17"/>
          <w:szCs w:val="17"/>
          <w:i w:val="1"/>
          <w:iCs w:val="1"/>
          <w:color w:val="auto"/>
        </w:rPr>
        <w:t xml:space="preserve"> Sensemaking: The Power of the Humanities in the Age of the Algorithm</w:t>
      </w:r>
      <w:r>
        <w:rPr>
          <w:rFonts w:ascii="Arial" w:cs="Arial" w:eastAsia="Arial" w:hAnsi="Arial"/>
          <w:sz w:val="17"/>
          <w:szCs w:val="17"/>
          <w:color w:val="auto"/>
        </w:rPr>
        <w:t>, was published in the spring of 2017 by Hachette Book Group. 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book </w:t>
      </w:r>
      <w:r>
        <w:rPr>
          <w:rFonts w:ascii="Arial" w:cs="Arial" w:eastAsia="Arial" w:hAnsi="Arial"/>
          <w:sz w:val="17"/>
          <w:szCs w:val="17"/>
          <w:i w:val="1"/>
          <w:iCs w:val="1"/>
          <w:color w:val="auto"/>
        </w:rPr>
        <w:t>The Moment of Clarity</w:t>
      </w:r>
      <w:r>
        <w:rPr>
          <w:rFonts w:ascii="Arial" w:cs="Arial" w:eastAsia="Arial" w:hAnsi="Arial"/>
          <w:sz w:val="17"/>
          <w:szCs w:val="17"/>
          <w:color w:val="auto"/>
        </w:rPr>
        <w:t>, co-written with ReD partner Mikkel B. Rasmussen, was published by Harvard Business Press in the fall of 2014. He studied 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9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b w:val="1"/>
          <w:bCs w:val="1"/>
          <w:i w:val="1"/>
          <w:iCs w:val="1"/>
          <w:color w:val="auto"/>
        </w:rPr>
        <w:t xml:space="preserve">Andrew Hall </w:t>
      </w:r>
      <w:r>
        <w:rPr>
          <w:rFonts w:ascii="Arial" w:cs="Arial" w:eastAsia="Arial" w:hAnsi="Arial"/>
          <w:sz w:val="16"/>
          <w:szCs w:val="16"/>
          <w:color w:val="auto"/>
        </w:rPr>
        <w:t>has served on our board of directors since the Closing of the Business Combination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2021 Mr. Hall is an internationally experienced executive and non-executive in the renewable energy technologies and services sector. Since July 2018, Mr. Hall has served as Managing Director of Saxjo Limited, a renewable energy consultancy company. Previously, Mr. Hall was Group Chief Financial Officer at Siemens Gamesa Renewable Energy SA, one of the largest companies in the wind and renewables industry, from</w:t>
      </w:r>
    </w:p>
    <w:p>
      <w:pPr>
        <w:spacing w:after="0" w:line="2" w:lineRule="exact"/>
        <w:rPr>
          <w:sz w:val="20"/>
          <w:szCs w:val="20"/>
          <w:color w:val="auto"/>
        </w:rPr>
      </w:pPr>
    </w:p>
    <w:p>
      <w:pPr>
        <w:ind w:left="460" w:right="459"/>
        <w:spacing w:after="0" w:line="252" w:lineRule="auto"/>
        <w:rPr>
          <w:sz w:val="20"/>
          <w:szCs w:val="20"/>
          <w:color w:val="auto"/>
        </w:rPr>
      </w:pPr>
      <w:r>
        <w:rPr>
          <w:rFonts w:ascii="Arial" w:cs="Arial" w:eastAsia="Arial" w:hAnsi="Arial"/>
          <w:sz w:val="18"/>
          <w:szCs w:val="18"/>
          <w:color w:val="auto"/>
        </w:rPr>
        <w:t>April 2017 to November 2017. From October 2015 to March 2017, Mr. Hall served as Group Chief Financial Officer and Executive Director at Siemens Wind Power GmbH &amp; Co KG, a wind turbine original equipment manufacturer. 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6" w:name="page147"/>
    <w:bookmarkEnd w:id="1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office-backed companies in the renewable energy sector. Since September 2019, Mr. Hall has been Executive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Chair of Star Windco Limited, a company providing wind turbine erection services. Since October 2018,</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Hall has been a non-executive director of Time to Act Limited, which specializes in metal coatings for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gas turbine and hydrogen industries. Additionally, Mr. Hall has served as Chair of New Motion Labs Limited,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which licenses technology for the manufacture of mechanical drives, since June 2019, and as Senior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Independent Director of Hero Future Energies Global Limited, a global renewable energy developer, since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February 2019. Previously, Mr. Hall served as a board member A2Sea AS from 2015 to 2017, Voith Hydro</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GmbH &amp; Co KG from 2015 to 2017 and Mimica Labs from 2014 to 2017. Mr. Hall earned a M.Sc. &amp; B.Sc.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the University of Cape Town and an M.B.A. from the London Business School. Mr. Hall’s qualifications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serve on the board of directors include his extensive international experience leading large, capital-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intensive businesses in the renewable energy sector.</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 xml:space="preserve">Sheila Khama </w:t>
      </w:r>
      <w:r>
        <w:rPr>
          <w:rFonts w:ascii="Arial" w:cs="Arial" w:eastAsia="Arial" w:hAnsi="Arial"/>
          <w:sz w:val="17"/>
          <w:szCs w:val="17"/>
          <w:color w:val="auto"/>
        </w:rPr>
        <w:t>has served on our board of directors since the Closing of the Business Combination in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September 2021. Ms. Khama is a consultant, policy advisor and former mining industry executive with</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expertise in corporate governance and sustainable development of minerals, oil and gas resources. Since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April 2019, Ms. Khama has been an independent consultant on oil and gas governance and policy reforms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SK Consulting Pty, Ltd. From November 2016 to March 2019, Ms. Khama served as Practice Manager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Coordinator of Donor Relations and Partnerships at The World Bank, where she led an international team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mineral, oil and gas specialists in implementing support programs ranging from policy reforms, technical</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assistance, research and knowledge dissemination for various countries. From November 2013 to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November 2016, Ms. Khama served as Director African Natural Resources Center at the African Development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Bank in Tunisia, where she led a support program for African governments to improve development outcomes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renewable and non-renewable resources. From 2010 to 2013, Ms. Khama served as Director of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Extractives Advisory Program at the African Center for Economic Transformation, a pan-African think tank</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in Ghana. Ms. Khama also previously held a number of senior roles in the private sector, including Chief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Executive Officer of De Beers Botswana from 2005 to 2010, Head of Marketing and Communication at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National Bank of Botswana Ltd from 2002 to 2005, and Group Secretary of the Anglo American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Corporation Botswana from 1994 to 2002. Ms. Khama also currently serves as a Non-Executive Director for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Tullow Oil plc, a position she has held since June 2019. Ms. Khama received an M.B.A. in General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from Edinburgh University and a B.A. from the University of Botswana. Ms. Khama’s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qualifications to serve on the board of directors include her extensive experience as a corporate strategist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her deep understanding of regulatory frameworks in the minerals, oil and gas industry.</w:t>
      </w:r>
    </w:p>
    <w:p>
      <w:pPr>
        <w:spacing w:after="0" w:line="143"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b w:val="1"/>
          <w:bCs w:val="1"/>
          <w:i w:val="1"/>
          <w:iCs w:val="1"/>
          <w:color w:val="auto"/>
        </w:rPr>
        <w:t xml:space="preserve">Andrei Karkar </w:t>
      </w:r>
      <w:r>
        <w:rPr>
          <w:rFonts w:ascii="Arial" w:cs="Arial" w:eastAsia="Arial" w:hAnsi="Arial"/>
          <w:sz w:val="17"/>
          <w:szCs w:val="17"/>
          <w:color w:val="auto"/>
        </w:rPr>
        <w:t>has served on our board of directors since the Closing of the Business Combination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2021 and served as a director of DeepGreen since March 2019. Since 2006, Mr. Karkar has served as Chief Executive Officer of ERAS Holdings, a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Mr. Karkar received a B.A. from Georgetown University. Mr. Karkar’s qualifications to serve on the board of directors include his experience as an advisor and investor in public and private companies.</w:t>
      </w:r>
    </w:p>
    <w:p>
      <w:pPr>
        <w:spacing w:after="0" w:line="97"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b w:val="1"/>
          <w:bCs w:val="1"/>
          <w:i w:val="1"/>
          <w:iCs w:val="1"/>
          <w:color w:val="auto"/>
        </w:rPr>
        <w:t xml:space="preserve">Amelia Kinahoi Siamomua </w:t>
      </w:r>
      <w:r>
        <w:rPr>
          <w:rFonts w:ascii="Arial" w:cs="Arial" w:eastAsia="Arial" w:hAnsi="Arial"/>
          <w:sz w:val="16"/>
          <w:szCs w:val="16"/>
          <w:color w:val="auto"/>
        </w:rPr>
        <w:t>has served on our board of directors since the Closing of the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in September 2021. Ms. Siamomua has over 35 years of experience as a development economist and an international civil servant with a strong focus on gender equality and sustainability issues. Since March 2021, Ms. Siamomua has been an independent consultant on gender and social inclusion for the Government of Nauru. From June 2015 until February 2021, Ms. Siamomua served as Head of Gender, Economic, Youth &amp; Sustainable Development Directorate of the Commonwealth Secretariat based in London, United Kingdom, where she represented the Secretary General at the United Nations (“UN”)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Ms. Siamomua has earned a B.A. in Economics and Politics and an MBA from the University of the South Pacific. Ms. Siamomua’s qualifications to serve on the board of directors include her sustainable development expertise and her extensive knowledge of economic and social policies of developing countries.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b w:val="1"/>
          <w:bCs w:val="1"/>
          <w:i w:val="1"/>
          <w:iCs w:val="1"/>
          <w:color w:val="auto"/>
        </w:rPr>
        <w:t xml:space="preserve">Gina Stryker </w:t>
      </w:r>
      <w:r>
        <w:rPr>
          <w:rFonts w:ascii="Arial" w:cs="Arial" w:eastAsia="Arial" w:hAnsi="Arial"/>
          <w:sz w:val="17"/>
          <w:szCs w:val="17"/>
          <w:color w:val="auto"/>
        </w:rPr>
        <w:t>has served on our board of directors since the Closing of the Business Combination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2021.Ms. Stryker has 20 years of tax experience in corporate settings as well as 14 years of senior management experience. Since May 2020, Ms. Stryker has served as General Counsel and Corporate Secretary of SOAC. Since August 2019, Ms. Stryker has also been a part of 3920 Partners LLC, a company focused on sustainable investment, where she now serves as Partner. From July 2018 to January 2019, Ms. Stryker served as Senior Advisor to EVP Restructuring at GenOn Energy, Inc. (“GenOn”), where she led tax and business strategy engagement as GenOn prepared to emerge from Chapter 11. Prior to July 2018, Ms. Stryker managed a family office. Ms. Stryker has earned a B.S. in Applied Science from Youngstown State University, a J.D. from University of Pittsburgh, an LLM from New York University and an MBA from Rice University. Ms. Stryker’s qualifications to serve on the board of directors include her prior experience advising on tax and business strategy in the energy industry.</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are no family relationships between or among any of our directors or executive officers.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Role of Board in Risk Oversight</w:t>
      </w:r>
    </w:p>
    <w:p>
      <w:pPr>
        <w:spacing w:after="0" w:line="162"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and the appropriate mitigating factors. In addition, the board of directors will receive periodic detailed operating performance reviews from management.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48"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is declassified, and the directors will be elected annually.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62"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Andrew Hall, Scott Leonard, Gina Stryker, Sheila Khama, Christian Madsbjerg, Amelia Kinahoi Siamomua and Andrei Karkar, representing seven (7) of the Company’s eight (8) directors, are “independent” as that term is defined under the applicable rules and regulations of the SEC and the listing requirements and rules of the Nasdaq. Andrew Hall serves as the Lead Independent Director of the board of directors.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Committees</w:t>
      </w:r>
    </w:p>
    <w:p>
      <w:pPr>
        <w:spacing w:after="0" w:line="162"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standing committees of the board of directors consist of an audit committee, a compensation committee, a nominating and corporate governance committee and the sustainability and innovation committee. The board of directors may from time to time establish other committees.</w:t>
      </w:r>
    </w:p>
    <w:p>
      <w:pPr>
        <w:spacing w:after="0" w:line="103"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board of directors will provide appropriate risk oversight of our activities.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jc w:val="both"/>
        <w:ind w:left="460" w:right="819" w:firstLine="432"/>
        <w:spacing w:after="0" w:line="286" w:lineRule="auto"/>
        <w:rPr>
          <w:sz w:val="20"/>
          <w:szCs w:val="20"/>
          <w:color w:val="auto"/>
        </w:rPr>
      </w:pPr>
      <w:r>
        <w:rPr>
          <w:rFonts w:ascii="Arial" w:cs="Arial" w:eastAsia="Arial" w:hAnsi="Arial"/>
          <w:sz w:val="17"/>
          <w:szCs w:val="17"/>
          <w:color w:val="auto"/>
        </w:rPr>
        <w:t>Our audit committee consists of Scott Leonard, who serves as the chairperson, Andrew Hall and Gina Stryker. Each member of the audit committee qualifies as an independent director under the Nasdaq Listing Rules and the independence requirements of Rule 10A-3 under the Exchange Act.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board of directors has determined that Mr. Leonard qualifies as an “audit committee financial expert” as such term is defined in Item 407(d)(5) of Regulation S-K and possesses financial sophistication, as defined under the rules of Nasdaq.</w:t>
      </w:r>
    </w:p>
    <w:p>
      <w:pPr>
        <w:spacing w:after="0" w:line="116"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purpose of the audit committee is to prepare the audit committee report required by the SEC to be included in our proxy statement and to assist the board of directors in overseeing and monitoring (1) the quality and integrity of the financial statements, (2) compliance with legal and regulatory requirements, (3) our independent registered public accounting firm’s qualifications and independence, (4) the performance of our internal audit function and (5) the performance of our independent registered public accounting firm.</w:t>
      </w:r>
    </w:p>
    <w:p>
      <w:pPr>
        <w:spacing w:after="0" w:line="94"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 xml:space="preserve">The board of directors has adopted a written charter for the audit committee, which is available on the Company’s website at </w:t>
      </w:r>
      <w:r>
        <w:rPr>
          <w:rFonts w:ascii="Arial" w:cs="Arial" w:eastAsia="Arial" w:hAnsi="Arial"/>
          <w:sz w:val="16"/>
          <w:szCs w:val="16"/>
          <w:i w:val="1"/>
          <w:iCs w:val="1"/>
          <w:color w:val="auto"/>
        </w:rPr>
        <w:t>www.metals.co</w:t>
      </w:r>
      <w:r>
        <w:rPr>
          <w:rFonts w:ascii="Arial" w:cs="Arial" w:eastAsia="Arial" w:hAnsi="Arial"/>
          <w:sz w:val="16"/>
          <w:szCs w:val="16"/>
          <w:color w:val="auto"/>
        </w:rPr>
        <w:t xml:space="preserve"> under Investors — Governance — Governance Documents.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Our compensation committee consists of Andrei Karkar, who serves as the chairperson, Sheila Khama and Gina Stryker.</w:t>
      </w:r>
    </w:p>
    <w:p>
      <w:pPr>
        <w:spacing w:after="0" w:line="103"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equity-based compensation plans and (3) preparing the compensation committee report required to be included in our proxy statement under the rules and regulations of the SEC.</w:t>
      </w:r>
    </w:p>
    <w:p>
      <w:pPr>
        <w:spacing w:after="0" w:line="120"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 xml:space="preserve">The board of directors has adopted a written charter for the compensation committee, which is available on the Company’s website at </w:t>
      </w:r>
      <w:r>
        <w:rPr>
          <w:rFonts w:ascii="Arial" w:cs="Arial" w:eastAsia="Arial" w:hAnsi="Arial"/>
          <w:sz w:val="16"/>
          <w:szCs w:val="16"/>
          <w:i w:val="1"/>
          <w:iCs w:val="1"/>
          <w:color w:val="auto"/>
        </w:rPr>
        <w:t>www.metals.co</w:t>
      </w:r>
      <w:r>
        <w:rPr>
          <w:rFonts w:ascii="Arial" w:cs="Arial" w:eastAsia="Arial" w:hAnsi="Arial"/>
          <w:sz w:val="16"/>
          <w:szCs w:val="16"/>
          <w:color w:val="auto"/>
        </w:rPr>
        <w:t xml:space="preserve"> under Investors — Governance — Governance Documents.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4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Our nominating and corporate governance committee consists of Christian Madsbjerg, who serves as the chairperson, Sheila Khama and Andrei Karkar. The purpose of the nominating and corporate governance committee is to assist the board of directors in discharging its responsibilities relating to (1) identifying individuals qualified to become new board of directors members, consistent with criteria approved by the board of directors, (2) reviewing the qualifications of incumbent directors to determine whether to recommend them for reelection and selecting, or recommending that the board of directors select, the director nominees for the next annual meeting of stockholders,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 evaluation of the board of directors and management and (6) handling such other matters that are specifically delegated to the committee by the board of directors from time to time.</w:t>
      </w:r>
    </w:p>
    <w:p>
      <w:pPr>
        <w:spacing w:after="0" w:line="111" w:lineRule="exact"/>
        <w:rPr>
          <w:sz w:val="20"/>
          <w:szCs w:val="20"/>
          <w:color w:val="auto"/>
        </w:rPr>
      </w:pPr>
    </w:p>
    <w:p>
      <w:pPr>
        <w:ind w:left="460" w:right="1019" w:firstLine="432"/>
        <w:spacing w:after="0" w:line="263" w:lineRule="auto"/>
        <w:rPr>
          <w:sz w:val="20"/>
          <w:szCs w:val="20"/>
          <w:color w:val="auto"/>
        </w:rPr>
      </w:pPr>
      <w:r>
        <w:rPr>
          <w:rFonts w:ascii="Arial" w:cs="Arial" w:eastAsia="Arial" w:hAnsi="Arial"/>
          <w:sz w:val="18"/>
          <w:szCs w:val="18"/>
          <w:color w:val="auto"/>
        </w:rPr>
        <w:t xml:space="preserve">The board of directors have adopted a written charter for the nominating and corporate governance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Sustainability and Innovation Committee</w:t>
      </w:r>
    </w:p>
    <w:p>
      <w:pPr>
        <w:spacing w:after="0" w:line="15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Our sustainability and innovation committee consists of Sheila Khama, who serves as the chairperson, Christian Madsbjerg and Amelia Kinahoi Siamomua.</w:t>
      </w:r>
    </w:p>
    <w:p>
      <w:pPr>
        <w:spacing w:after="0" w:line="89"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purpose of the sustainability and innovation committee is to assist the board of directors in discharging its responsibilities relating to oversight of the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90"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 xml:space="preserve">The board of directors have adopted a written charter for the sustainability and innovation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Arial" w:cs="Arial" w:eastAsia="Arial" w:hAnsi="Arial"/>
          <w:sz w:val="16"/>
          <w:szCs w:val="16"/>
          <w:i w:val="1"/>
          <w:iCs w:val="1"/>
          <w:color w:val="auto"/>
        </w:rPr>
        <w:t>www.metals.co</w:t>
      </w:r>
      <w:r>
        <w:rPr>
          <w:rFonts w:ascii="Arial" w:cs="Arial" w:eastAsia="Arial" w:hAnsi="Arial"/>
          <w:sz w:val="16"/>
          <w:szCs w:val="16"/>
          <w:color w:val="auto"/>
        </w:rPr>
        <w:t xml:space="preserve"> under Investors — Governance — Governance Documents. Our code of business conduct is a “code of ethics,” as defined in Item 406(b) of Regulation S-K.</w:t>
      </w:r>
    </w:p>
    <w:p>
      <w:pPr>
        <w:spacing w:after="0" w:line="9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Governance Guidelines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 xml:space="preserve">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SOAC</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None of SOAC’s executive officers or directors received any cash compensation for services rendered to SOAC. SOAC agreed to pay an affiliate of its Sponsor a total of $10,000 per month, for up to 18 months, for office space, secretarial and administrative services provided to members of its management team. The Sponsor, executive officers and directors, or any of their respective affiliates were reimbursed for any out-of-pocket expenses incurred in connection with activities on its behalf, such as identifying potential target businesses and performing due diligence on suitable business combinations.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w:t>
      </w:r>
    </w:p>
    <w:p>
      <w:pPr>
        <w:spacing w:after="0" w:line="162"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This section provides an overview of our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80"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We are currently considered a “smaller reporting company” within the meaning of the Securities Exchange Act of 1934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or “NEOs,” which are the individuals who served as principal executive officer and the next two most highly compensated executive officers for the fiscal year ended December 31, 2020. As of December 31, 2020, our NEOs were:</w:t>
      </w:r>
    </w:p>
    <w:p>
      <w:pPr>
        <w:spacing w:after="0" w:line="99" w:lineRule="exact"/>
        <w:rPr>
          <w:sz w:val="20"/>
          <w:szCs w:val="20"/>
          <w:color w:val="auto"/>
        </w:rPr>
      </w:pPr>
    </w:p>
    <w:p>
      <w:pPr>
        <w:ind w:left="1300" w:hanging="41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Gerard Barron, Chief Executive Officer;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Anthony O’Sullivan, Chief Development Officer,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Erika Ilves, Chief Strategy Officer</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The objective of our compensation program is to provide a total compensation package to each NEO that will enable us to attract, motivate and retain outstanding individuals, align the interests of our executive team with those of our equity holders, encourage individual and collective contributions to the successful execution of our short- and long-term business strategies and reward NEOs for performance. Our board of directors has historically determined the compensation for the NEOs.</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For 2020, the compensation program for the NEOs consisted of a base salary as described below:</w:t>
      </w:r>
    </w:p>
    <w:p>
      <w:pPr>
        <w:spacing w:after="0" w:line="152" w:lineRule="exact"/>
        <w:rPr>
          <w:sz w:val="20"/>
          <w:szCs w:val="20"/>
          <w:color w:val="auto"/>
        </w:rPr>
      </w:pPr>
    </w:p>
    <w:p>
      <w:pPr>
        <w:ind w:left="1320" w:right="799" w:hanging="434"/>
        <w:spacing w:after="0" w:line="266" w:lineRule="auto"/>
        <w:tabs>
          <w:tab w:leader="none" w:pos="1311"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Base salary is paid to attract and retain qualified talent and is set at a level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commensurate with the executive’s duties and authorities, contributions, prior experience and sustained performance.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shows information concerning the annual compensation for services provided to us by our NEOs for the fiscal year ended December 31, 2020 and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All Other</w:t>
            </w:r>
          </w:p>
        </w:tc>
        <w:tc>
          <w:tcPr>
            <w:tcW w:w="104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Arial" w:cs="Arial" w:eastAsia="Arial" w:hAnsi="Arial"/>
                <w:sz w:val="16"/>
                <w:szCs w:val="16"/>
                <w:b w:val="1"/>
                <w:bCs w:val="1"/>
                <w:color w:val="auto"/>
              </w:rPr>
              <w:t>Salary</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Compensation</w:t>
            </w:r>
          </w:p>
        </w:tc>
        <w:tc>
          <w:tcPr>
            <w:tcW w:w="1040" w:type="dxa"/>
            <w:vAlign w:val="bottom"/>
          </w:tcPr>
          <w:p>
            <w:pPr>
              <w:jc w:val="right"/>
              <w:ind w:right="272"/>
              <w:spacing w:after="0"/>
              <w:rPr>
                <w:sz w:val="20"/>
                <w:szCs w:val="20"/>
                <w:color w:val="auto"/>
              </w:rPr>
            </w:pPr>
            <w:r>
              <w:rPr>
                <w:rFonts w:ascii="Arial" w:cs="Arial" w:eastAsia="Arial" w:hAnsi="Arial"/>
                <w:sz w:val="16"/>
                <w:szCs w:val="16"/>
                <w:b w:val="1"/>
                <w:bCs w:val="1"/>
                <w:color w:val="auto"/>
              </w:rPr>
              <w:t>Total</w:t>
            </w:r>
          </w:p>
        </w:tc>
      </w:tr>
      <w:tr>
        <w:trPr>
          <w:trHeight w:val="253"/>
        </w:trPr>
        <w:tc>
          <w:tcPr>
            <w:tcW w:w="4040" w:type="dxa"/>
            <w:vAlign w:val="bottom"/>
          </w:tcPr>
          <w:p>
            <w:pPr>
              <w:spacing w:after="0"/>
              <w:rPr>
                <w:sz w:val="20"/>
                <w:szCs w:val="20"/>
                <w:color w:val="auto"/>
              </w:rPr>
            </w:pPr>
            <w:r>
              <w:rPr>
                <w:rFonts w:ascii="Arial" w:cs="Arial" w:eastAsia="Arial" w:hAnsi="Arial"/>
                <w:sz w:val="16"/>
                <w:szCs w:val="16"/>
                <w:b w:val="1"/>
                <w:bCs w:val="1"/>
                <w:color w:val="auto"/>
              </w:rPr>
              <w:t>Name and Principal Position</w:t>
            </w:r>
          </w:p>
        </w:tc>
        <w:tc>
          <w:tcPr>
            <w:tcW w:w="100" w:type="dxa"/>
            <w:vAlign w:val="bottom"/>
          </w:tcPr>
          <w:p>
            <w:pPr>
              <w:spacing w:after="0"/>
              <w:rPr>
                <w:sz w:val="21"/>
                <w:szCs w:val="21"/>
                <w:color w:val="auto"/>
              </w:rPr>
            </w:pPr>
          </w:p>
        </w:tc>
        <w:tc>
          <w:tcPr>
            <w:tcW w:w="880" w:type="dxa"/>
            <w:vAlign w:val="bottom"/>
            <w:gridSpan w:val="2"/>
          </w:tcPr>
          <w:p>
            <w:pPr>
              <w:ind w:left="220"/>
              <w:spacing w:after="0"/>
              <w:rPr>
                <w:sz w:val="20"/>
                <w:szCs w:val="20"/>
                <w:color w:val="auto"/>
              </w:rPr>
            </w:pPr>
            <w:r>
              <w:rPr>
                <w:rFonts w:ascii="Arial" w:cs="Arial" w:eastAsia="Arial" w:hAnsi="Arial"/>
                <w:sz w:val="16"/>
                <w:szCs w:val="16"/>
                <w:b w:val="1"/>
                <w:bCs w:val="1"/>
                <w:color w:val="auto"/>
              </w:rPr>
              <w:t>Year</w:t>
            </w:r>
          </w:p>
        </w:tc>
        <w:tc>
          <w:tcPr>
            <w:tcW w:w="840" w:type="dxa"/>
            <w:vAlign w:val="bottom"/>
          </w:tcPr>
          <w:p>
            <w:pPr>
              <w:jc w:val="right"/>
              <w:ind w:right="25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(1)</w:t>
            </w:r>
          </w:p>
        </w:tc>
        <w:tc>
          <w:tcPr>
            <w:tcW w:w="80" w:type="dxa"/>
            <w:vAlign w:val="bottom"/>
          </w:tcPr>
          <w:p>
            <w:pPr>
              <w:spacing w:after="0"/>
              <w:rPr>
                <w:sz w:val="21"/>
                <w:szCs w:val="21"/>
                <w:color w:val="auto"/>
              </w:rPr>
            </w:pPr>
          </w:p>
        </w:tc>
        <w:tc>
          <w:tcPr>
            <w:tcW w:w="104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r>
      <w:tr>
        <w:trPr>
          <w:trHeight w:val="228"/>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Gerard Barron,</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565,000</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565,000</w:t>
            </w:r>
          </w:p>
        </w:tc>
      </w:tr>
      <w:tr>
        <w:trPr>
          <w:trHeight w:val="303"/>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507,500</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507,500</w:t>
            </w:r>
          </w:p>
        </w:tc>
      </w:tr>
      <w:tr>
        <w:trPr>
          <w:trHeight w:val="283"/>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Anthony O’Sullivan,</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475,000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14,998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489,998</w:t>
            </w:r>
          </w:p>
        </w:tc>
      </w:tr>
      <w:tr>
        <w:trPr>
          <w:trHeight w:val="304"/>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Development Officer</w:t>
            </w: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379,901</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393,740</w:t>
            </w:r>
          </w:p>
        </w:tc>
      </w:tr>
      <w:tr>
        <w:trPr>
          <w:trHeight w:val="283"/>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Erika Ilves,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395,000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395,000</w:t>
            </w:r>
          </w:p>
        </w:tc>
      </w:tr>
      <w:tr>
        <w:trPr>
          <w:trHeight w:val="283"/>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Strategy Officer</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41"/>
        </w:trPr>
        <w:tc>
          <w:tcPr>
            <w:tcW w:w="4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99" w:hanging="426"/>
        <w:spacing w:after="0" w:line="293" w:lineRule="auto"/>
        <w:tabs>
          <w:tab w:leader="none" w:pos="8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payments made by DeepGreen pursuant to Australia’s superannuation system on behalf of Mr. O’Sullivan during the year ended December 31, 2020.</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62"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The following table sets forth certain information regarding outstanding equity awards held by the NEOs as of December 31, 2020.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Underlying</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Unexercised</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Unexercised</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Option</w:t>
            </w:r>
          </w:p>
        </w:tc>
        <w:tc>
          <w:tcPr>
            <w:tcW w:w="116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Options</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Options</w:t>
            </w:r>
          </w:p>
        </w:tc>
        <w:tc>
          <w:tcPr>
            <w:tcW w:w="16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Exercise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Exercisable</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Unexercisable</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7"/>
              </w:rPr>
              <w:t>Expiration</w:t>
            </w:r>
          </w:p>
        </w:tc>
      </w:tr>
      <w:tr>
        <w:trPr>
          <w:trHeight w:val="210"/>
        </w:trPr>
        <w:tc>
          <w:tcPr>
            <w:tcW w:w="36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75"/>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47"/>
        </w:trPr>
        <w:tc>
          <w:tcPr>
            <w:tcW w:w="3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Gerard Barron</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4,078,044</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2,275,334</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06/01/2028</w:t>
            </w:r>
          </w:p>
        </w:tc>
      </w:tr>
      <w:tr>
        <w:trPr>
          <w:trHeight w:val="284"/>
        </w:trPr>
        <w:tc>
          <w:tcPr>
            <w:tcW w:w="3600" w:type="dxa"/>
            <w:vAlign w:val="bottom"/>
            <w:gridSpan w:val="2"/>
          </w:tcPr>
          <w:p>
            <w:pPr>
              <w:spacing w:after="0"/>
              <w:rPr>
                <w:sz w:val="20"/>
                <w:szCs w:val="20"/>
                <w:color w:val="auto"/>
              </w:rPr>
            </w:pPr>
            <w:r>
              <w:rPr>
                <w:rFonts w:ascii="Arial" w:cs="Arial" w:eastAsia="Arial" w:hAnsi="Arial"/>
                <w:sz w:val="18"/>
                <w:szCs w:val="18"/>
                <w:color w:val="auto"/>
              </w:rPr>
              <w:t>Anthony O’Sullivan</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685,672</w:t>
            </w:r>
          </w:p>
        </w:tc>
        <w:tc>
          <w:tcPr>
            <w:tcW w:w="1040" w:type="dxa"/>
            <w:vAlign w:val="bottom"/>
          </w:tcPr>
          <w:p>
            <w:pPr>
              <w:jc w:val="right"/>
              <w:spacing w:after="0"/>
              <w:rPr>
                <w:sz w:val="20"/>
                <w:szCs w:val="20"/>
                <w:color w:val="auto"/>
              </w:rPr>
            </w:pPr>
            <w:r>
              <w:rPr>
                <w:rFonts w:ascii="Arial" w:cs="Arial" w:eastAsia="Arial" w:hAnsi="Arial"/>
                <w:sz w:val="18"/>
                <w:szCs w:val="18"/>
                <w:color w:val="auto"/>
              </w:rPr>
              <w:t>1,011,259</w:t>
            </w:r>
            <w:r>
              <w:rPr>
                <w:rFonts w:ascii="Arial" w:cs="Arial" w:eastAsia="Arial" w:hAnsi="Arial"/>
                <w:sz w:val="20"/>
                <w:szCs w:val="20"/>
                <w:color w:val="auto"/>
                <w:vertAlign w:val="superscript"/>
              </w:rPr>
              <w:t>(1)</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0.65</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06/01/2028</w:t>
            </w:r>
          </w:p>
        </w:tc>
      </w:tr>
      <w:tr>
        <w:trPr>
          <w:trHeight w:val="283"/>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Erika Ilves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1,362,077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1,011,259</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0.65</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06/01/2028</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59" w:hanging="426"/>
        <w:spacing w:after="0" w:line="297" w:lineRule="auto"/>
        <w:tabs>
          <w:tab w:leader="none" w:pos="87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Arrangements</w:t>
      </w:r>
    </w:p>
    <w:p>
      <w:pPr>
        <w:spacing w:after="0" w:line="162"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DeepGreen entered into an employment agreement with Mr. Gerard Barron on January 1, 2018, an employment agreement with Mr. Anthony O’Sullivan on July 25, 2017, and an employment agreement with Ms. Erika Ilves on September 1, 2018, each in connection with their services as executive officers with DeepGreen, the material terms of which are described below. In addition, each NEO has agreed to non-competition, non-solicitation and non-interference covenants that apply during the term of employment and for 12 months thereafter, as well as assignment of intellectual property and confidentiality obligations, each as set forth in his or her respective employment agreement.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Mr. Barron began his current position as DeepGreen’s Chief Executive Officer in January 2018.</w:t>
      </w:r>
    </w:p>
    <w:p>
      <w:pPr>
        <w:spacing w:after="0" w:line="23" w:lineRule="exact"/>
        <w:rPr>
          <w:sz w:val="20"/>
          <w:szCs w:val="20"/>
          <w:color w:val="auto"/>
        </w:rPr>
      </w:pPr>
    </w:p>
    <w:p>
      <w:pPr>
        <w:ind w:left="460" w:right="579"/>
        <w:spacing w:after="0" w:line="255" w:lineRule="auto"/>
        <w:rPr>
          <w:sz w:val="20"/>
          <w:szCs w:val="20"/>
          <w:color w:val="auto"/>
        </w:rPr>
      </w:pPr>
      <w:r>
        <w:rPr>
          <w:rFonts w:ascii="Arial" w:cs="Arial" w:eastAsia="Arial" w:hAnsi="Arial"/>
          <w:sz w:val="18"/>
          <w:szCs w:val="18"/>
          <w:color w:val="auto"/>
        </w:rPr>
        <w:t>Mr. O’Sullivan began his current position as DeepGreen’s Chief Development Officer in July 2017. Ms. Ilves began her current position as Head of Strategy and Business Development in September 2018 and continues as our Chief Strategy Officer.</w:t>
      </w:r>
    </w:p>
    <w:p>
      <w:pPr>
        <w:sectPr>
          <w:pgSz w:w="11900" w:h="16838" w:orient="portrait"/>
          <w:cols w:equalWidth="0" w:num="1">
            <w:col w:w="9019"/>
          </w:cols>
          <w:pgMar w:left="1440" w:top="274"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2" w:name="page153"/>
    <w:bookmarkEnd w:id="15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Gerard Barron</w:t>
      </w:r>
    </w:p>
    <w:p>
      <w:pPr>
        <w:spacing w:after="0" w:line="144"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DeepGreen entered into an employment agreement with Mr. Barron, who accepted and commenced his role as DeepGreen’s Chief Executive Officer on the agreement effective date, January 1, 2018 (the “Barron Employment Agreement”). Under the Barron Employment Agreement, Mr. Barron’s initial annual base salary was $450,000, which DeepGreen agreed to review on a year-to-year basis, in accordance with DeepGreen’s payroll practices. In addition, DeepGreen issued Mr. Barron up to 250,000 common shares, upon the execution of the Barron Employment Agreement, to be paid in lieu of cash for services provided by Mr. Barron from July 2017 through November 2017. As DeepGreen’s Chief Executive Officer, Mr. Barron is eligible to participate in DeepGreen’s benefit plans and to be considered for an annual performance incentive bonus, to be granted at the discretion of the board of directors on a year-to-year basis (the “Employment Bonu</w:t>
      </w:r>
      <w:r>
        <w:rPr>
          <w:rFonts w:ascii="Arial" w:cs="Arial" w:eastAsia="Arial" w:hAnsi="Arial"/>
          <w:sz w:val="17"/>
          <w:szCs w:val="17"/>
          <w:u w:val="single" w:color="auto"/>
          <w:color w:val="auto"/>
        </w:rPr>
        <w:t>s</w:t>
      </w:r>
      <w:r>
        <w:rPr>
          <w:rFonts w:ascii="Arial" w:cs="Arial" w:eastAsia="Arial" w:hAnsi="Arial"/>
          <w:sz w:val="17"/>
          <w:szCs w:val="17"/>
          <w:color w:val="auto"/>
        </w:rPr>
        <w:t>”). Under the Barron Employment Agreement, if Mr. Barron is deemed eligible to receive an Employment Bonus for a particular year, then the terms of such Employment Bonus shall be provided under a separate agreement, and paid as soon as practicable after the first quarter of the first financial year following the year that Mr. Barron earns such bonus.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Pursuant to the Barron Employment Agreement, Mr. Barron also received an option grant for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3,000,000 shares of DeepGreen common shares, at an exercise price of $0.75 per share, subject to the terms and</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conditions set forth in a stock option agreement between the parties, dated July 23, 2018 (the “Barron Stock</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 Agreement”). Under the Barron Stock Option Agreement, the parties agreed that (i) 2,500,000 options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would be issued as part of DeepGreen’s Long-Term Incentive Plan, with (x) 60% of such shares vesting in equal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 installments on each of January 1, 2019, January 1, 2020 and January 1, 2021, and (y) 20% of such shares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vesting upon the DeepGreen raising $20,000,000 in cash following the date of grant and (z) 20% of such shares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vesting upon DeepGreen raising a total of $40,000,000 in cash following the date of grant, provided that</w:t>
      </w:r>
    </w:p>
    <w:p>
      <w:pPr>
        <w:spacing w:after="0" w:line="21" w:lineRule="exact"/>
        <w:rPr>
          <w:sz w:val="20"/>
          <w:szCs w:val="20"/>
          <w:color w:val="auto"/>
        </w:rPr>
      </w:pPr>
    </w:p>
    <w:p>
      <w:pPr>
        <w:ind w:left="460" w:right="479"/>
        <w:spacing w:after="0" w:line="281" w:lineRule="auto"/>
        <w:rPr>
          <w:sz w:val="20"/>
          <w:szCs w:val="20"/>
          <w:color w:val="auto"/>
        </w:rPr>
      </w:pPr>
      <w:r>
        <w:rPr>
          <w:rFonts w:ascii="Arial" w:cs="Arial" w:eastAsia="Arial" w:hAnsi="Arial"/>
          <w:sz w:val="16"/>
          <w:szCs w:val="16"/>
          <w:color w:val="auto"/>
        </w:rPr>
        <w:t>Mr. Barron remained an employee of DeepGreen on such dates, and (ii) 500,000 options would be issued as part of Mr. Barron’s board of directors remuneration, with 50% of such shares vesting as of the grant date and 50% of such shares vesting as of January 1, 2019. Any vested options under the Barron Stock Option Agreement are set to expire on June 1, 2028. All stock options granted to Mr. Barron are governed by the terms of the DeepGreen Plan (as defined below), as well as the Barron Stock Option Agreement. In the event that</w:t>
      </w:r>
    </w:p>
    <w:p>
      <w:pPr>
        <w:spacing w:after="0" w:line="3" w:lineRule="exact"/>
        <w:rPr>
          <w:sz w:val="20"/>
          <w:szCs w:val="20"/>
          <w:color w:val="auto"/>
        </w:rPr>
      </w:pPr>
    </w:p>
    <w:p>
      <w:pPr>
        <w:ind w:left="460" w:right="879"/>
        <w:spacing w:after="0" w:line="281" w:lineRule="auto"/>
        <w:rPr>
          <w:sz w:val="20"/>
          <w:szCs w:val="20"/>
          <w:color w:val="auto"/>
        </w:rPr>
      </w:pPr>
      <w:r>
        <w:rPr>
          <w:rFonts w:ascii="Arial" w:cs="Arial" w:eastAsia="Arial" w:hAnsi="Arial"/>
          <w:sz w:val="16"/>
          <w:szCs w:val="16"/>
          <w:color w:val="auto"/>
        </w:rPr>
        <w:t>Mr. Barron’s employment with DeepGreen is terminated without cause, Mr. Barron will receive a payment equal to either (i) 3 months of his then annual base salary, or (ii) in the event that DeepGreen had raised</w:t>
      </w:r>
    </w:p>
    <w:p>
      <w:pPr>
        <w:spacing w:after="0" w:line="1" w:lineRule="exact"/>
        <w:rPr>
          <w:sz w:val="20"/>
          <w:szCs w:val="20"/>
          <w:color w:val="auto"/>
        </w:rPr>
      </w:pPr>
    </w:p>
    <w:p>
      <w:pPr>
        <w:ind w:left="460" w:right="539" w:hanging="6"/>
        <w:spacing w:after="0" w:line="270" w:lineRule="auto"/>
        <w:tabs>
          <w:tab w:leader="none" w:pos="71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$20,000,000 in equity as of January 1, 2018 and (z) DeepGreen has greater than $10,000,000 cash-on-hand as of the date of such termination, then Mr. Barron shall receive an amount equal to 12 months of his base salary as a salary continuance in accordance with the Barron Employment Agreement and DeepGreen’s standard monthly payroll practices (the “Barron Severance Benefits”). In the event that, following a change of control of DeepGreen, Mr. Barron is terminated without “cause” or resigns as a result of a “triggering event,” Mr. Baron will also be eligible to receive the Barron Severance Benefits.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Anthony O’Sullivan</w:t>
      </w:r>
    </w:p>
    <w:p>
      <w:pPr>
        <w:spacing w:after="0" w:line="158"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DeepGreen entered into an employment agreement with Mr. O’Sullivan, who accepted and commenced his role as DeepGreen’s Chief Development Officer on July 25, 2017 (the “O’Sullivan Employment Agreement”). Pursuant to the terms of the O’Sullivan Employment Agreement, Mr. O’Sullivan’s initial annual base salary was equal to AUD$400,000, less applicable deductions (including Australian PAYG withholding tax or such other withholding tax applicable to the jurisdiction in which Mr. O’Sullivan resides at the time). DeepGreen agreed to review the initial annual base salary on a year-to-year basis in accordance with the terms of the agreement. Mr. O’Sullivan is eligible to participate in DeepGreen’s employee benefit plans, short-</w:t>
      </w:r>
    </w:p>
    <w:p>
      <w:pPr>
        <w:spacing w:after="0" w:line="2" w:lineRule="exact"/>
        <w:rPr>
          <w:sz w:val="20"/>
          <w:szCs w:val="20"/>
          <w:color w:val="auto"/>
        </w:rPr>
      </w:pPr>
    </w:p>
    <w:p>
      <w:pPr>
        <w:ind w:left="460" w:right="559"/>
        <w:spacing w:after="0" w:line="281" w:lineRule="auto"/>
        <w:rPr>
          <w:sz w:val="20"/>
          <w:szCs w:val="20"/>
          <w:color w:val="auto"/>
        </w:rPr>
      </w:pPr>
      <w:r>
        <w:rPr>
          <w:rFonts w:ascii="Arial" w:cs="Arial" w:eastAsia="Arial" w:hAnsi="Arial"/>
          <w:sz w:val="16"/>
          <w:szCs w:val="16"/>
          <w:color w:val="auto"/>
        </w:rPr>
        <w:t>term incentive plan and the long term incentive plan. In connection with his hiring, Mr. O’Sullivan was granted certain stock options pursuant to the DeepGreen Plan. Subject to the terms and conditions set forth by that certain stock option agreement, made effective July 23, 2018, by and between DeepGreen and Mr. O’Sullivan (the “Sullivan Stock Option Agreement”), Mr. Sullivan was granted 1,750,000 common shares at an exercise price of $0.75 per share, subject to (i) thirty-four percent (34%) of the shares vesting as of the grant date,</w:t>
      </w:r>
    </w:p>
    <w:p>
      <w:pPr>
        <w:spacing w:after="0" w:line="3" w:lineRule="exact"/>
        <w:rPr>
          <w:sz w:val="20"/>
          <w:szCs w:val="20"/>
          <w:color w:val="auto"/>
        </w:rPr>
      </w:pPr>
    </w:p>
    <w:p>
      <w:pPr>
        <w:ind w:left="460" w:right="499" w:hanging="6"/>
        <w:spacing w:after="0" w:line="288" w:lineRule="auto"/>
        <w:tabs>
          <w:tab w:leader="none" w:pos="72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thirty-three percent (33%) of the shares vesting on June 1, 2019, and (iii) thirty-three percent (33%) of the shares vesting on June 1, 2020, provided that Mr. O’Sullivan remains an employee of DeepGreen on such dates. The vested options are set to expire on June 1, 2028 under the vesting and expiration conditions of the Sullivan Stock Option Agreement. In the event that Mr. O’Sullivan’s employment with DeepGreen is terminated, then any unvested options will expire on the Termination Date. If Mr. O’Sullivan’s employment with DeepGreen is terminated without “cause” or, within six months following a change of control of DeepGreen, Mr. O’Sullivan experiences a “triggering event,” Mr. O’Sullivan will receive any earned, but unpaid, annual bonus.</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3" w:name="page154"/>
    <w:bookmarkEnd w:id="15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Erika Ilves</w:t>
      </w:r>
    </w:p>
    <w:p>
      <w:pPr>
        <w:spacing w:after="0" w:line="144"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DeepGreen entered into an employment agreement with Ms. Ilves, who accepted and commenced her role as DeepGreen’s Head of Strategy and Business Development on September 1, 2018 (the “Ilves Employment Agreement”). Pursuant to the terms of the Ilves Employment Agreement, Ms. Ilves’ initial annual base salary was $180,000, which would increase to $300,000 per annum, effective January 1, 2019. As a DeepGreen employee, Ms. Ilves is eligible to participate in DeepGreen’s employee benefit plans, short term incentive plan and long term incentive plan. In connection with her hiring, Ms. Ilves was granted certain stock options under the DeepGreen Plan, subject to the terms and conditions set forth by her stock option agreement with DeepGreen, dated September 1, 2018 (the “Ilves Stock Option Agreement”). Under the Ilves Stock Option Agreement, Ms. Ilves was granted 950,000 common shares, at an exercise price of $0.75 per share, subject to</w:t>
      </w:r>
    </w:p>
    <w:p>
      <w:pPr>
        <w:spacing w:after="0" w:line="6" w:lineRule="exact"/>
        <w:rPr>
          <w:sz w:val="20"/>
          <w:szCs w:val="20"/>
          <w:color w:val="auto"/>
        </w:rPr>
      </w:pPr>
    </w:p>
    <w:p>
      <w:pPr>
        <w:ind w:left="460" w:right="599" w:hanging="6"/>
        <w:spacing w:after="0" w:line="270" w:lineRule="auto"/>
        <w:tabs>
          <w:tab w:leader="none" w:pos="67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thirty-four percent (34%) of the shares vesting as of the grant date, (ii) thirty-three percent (33%) of the shares vesting on September 1, 2019, and (iii) thirty-three percent (33%) of the shares vesting on September 1, 2020. The vested options are set to expire on June 1, 2028 under the vesting and expiration conditions of the Ilves Stock Option Agreement. If Ms. Ilves’ employment with DeepGreen is terminated without “cause” or, within six months following a change of control of DeepGreen, Ms. Ilves experiences a “triggering event,” Ms. Ilves will receive any earned, but unpaid, annual bonus.</w:t>
      </w:r>
    </w:p>
    <w:p>
      <w:pPr>
        <w:spacing w:after="0" w:line="111"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 “triggering event” is generally defined under the employment agreements as a material adverse change to any of the employee’s duties, powers or title as they existed immediately prior to a change of control, a material adverse change in the office or body to whom the employee reports immediately prior to a change in control, the employee being required to work more than 50 km from the employee’s primary place of work, or a material adverse change in the employee’s remuneration.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Benefits</w:t>
      </w:r>
    </w:p>
    <w:p>
      <w:pPr>
        <w:spacing w:after="0" w:line="162"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Our NEOs participate in employee benefit programs available to its employees generally. DeepGreen did not maintain any executive-specific benefit or perquisite programs in 2020.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Plans and Stock Option Awards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DeepGreen Plan</w:t>
      </w:r>
    </w:p>
    <w:p>
      <w:pPr>
        <w:spacing w:after="0" w:line="158"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pacing w:after="0" w:line="11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director, senior officer, employee of DeepGreen, (ii) a company that is wholly-owned by any of the foregoing, or (iii) a consultant of DeepGreen. The board of directors, in its sole discretion, may accelerate the vesting of any unexercised options in accordance with the change of control provisions set forth in the DeepGreen Plan.</w:t>
      </w:r>
    </w:p>
    <w:p>
      <w:pPr>
        <w:spacing w:after="0" w:line="104"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DeepGreen accelerate the vesting of the Option and the time for the fulfilment of any conditions or restrictions on such vesting; (ii) 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w:t>
      </w:r>
    </w:p>
    <w:p>
      <w:pPr>
        <w:spacing w:after="0" w:line="2" w:lineRule="exact"/>
        <w:rPr>
          <w:sz w:val="20"/>
          <w:szCs w:val="20"/>
          <w:color w:val="auto"/>
        </w:rPr>
      </w:pPr>
    </w:p>
    <w:p>
      <w:pPr>
        <w:ind w:left="460" w:right="479" w:hanging="6"/>
        <w:spacing w:after="0" w:line="253" w:lineRule="auto"/>
        <w:tabs>
          <w:tab w:leader="none" w:pos="7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25"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TMC Incentive Equity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Eligibility</w:t>
      </w:r>
    </w:p>
    <w:p>
      <w:pPr>
        <w:spacing w:after="0" w:line="14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stock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Available for Issuance</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TMC Incentive Equity Plan provides for the future issuance of 24,682,385 Common Shares, provided that 1/11</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of the Common Shares available under the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of the Business Combination, equal to the lesser of (a) 4% of the number of outstanding Common Shares on such date, and (b) an amount determined by the plan administrator.</w:t>
      </w:r>
    </w:p>
    <w:p>
      <w:pPr>
        <w:spacing w:after="0" w:line="102" w:lineRule="exact"/>
        <w:rPr>
          <w:sz w:val="20"/>
          <w:szCs w:val="20"/>
          <w:color w:val="auto"/>
        </w:rPr>
      </w:pPr>
    </w:p>
    <w:p>
      <w:pPr>
        <w:ind w:left="460" w:right="699" w:firstLine="432"/>
        <w:spacing w:after="0" w:line="296" w:lineRule="auto"/>
        <w:rPr>
          <w:sz w:val="20"/>
          <w:szCs w:val="20"/>
          <w:color w:val="auto"/>
        </w:rPr>
      </w:pPr>
      <w:r>
        <w:rPr>
          <w:rFonts w:ascii="Arial" w:cs="Arial" w:eastAsia="Arial" w:hAnsi="Arial"/>
          <w:sz w:val="16"/>
          <w:szCs w:val="16"/>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 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80"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aggregate grant date fair value of shares granted to any non-employee director under the TMC Incentive Equity Plan and any other cash compensation paid to any non-employee director in any calendar year may not exceed $500,000; increased to $750,000 in the year in which such non-employee director initially joins the board of directors.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terms and conditions of our ability to grant stock options are governed by the TMC Incentive Equity Plan. Notably, we have established a sub-plan to the TMC Incentive Equity Plan (the “U.S. Sub-Plan”) for the purpose of granting stock options to employees who are residents of the United States or who are or may become subject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5" w:name="page156"/>
    <w:bookmarkEnd w:id="15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68" w:lineRule="auto"/>
        <w:rPr>
          <w:sz w:val="20"/>
          <w:szCs w:val="20"/>
          <w:color w:val="auto"/>
        </w:rPr>
      </w:pPr>
      <w:r>
        <w:rPr>
          <w:rFonts w:ascii="Arial" w:cs="Arial" w:eastAsia="Arial" w:hAnsi="Arial"/>
          <w:sz w:val="17"/>
          <w:szCs w:val="17"/>
          <w:color w:val="auto"/>
        </w:rPr>
        <w:t>U.S. tax. Stock options granted under the U.S. Sub-Plan may either be incentive stock options, which are intended to satisfy the requirements of Section 422 of the Code, or non-qualified stock options. Incentive stock options may be granted to employees of TMC and its affiliates,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 longer than ten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119"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58"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stockholder,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 Units</w:t>
      </w:r>
    </w:p>
    <w:p>
      <w:pPr>
        <w:spacing w:after="0" w:line="144"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Restricted stock units vest in accordance with terms and conditions established by the plan administrator and when the applicable restrictions lapse, the grantee will be entitled to receive a payout in cash, shares or a combination thereof based on the number of restricted stock units as specified in the award agreement. Dividend equivalents may accrue but will not be paid prior to and only to the extent that, the restricted stock unit award vests. The holder of restricted stock units does not have the rights and privileges of a regular stockholder, including the ability to vote the restricted stock units.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Stock-Based Awards and Performance-Based Awards</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TMC Incentive Equity Plan also authorizes the grant of other types of stock-based compensation including, but not limited to stock appreciation rights and unrestricted stock awards. The plan administrator may award such stock-based awards subject to such conditions and restrictions as it may determine. We may grant an award conditioned on satisfaction of certain performance criteria. Such performance-based awards also include performance-based restricted shares and restricted stock units. Any dividends or dividend equivalents payable or credited to a participant with respect to any unvested performance-based award will be subject to the same performance goals as the shares or units underlying the performance-based award.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Plan Administration</w:t>
      </w:r>
    </w:p>
    <w:p>
      <w:pPr>
        <w:spacing w:after="0" w:line="15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Exchange Act. In accordance with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7" w:lineRule="auto"/>
        <w:rPr>
          <w:sz w:val="20"/>
          <w:szCs w:val="20"/>
          <w:color w:val="auto"/>
        </w:rPr>
      </w:pPr>
      <w:r>
        <w:rPr>
          <w:rFonts w:ascii="Arial" w:cs="Arial" w:eastAsia="Arial" w:hAnsi="Arial"/>
          <w:sz w:val="18"/>
          <w:szCs w:val="18"/>
          <w:color w:val="auto"/>
        </w:rPr>
        <w:t>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20"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Dividends and Stock Splits</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 Transactions</w:t>
      </w:r>
    </w:p>
    <w:p>
      <w:pPr>
        <w:spacing w:after="0" w:line="144"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116" w:lineRule="exact"/>
        <w:rPr>
          <w:sz w:val="20"/>
          <w:szCs w:val="20"/>
          <w:color w:val="auto"/>
        </w:rPr>
      </w:pPr>
    </w:p>
    <w:p>
      <w:pPr>
        <w:ind w:left="1300" w:hanging="414"/>
        <w:spacing w:after="0"/>
        <w:tabs>
          <w:tab w:leader="none" w:pos="13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provide that all outstanding options will be assumed or substituted by the successor corporation;</w:t>
      </w:r>
    </w:p>
    <w:p>
      <w:pPr>
        <w:spacing w:after="0" w:line="169" w:lineRule="exact"/>
        <w:rPr>
          <w:rFonts w:ascii="Arial" w:cs="Arial" w:eastAsia="Arial" w:hAnsi="Arial"/>
          <w:sz w:val="17"/>
          <w:szCs w:val="17"/>
          <w:color w:val="auto"/>
        </w:rPr>
      </w:pPr>
    </w:p>
    <w:p>
      <w:pPr>
        <w:ind w:left="1320" w:right="699" w:hanging="434"/>
        <w:spacing w:after="0" w:line="263" w:lineRule="auto"/>
        <w:tabs>
          <w:tab w:leader="none" w:pos="13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102" w:lineRule="exact"/>
        <w:rPr>
          <w:rFonts w:ascii="Arial" w:cs="Arial" w:eastAsia="Arial" w:hAnsi="Arial"/>
          <w:sz w:val="18"/>
          <w:szCs w:val="18"/>
          <w:color w:val="auto"/>
        </w:rPr>
      </w:pPr>
    </w:p>
    <w:p>
      <w:pPr>
        <w:ind w:left="1320" w:right="479" w:hanging="434"/>
        <w:spacing w:after="0" w:line="275" w:lineRule="auto"/>
        <w:tabs>
          <w:tab w:leader="none" w:pos="131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108" w:lineRule="exact"/>
        <w:rPr>
          <w:rFonts w:ascii="Arial" w:cs="Arial" w:eastAsia="Arial" w:hAnsi="Arial"/>
          <w:sz w:val="17"/>
          <w:szCs w:val="17"/>
          <w:color w:val="auto"/>
        </w:rPr>
      </w:pPr>
    </w:p>
    <w:p>
      <w:pPr>
        <w:ind w:left="1320" w:right="639" w:hanging="434"/>
        <w:spacing w:after="0" w:line="277" w:lineRule="auto"/>
        <w:tabs>
          <w:tab w:leader="none" w:pos="13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respect to other stock awards, provide that outstanding awards will be assumed or substituted by the successor corporation;</w:t>
      </w:r>
    </w:p>
    <w:p>
      <w:pPr>
        <w:spacing w:after="0" w:line="102" w:lineRule="exact"/>
        <w:rPr>
          <w:rFonts w:ascii="Arial" w:cs="Arial" w:eastAsia="Arial" w:hAnsi="Arial"/>
          <w:sz w:val="18"/>
          <w:szCs w:val="18"/>
          <w:color w:val="auto"/>
        </w:rPr>
      </w:pPr>
    </w:p>
    <w:p>
      <w:pPr>
        <w:ind w:left="1320" w:right="479" w:hanging="434"/>
        <w:spacing w:after="0" w:line="272" w:lineRule="auto"/>
        <w:tabs>
          <w:tab w:leader="none" w:pos="131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96" w:lineRule="exact"/>
        <w:rPr>
          <w:rFonts w:ascii="Arial" w:cs="Arial" w:eastAsia="Arial" w:hAnsi="Arial"/>
          <w:sz w:val="17"/>
          <w:szCs w:val="17"/>
          <w:color w:val="auto"/>
        </w:rPr>
      </w:pPr>
    </w:p>
    <w:p>
      <w:pPr>
        <w:ind w:left="1320" w:right="839" w:hanging="434"/>
        <w:spacing w:after="0" w:line="277" w:lineRule="auto"/>
        <w:tabs>
          <w:tab w:leader="none" w:pos="13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consummation of a Corporate Transaction, to the extent not assumed or substituted by the successor or cashed out, the outstanding awards will terminate.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 and Termination</w:t>
      </w:r>
    </w:p>
    <w:p>
      <w:pPr>
        <w:spacing w:after="0" w:line="158" w:lineRule="exact"/>
        <w:rPr>
          <w:sz w:val="20"/>
          <w:szCs w:val="20"/>
          <w:color w:val="auto"/>
        </w:rPr>
      </w:pPr>
    </w:p>
    <w:p>
      <w:pPr>
        <w:ind w:left="460" w:right="799" w:firstLine="432"/>
        <w:spacing w:after="0" w:line="273" w:lineRule="auto"/>
        <w:rPr>
          <w:sz w:val="20"/>
          <w:szCs w:val="20"/>
          <w:color w:val="auto"/>
        </w:rPr>
      </w:pPr>
      <w:r>
        <w:rPr>
          <w:rFonts w:ascii="Arial" w:cs="Arial" w:eastAsia="Arial" w:hAnsi="Arial"/>
          <w:sz w:val="17"/>
          <w:szCs w:val="17"/>
          <w:color w:val="auto"/>
        </w:rPr>
        <w:t>The TMC Incentive Equity Plan may be amended by our shareholders. It may also be amended by the board of directors or the compensation committee, provided that any amendment which is of a scope that requires stockholder approval as required by (i) the rules of Nasdaq or (ii) for any other reason, is subject to obtaining such stockholder approval. However, no such action may adversely affect any rights under any outstanding award without the holder’s consent unless such amendment is required by applicable law or necessary to preserve the economic value of such award.</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7" w:name="page158"/>
    <w:bookmarkEnd w:id="15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Duration of Plan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TMC Incentive Equity Plan will expire by its terms in April 2031.</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tcPr>
          <w:p>
            <w:pPr>
              <w:spacing w:after="0"/>
              <w:rPr>
                <w:sz w:val="20"/>
                <w:szCs w:val="20"/>
                <w:color w:val="auto"/>
              </w:rPr>
            </w:pPr>
            <w:r>
              <w:rPr>
                <w:rFonts w:ascii="Arial" w:cs="Arial" w:eastAsia="Arial" w:hAnsi="Arial"/>
                <w:sz w:val="16"/>
                <w:szCs w:val="16"/>
                <w:b w:val="1"/>
                <w:bCs w:val="1"/>
                <w:color w:val="auto"/>
              </w:rPr>
              <w:t>Position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71"/>
              <w:spacing w:after="0"/>
              <w:rPr>
                <w:sz w:val="20"/>
                <w:szCs w:val="20"/>
                <w:color w:val="auto"/>
              </w:rPr>
            </w:pPr>
            <w:r>
              <w:rPr>
                <w:rFonts w:ascii="Arial" w:cs="Arial" w:eastAsia="Arial" w:hAnsi="Arial"/>
                <w:sz w:val="16"/>
                <w:szCs w:val="16"/>
                <w:b w:val="1"/>
                <w:bCs w:val="1"/>
                <w:color w:val="auto"/>
              </w:rPr>
              <w:t>Retainer</w:t>
            </w:r>
          </w:p>
        </w:tc>
      </w:tr>
      <w:tr>
        <w:trPr>
          <w:trHeight w:val="47"/>
        </w:trPr>
        <w:tc>
          <w:tcPr>
            <w:tcW w:w="6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Lead director</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Audit Committee chairperson</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2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Compensation Committee chairperson</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2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2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Sustainability and Innovation Committee chairperson</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40"/>
        </w:trPr>
        <w:tc>
          <w:tcPr>
            <w:tcW w:w="6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bl>
    <w:p>
      <w:pPr>
        <w:spacing w:after="0" w:line="134"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11"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In addition, we grant to new non-employee directors upon their initial election to the board of directors a number of restricted stock units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85"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The table below summarizes the compensation of each person serving as a non-employee director of DeepGreen for the fiscal year ended December 31, 2020. Gerard Barron, our Chief Executive Officer, did not receive any additional compensation for his service as a director of DeepGreen in 2020. The compensation of Mr. Barron as a NEO is set forth above under “</w:t>
      </w:r>
      <w:r>
        <w:rPr>
          <w:rFonts w:ascii="Arial" w:cs="Arial" w:eastAsia="Arial" w:hAnsi="Arial"/>
          <w:sz w:val="17"/>
          <w:szCs w:val="17"/>
          <w:i w:val="1"/>
          <w:iCs w:val="1"/>
          <w:color w:val="auto"/>
        </w:rPr>
        <w:t>— Summary Compensation Table</w:t>
      </w:r>
      <w:r>
        <w:rPr>
          <w:rFonts w:ascii="Arial" w:cs="Arial" w:eastAsia="Arial" w:hAnsi="Arial"/>
          <w:sz w:val="17"/>
          <w:szCs w:val="17"/>
          <w:color w:val="auto"/>
        </w:rPr>
        <w:t>.”</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Fees Earned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or Paid in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90"/>
              <w:spacing w:after="0"/>
              <w:rPr>
                <w:sz w:val="20"/>
                <w:szCs w:val="20"/>
                <w:color w:val="auto"/>
              </w:rPr>
            </w:pPr>
            <w:r>
              <w:rPr>
                <w:rFonts w:ascii="Arial" w:cs="Arial" w:eastAsia="Arial" w:hAnsi="Arial"/>
                <w:sz w:val="16"/>
                <w:szCs w:val="16"/>
                <w:b w:val="1"/>
                <w:bCs w:val="1"/>
                <w:color w:val="auto"/>
                <w:w w:val="97"/>
              </w:rPr>
              <w:t>All Other</w:t>
            </w:r>
          </w:p>
        </w:tc>
        <w:tc>
          <w:tcPr>
            <w:tcW w:w="9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Cash</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4"/>
          </w:tcPr>
          <w:p>
            <w:pPr>
              <w:jc w:val="center"/>
              <w:ind w:right="230"/>
              <w:spacing w:after="0"/>
              <w:rPr>
                <w:sz w:val="20"/>
                <w:szCs w:val="20"/>
                <w:color w:val="auto"/>
              </w:rPr>
            </w:pPr>
            <w:r>
              <w:rPr>
                <w:rFonts w:ascii="Arial" w:cs="Arial" w:eastAsia="Arial" w:hAnsi="Arial"/>
                <w:sz w:val="16"/>
                <w:szCs w:val="16"/>
                <w:b w:val="1"/>
                <w:bCs w:val="1"/>
                <w:color w:val="auto"/>
                <w:w w:val="89"/>
              </w:rPr>
              <w:t>Compensation</w:t>
            </w:r>
          </w:p>
        </w:tc>
        <w:tc>
          <w:tcPr>
            <w:tcW w:w="92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53"/>
        </w:trPr>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1"/>
              </w:rPr>
              <w:t>($)</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(1)</w:t>
            </w: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r>
      <w:tr>
        <w:trPr>
          <w:trHeight w:val="248"/>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Jonas Munch Agerskov</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Andrei Karkar</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220" w:type="dxa"/>
            <w:vAlign w:val="bottom"/>
            <w:gridSpan w:val="3"/>
          </w:tcPr>
          <w:p>
            <w:pPr>
              <w:jc w:val="right"/>
              <w:ind w:right="5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Paul Matysek</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Brian Paes-Braga</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220" w:type="dxa"/>
            <w:vAlign w:val="bottom"/>
            <w:gridSpan w:val="3"/>
          </w:tcPr>
          <w:p>
            <w:pPr>
              <w:jc w:val="right"/>
              <w:ind w:right="5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65,000</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59" w:hanging="426"/>
        <w:spacing w:after="0" w:line="273" w:lineRule="auto"/>
        <w:tabs>
          <w:tab w:leader="none" w:pos="87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grant-date fair value of awards granted to each director, computed in accordance with the FASB’s ASC Topic 718. See Note 2 to DeepGreen’s audited consolidated financial statements included elsewhere in this prospectus for a discussion of the assumptions made by DeepGreen in determining the grant-date fair value of DeepGreen’s equity awards.</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8" w:name="page159"/>
    <w:bookmarkEnd w:id="15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lists all outstanding equity awards held by non-employee directors as of December 31,</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2020:</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53"/>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Options</w:t>
            </w:r>
            <w:r>
              <w:rPr>
                <w:rFonts w:ascii="Arial" w:cs="Arial" w:eastAsia="Arial" w:hAnsi="Arial"/>
                <w:sz w:val="18"/>
                <w:szCs w:val="18"/>
                <w:b w:val="1"/>
                <w:bCs w:val="1"/>
                <w:color w:val="auto"/>
                <w:w w:val="87"/>
                <w:vertAlign w:val="superscript"/>
              </w:rPr>
              <w:t>(1)</w:t>
            </w:r>
          </w:p>
        </w:tc>
      </w:tr>
      <w:tr>
        <w:trPr>
          <w:trHeight w:val="248"/>
        </w:trPr>
        <w:tc>
          <w:tcPr>
            <w:tcW w:w="67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Andrei Karkar</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578,931</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Paul Matysek</w:t>
            </w:r>
          </w:p>
        </w:tc>
        <w:tc>
          <w:tcPr>
            <w:tcW w:w="1260" w:type="dxa"/>
            <w:vAlign w:val="bottom"/>
          </w:tcPr>
          <w:p>
            <w:pPr>
              <w:jc w:val="right"/>
              <w:spacing w:after="0"/>
              <w:rPr>
                <w:sz w:val="20"/>
                <w:szCs w:val="20"/>
                <w:color w:val="auto"/>
              </w:rPr>
            </w:pPr>
            <w:r>
              <w:rPr>
                <w:rFonts w:ascii="Arial" w:cs="Arial" w:eastAsia="Arial" w:hAnsi="Arial"/>
                <w:sz w:val="18"/>
                <w:szCs w:val="18"/>
                <w:color w:val="auto"/>
              </w:rPr>
              <w:t>578,931</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Paes-Braga</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578,931</w:t>
            </w:r>
          </w:p>
        </w:tc>
      </w:tr>
      <w:tr>
        <w:trPr>
          <w:trHeight w:val="251"/>
        </w:trPr>
        <w:tc>
          <w:tcPr>
            <w:tcW w:w="674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77" w:lineRule="exact"/>
        <w:rPr>
          <w:sz w:val="20"/>
          <w:szCs w:val="20"/>
          <w:color w:val="auto"/>
        </w:rPr>
      </w:pPr>
    </w:p>
    <w:p>
      <w:pPr>
        <w:ind w:left="880" w:hanging="426"/>
        <w:spacing w:after="0"/>
        <w:tabs>
          <w:tab w:leader="none" w:pos="8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Such awards are fully vested, and have an exercise price of $0.65 and an expiration date of June 1, 2028.</w:t>
      </w:r>
    </w:p>
    <w:p>
      <w:pPr>
        <w:spacing w:after="0" w:line="203" w:lineRule="exact"/>
        <w:rPr>
          <w:rFonts w:ascii="Arial" w:cs="Arial" w:eastAsia="Arial" w:hAnsi="Arial"/>
          <w:sz w:val="16"/>
          <w:szCs w:val="16"/>
          <w:color w:val="auto"/>
        </w:rPr>
      </w:pPr>
    </w:p>
    <w:p>
      <w:pPr>
        <w:ind w:left="4360"/>
        <w:spacing w:after="0"/>
        <w:rPr>
          <w:rFonts w:ascii="Arial" w:cs="Arial" w:eastAsia="Arial" w:hAnsi="Arial"/>
          <w:sz w:val="16"/>
          <w:szCs w:val="16"/>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460" w:right="3539"/>
        <w:spacing w:after="0" w:line="417" w:lineRule="auto"/>
        <w:rPr>
          <w:sz w:val="20"/>
          <w:szCs w:val="20"/>
          <w:color w:val="auto"/>
        </w:rPr>
      </w:pPr>
      <w:r>
        <w:rPr>
          <w:rFonts w:ascii="Arial" w:cs="Arial" w:eastAsia="Arial" w:hAnsi="Arial"/>
          <w:sz w:val="18"/>
          <w:szCs w:val="18"/>
          <w:b w:val="1"/>
          <w:bCs w:val="1"/>
          <w:color w:val="auto"/>
        </w:rPr>
        <w:t xml:space="preserve">Certain Relationships and Related Person Transactions — SOAC </w:t>
      </w:r>
      <w:r>
        <w:rPr>
          <w:rFonts w:ascii="Arial" w:cs="Arial" w:eastAsia="Arial" w:hAnsi="Arial"/>
          <w:sz w:val="18"/>
          <w:szCs w:val="18"/>
          <w:i w:val="1"/>
          <w:iCs w:val="1"/>
          <w:color w:val="auto"/>
        </w:rPr>
        <w:t>Founder Shares</w:t>
      </w:r>
    </w:p>
    <w:p>
      <w:pPr>
        <w:ind w:left="460" w:right="459" w:firstLine="432"/>
        <w:spacing w:after="0" w:line="291" w:lineRule="auto"/>
        <w:rPr>
          <w:sz w:val="20"/>
          <w:szCs w:val="20"/>
          <w:color w:val="auto"/>
        </w:rPr>
      </w:pPr>
      <w:r>
        <w:rPr>
          <w:rFonts w:ascii="Arial" w:cs="Arial" w:eastAsia="Arial" w:hAnsi="Arial"/>
          <w:sz w:val="16"/>
          <w:szCs w:val="16"/>
          <w:color w:val="auto"/>
        </w:rPr>
        <w:t>On December 31, 2019, the Sponsor purchased 8,625,000 shares (the “Founder Shares”) of SOAC’s Class B ordinary shares, par value $0.0001 for an aggregate price of $25,000. In March 2020, the Sponsor transferred 30,000 Founder Shares to each of SOAC’s independent directors. Upon the Continuance, the Founder Shares became our Common Shares. The Sponsor had agreed to forfeit up to 1,125,000 Founder Shares to the extent that the over-allotment option was not exercised in full by the underwriter so that the Founder Shares will represent 20% of SOAC’s issued and outstanding shares after the initial public offering. The over-allotment option expired in June 2020; thus, these Founder Shares were forfeited accordingly.</w:t>
      </w:r>
    </w:p>
    <w:p>
      <w:pPr>
        <w:spacing w:after="0" w:line="99"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SOAC completes a liquidation, merger, share exchange or other similar transaction that results in all of SOAC’s shareholders having the right to exchange their Class A ordinary shares for cash, securities or other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Private Placement Warrants</w:t>
      </w:r>
    </w:p>
    <w:p>
      <w:pPr>
        <w:spacing w:after="0" w:line="14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Simultaneously with the closing of the initial public offering, SOAC consummated the private placement of 9,500,000 private placement warrants at a price of $1.00 per private placement warrant to the Sponsor, generating gross proceeds of $9.5 million with each private placement warrant exercisable for one whole Class A ordinary share at a price of $11.50 per share.</w:t>
      </w:r>
    </w:p>
    <w:p>
      <w:pPr>
        <w:spacing w:after="0" w:line="119"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A portion of the proceeds from the sale of the private placement warrants was added to the proceeds from the initial public offering held in the trust account. The private placement warrants are non-redeemable and exercisable on a cashless basis so long as they are held by the Sponsor or its permitted transferees.</w:t>
      </w:r>
    </w:p>
    <w:p>
      <w:pPr>
        <w:spacing w:after="0" w:line="81"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The Sponsor and SOAC’s officers and directors agreed, subject to limited exceptions, not to transfer, assign or sell any of their private placement warrants until October 9, 2021.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Related Party Loans</w:t>
      </w:r>
    </w:p>
    <w:p>
      <w:pPr>
        <w:spacing w:after="0" w:line="144"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On December 31, 2019, the Sponsor agreed to loan SOAC an aggregate of up to $300,000 to cover expenses related to SOAC’s initial public offering pursuant to a promissory note (the “Note”). This loan was non-interest bearing and payable on the earlier of December 31, 2020 or the completion of the initial public offering. The Sponsor paid an aggregate of approximately $163,000 to cover for expenses on SOAC’s behalf under the Note. On May 8, 2020, SOAC repaid the Note in full.</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Administrative Support Agreement</w:t>
      </w:r>
    </w:p>
    <w:p>
      <w:pPr>
        <w:spacing w:after="0" w:line="158"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SOAC entered into an agreement, commencing on May 8, 2020 through the earlier of the SOAC’s consummation of a Business Combination and its liquidation, to reimburse the Sponsor a total of $10,000 per month for office space, secretarial and administrative services. SOAC incurred and paid $80,000 and $0 in expenses in connection with such services and recorded in general and administrative expenses in the statements of operations for the year ended December 31, 2020, and for the period December 18, 2019 (inception) to December 31, 2019 respectively. SOAC incurred and paid $30,000 and $0 in expenses in connection with such services and recorded in general and administrative expenses in the statements of operations for the three months ended March 31, 2021, and 2020, respectively.</w:t>
      </w:r>
    </w:p>
    <w:p>
      <w:pPr>
        <w:spacing w:after="0" w:line="13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PIPE Financing</w:t>
      </w:r>
    </w:p>
    <w:p>
      <w:pPr>
        <w:spacing w:after="0" w:line="144" w:lineRule="exact"/>
        <w:rPr>
          <w:sz w:val="20"/>
          <w:szCs w:val="20"/>
          <w:color w:val="auto"/>
        </w:rPr>
      </w:pPr>
    </w:p>
    <w:p>
      <w:pPr>
        <w:ind w:left="460" w:right="959" w:firstLine="432"/>
        <w:spacing w:after="0" w:line="342" w:lineRule="auto"/>
        <w:rPr>
          <w:sz w:val="20"/>
          <w:szCs w:val="20"/>
          <w:color w:val="auto"/>
        </w:rPr>
      </w:pPr>
      <w:r>
        <w:rPr>
          <w:rFonts w:ascii="Arial" w:cs="Arial" w:eastAsia="Arial" w:hAnsi="Arial"/>
          <w:sz w:val="16"/>
          <w:szCs w:val="16"/>
          <w:color w:val="auto"/>
        </w:rPr>
        <w:t>In the PIPE Financing consummated on September 9, 2021, Allseas Group SA and Argentum Cedit Virtuti, an affiliate of Allseas, purchased $20 million and $10 million of Common Shares, respectively.</w:t>
      </w:r>
    </w:p>
    <w:p>
      <w:pPr>
        <w:spacing w:after="0" w:line="120" w:lineRule="exact"/>
        <w:rPr>
          <w:sz w:val="20"/>
          <w:szCs w:val="20"/>
          <w:color w:val="auto"/>
        </w:rPr>
      </w:pPr>
    </w:p>
    <w:p>
      <w:pPr>
        <w:ind w:left="460" w:right="2579"/>
        <w:spacing w:after="0" w:line="424" w:lineRule="auto"/>
        <w:rPr>
          <w:sz w:val="20"/>
          <w:szCs w:val="20"/>
          <w:color w:val="auto"/>
        </w:rPr>
      </w:pPr>
      <w:r>
        <w:rPr>
          <w:rFonts w:ascii="Arial" w:cs="Arial" w:eastAsia="Arial" w:hAnsi="Arial"/>
          <w:sz w:val="18"/>
          <w:szCs w:val="18"/>
          <w:b w:val="1"/>
          <w:bCs w:val="1"/>
          <w:color w:val="auto"/>
        </w:rPr>
        <w:t xml:space="preserve">Certain Relationships and Related Person Transactions — Legacy DeepGreen </w:t>
      </w:r>
      <w:r>
        <w:rPr>
          <w:rFonts w:ascii="Arial" w:cs="Arial" w:eastAsia="Arial" w:hAnsi="Arial"/>
          <w:sz w:val="18"/>
          <w:szCs w:val="18"/>
          <w:b w:val="1"/>
          <w:bCs w:val="1"/>
          <w:i w:val="1"/>
          <w:iCs w:val="1"/>
          <w:color w:val="auto"/>
        </w:rPr>
        <w:t>2019 Private Placement</w:t>
      </w:r>
    </w:p>
    <w:p>
      <w:pPr>
        <w:spacing w:after="0" w:line="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In 2019, DeepGreen sold 10,185,811 DeepGreen Common Shares at a price per share of $1.75 in a private placement transaction for total gross proceeds of $26,158,504. In connection therewith, ERAS Capital, an entity controlled by Andrei Karkar and an owner of more than 5% of our Common Shares, purchased 2,857,143 shares in the offering for an aggregate purchase price of $5,000,000.</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2020 Private Placement</w:t>
      </w:r>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2020, DeepGreen sold 5,659,920 DeepGreen Common Shares at a price per share of $3.60 in a private placement transaction for total gross proceeds of $20,375,712. In connection therewith, (i) Gerard Barron, our Chief Executive Officer and Chairman on our board of directors and an owner of more than 5% of our Common Shares, purchased 208,333 shares in the offering for an aggregate purchase price of $749,999 on August 7, 2020, and (ii) ERAS Capital, an entity controlled by Andrei Karkar and an owner of more than 5% of our Common Shares, purchased 2,083,333 shares in the offering for an aggregate purchase price of $7,499,999 on July 13, 2020.</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Consulting Agreements</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DGE is party to a consulting agreement with SSCS Pte. Ltd. (“SSCS”), an entity that is wholly-owned by John Machin, our Head of Offshore Engineering, to manage offshore engineering studies. Mr. Machin is also a director of DGE. Consulting services during the year ended December 31, 2020 amounted to $275,000, and consulting services for the year ended December 31, 2019 amounted to $248,308. As of December 31, 2020, the amount payable to SSCS amounted to $22,917.</w:t>
      </w:r>
    </w:p>
    <w:p>
      <w:pPr>
        <w:spacing w:after="0" w:line="120" w:lineRule="exact"/>
        <w:rPr>
          <w:sz w:val="20"/>
          <w:szCs w:val="20"/>
          <w:color w:val="auto"/>
        </w:rPr>
      </w:pPr>
    </w:p>
    <w:p>
      <w:pPr>
        <w:jc w:val="both"/>
        <w:ind w:left="460" w:right="739" w:firstLine="432"/>
        <w:spacing w:after="0" w:line="287" w:lineRule="auto"/>
        <w:rPr>
          <w:sz w:val="20"/>
          <w:szCs w:val="20"/>
          <w:color w:val="auto"/>
        </w:rPr>
      </w:pPr>
      <w:r>
        <w:rPr>
          <w:rFonts w:ascii="Arial" w:cs="Arial" w:eastAsia="Arial" w:hAnsi="Arial"/>
          <w:sz w:val="16"/>
          <w:szCs w:val="16"/>
          <w:color w:val="auto"/>
        </w:rPr>
        <w:t>Gregory Stone, our Chief Ocean Scientist, regularly provides consulting services to us through Ocean Renaissance LLC (“Ocean Renaissance”), where he is a principal. Consulting services during the year ended December 31, 2020 amounted to $366,667, and consulting services during the year ended December 31,</w:t>
      </w:r>
    </w:p>
    <w:p>
      <w:pPr>
        <w:spacing w:after="0" w:line="2" w:lineRule="exact"/>
        <w:rPr>
          <w:sz w:val="20"/>
          <w:szCs w:val="20"/>
          <w:color w:val="auto"/>
        </w:rPr>
      </w:pPr>
    </w:p>
    <w:p>
      <w:pPr>
        <w:ind w:left="460" w:right="639"/>
        <w:spacing w:after="0" w:line="260" w:lineRule="auto"/>
        <w:rPr>
          <w:sz w:val="20"/>
          <w:szCs w:val="20"/>
          <w:color w:val="auto"/>
        </w:rPr>
      </w:pPr>
      <w:r>
        <w:rPr>
          <w:rFonts w:ascii="Arial" w:cs="Arial" w:eastAsia="Arial" w:hAnsi="Arial"/>
          <w:sz w:val="18"/>
          <w:szCs w:val="18"/>
          <w:color w:val="auto"/>
        </w:rPr>
        <w:t>2019 amounted to $354,999. As of December 31, 2020, the additional amounts payable to Ocean Renaissance amounted to $175.</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Allseas</w:t>
      </w:r>
    </w:p>
    <w:p>
      <w:pPr>
        <w:spacing w:after="0" w:line="144"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On March 29, 2019, DeepGreen and Allseas entered into a Strategic Alliance Agreement, which provides the foundation for DeepGreen and Allseas to conduct project development of an integrated offshore nodule collection system for DeepGreen’s subsidiaries. As initially constituted, Allseas agreed to subscribe for</w:t>
      </w:r>
    </w:p>
    <w:p>
      <w:pPr>
        <w:spacing w:after="0" w:line="2" w:lineRule="exact"/>
        <w:rPr>
          <w:sz w:val="20"/>
          <w:szCs w:val="20"/>
          <w:color w:val="auto"/>
        </w:rPr>
      </w:pPr>
    </w:p>
    <w:p>
      <w:pPr>
        <w:ind w:left="460" w:right="559" w:hanging="6"/>
        <w:spacing w:after="0" w:line="288" w:lineRule="auto"/>
        <w:tabs>
          <w:tab w:leader="none" w:pos="67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6,666,667 DeepGreen Common Shares for a purchase price of $20,000,000 in cash (the “Subscription”), the entire amount of which was funded, and (ii) an additional 10,000,000 DeepGreen Common Shares in exchange for services rendered by Allseas in respect of the contemplated pilot mining test system (the “PMTS”), which would be designed and built by Allseas. The 10,000,000 shares would only be issued upon completion of the PMTS (the “Success Fee Shares”), along with an additional $30 million cash success fee that would be payable simultaneously therewith. The Strategic Alliance Agreement also contemplated that DeepGreen and Allseas would enter into other commercial arrangements following the successful completion of the PMTS.</w:t>
      </w:r>
    </w:p>
    <w:p>
      <w:pPr>
        <w:spacing w:after="0" w:line="101" w:lineRule="exact"/>
        <w:rPr>
          <w:sz w:val="20"/>
          <w:szCs w:val="20"/>
          <w:color w:val="auto"/>
        </w:rPr>
      </w:pPr>
    </w:p>
    <w:p>
      <w:pPr>
        <w:ind w:left="460" w:right="539" w:firstLine="432"/>
        <w:spacing w:after="0" w:line="284" w:lineRule="auto"/>
        <w:rPr>
          <w:sz w:val="20"/>
          <w:szCs w:val="20"/>
          <w:color w:val="auto"/>
        </w:rPr>
      </w:pPr>
      <w:r>
        <w:rPr>
          <w:rFonts w:ascii="Arial" w:cs="Arial" w:eastAsia="Arial" w:hAnsi="Arial"/>
          <w:sz w:val="16"/>
          <w:szCs w:val="16"/>
          <w:color w:val="auto"/>
        </w:rPr>
        <w:t>On July 8, 2019, DeepGreen and Allseas entered into the Pilot Mining Test Agreement (the “PMTA”), which governed the terms, design specifications, procedures, and timetable under which Allseas agreed to complete the PMTS, and which agreement is intended to be used by NORI. The PMTA was subsequently amended on September 1, 2019, February 2, 2020, and March 4, 2021. The Strategic Alliance Agreement was also amended on March 4, 2021 (collectively with the PMTA amendment of the same date, the “Amendment”), which Amendment became effective upon closing of the Business Combination. Pursuant to the Amendment, the cash fee payable pursuant to the PMTA was amended such that DeepGreen would pay to Allseas</w:t>
      </w:r>
    </w:p>
    <w:p>
      <w:pPr>
        <w:spacing w:after="0" w:line="2" w:lineRule="exact"/>
        <w:rPr>
          <w:sz w:val="20"/>
          <w:szCs w:val="20"/>
          <w:color w:val="auto"/>
        </w:rPr>
      </w:pPr>
    </w:p>
    <w:p>
      <w:pPr>
        <w:ind w:left="460" w:right="479" w:hanging="6"/>
        <w:spacing w:after="0" w:line="255" w:lineRule="auto"/>
        <w:tabs>
          <w:tab w:leader="none" w:pos="6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$10,000,000 on June 30, 2021 (which DeepGreen and Allseas agreed to change to within 10 business days of the Closing of the Business Combination in a further amendment), (ii) $10,000,000 on the later of January 1, 2022 and such time</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1" w:name="page162"/>
    <w:bookmarkEnd w:id="16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that confirmation is received with respect to the successful collection of the North Sea test, and</w:t>
      </w:r>
    </w:p>
    <w:p>
      <w:pPr>
        <w:spacing w:after="0" w:line="23" w:lineRule="exact"/>
        <w:rPr>
          <w:sz w:val="20"/>
          <w:szCs w:val="20"/>
          <w:color w:val="auto"/>
        </w:rPr>
      </w:pPr>
    </w:p>
    <w:p>
      <w:pPr>
        <w:ind w:left="460" w:right="779" w:hanging="6"/>
        <w:spacing w:after="0" w:line="302" w:lineRule="auto"/>
        <w:tabs>
          <w:tab w:leader="none" w:pos="77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$10,000,000 upon successful completion of the PMTS. Pursuant to the Amendment, except as provided therein, Allseas may not, without DeepGreen’s prior written consent, terminate the Strategic Alliance Agreement or the PMTA before DeepGreen or its applicable affiliate receives an ISA Exploitation Contract.</w:t>
      </w:r>
    </w:p>
    <w:p>
      <w:pPr>
        <w:spacing w:after="0" w:line="8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Also on March 4, 2021, DeepGreen issued the Allseas Warrant to Allseas, which shall vest upon successful completion of the PMTS and become exercisable for 10,000,000 DeepGreen Common Shares (as it may be adjusted based on the formula described therein) at a purchase price of $0.01 per share, and which became a warrant to purchase Common Shares upon the Closing of the Business Combination, in accordance with the terms of the Allseas Warrant. The Allseas Warrant was issued to Allseas in lieu of any future obligation to issue the Success Fee Shares. The Allseas Warrant shall vest only upon (and not before) the successful completion of the PMTS. The Warrant Credit Value shall be determined as of June 1, 2022 based on the closing trading price of the Common Shares. In the event that the Warrant Credit Value is greater than $150,000,000, then on the vesting date of the Allseas Warrant, we will receive a “credit” for the amount by which such Warrant Credit Value exceeds $150,000,000. We will be able to exchange such credit value for future goods and services from Allseas. No amount will be due or receivable under the Allseas Warrant if the Warrant Credit Value is under $150,000,000 on June 1, 2022. The Allseas Warrant shall expire on September 30, 2026.</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Maersk</w:t>
      </w:r>
    </w:p>
    <w:p>
      <w:pPr>
        <w:spacing w:after="0" w:line="158"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On March 21, 2017, DeepGreen entered into four charter vessel agreements with Maersk and one charter vessel agreement with Maersk UK (together, the “Maersk Supply Agreements”) pursuant to which Maersk and Maersk UK agreed to supply DeepGreen with vessels and offshore services for a total of five marine campaigns. By letter agreement on March 3, 2021, DeepGreen and Maersk agreed to extend the arrangement until 2022.</w:t>
      </w:r>
    </w:p>
    <w:p>
      <w:pPr>
        <w:spacing w:after="0" w:line="107"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Pursuant to the Maersk Investment and Participation Agreement dated March 15, 2017 (the “Participation Agreement”), DeepGreen agreed, among other things, that in return for marine cruises and related project management services provided by Maersk and Maersk UK, DeepGreen will issue that number of DeepGreen Common Shares as is equal to the final cost of each marine cruise divided by $1.25 (subject to adjustment as described therein), upon completion of each marine cruise, and after agreement between the parties as to the calculation of the final cost to Maersk or Maersk UK for such cruise. As of March 2021, all unspent costs have now been agreed to be reimbursed in cash. Services valued at approximately $22.5 million have been delivered, with 17,982,123 DeepGreen Common Shares issued to Maersk under the contract.</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March 3, 2021, DeepGreen entered into a letter agreement with Maersk and Maersk UK (the “Maersk</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Letter Agreement”), whereby Maersk and Maersk UK agreed to, among other matters, enter into certain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commercial and other changes under the Investment Agreement. Pursuant to the Maersk Letter Agreement,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Maersk irrevocably (i) waived certain pro rata participation rights that it may have under the Investment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Agreement in connection with the Business Combination and contemplated PIPE transaction; (ii) acknowledged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that all amounts owing to Maersk for services rendered through February 5, 2021 in the aggregate amount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$4.58 million had been satisfied by the issuance of 3,666,267 shares of DeepGreen at a price per share of $1.25;</w:t>
      </w:r>
    </w:p>
    <w:p>
      <w:pPr>
        <w:spacing w:after="0" w:line="32" w:lineRule="exact"/>
        <w:rPr>
          <w:sz w:val="20"/>
          <w:szCs w:val="20"/>
          <w:color w:val="auto"/>
        </w:rPr>
      </w:pPr>
    </w:p>
    <w:p>
      <w:pPr>
        <w:jc w:val="both"/>
        <w:ind w:left="460" w:right="599" w:hanging="6"/>
        <w:spacing w:after="0" w:line="255" w:lineRule="auto"/>
        <w:tabs>
          <w:tab w:leader="none" w:pos="77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agreed that all final costs for services rendered from and after February 5, 2021 will be settled in cash, and that Maersk shall not be entitled to any further in-kind common share investment; and (iv) agreed to lower the charter vessel hire operational day rates.</w:t>
      </w:r>
    </w:p>
    <w:p>
      <w:pPr>
        <w:spacing w:after="0" w:line="122"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As described herein, certain of Legacy DeepGreen’s agreements with Allseas and Maersk are set to expire in 2022. Notably, with respect to Allseas, if the PMTS is delivered, the PMTA will terminate by its terms in 2022, whereas the overarching Strategic Alliance Agreement will remain in place. Additionally, the Maersk Supply Agreements shall terminate by their terms in 2022. While Allseas and Maersk have communicated their intention to negotiate in good faith in order to extend the applicable arrangements, there are no guarantees that we will be able to enter into new agreements on commercially reasonable terms, if at all.</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58" w:lineRule="exact"/>
        <w:rPr>
          <w:sz w:val="20"/>
          <w:szCs w:val="20"/>
          <w:color w:val="auto"/>
        </w:rPr>
      </w:pPr>
    </w:p>
    <w:p>
      <w:pPr>
        <w:jc w:val="both"/>
        <w:ind w:left="460" w:right="739" w:firstLine="432"/>
        <w:spacing w:after="0" w:line="259" w:lineRule="auto"/>
        <w:rPr>
          <w:sz w:val="20"/>
          <w:szCs w:val="20"/>
          <w:color w:val="auto"/>
        </w:rPr>
      </w:pPr>
      <w:r>
        <w:rPr>
          <w:rFonts w:ascii="Arial" w:cs="Arial" w:eastAsia="Arial" w:hAnsi="Arial"/>
          <w:sz w:val="18"/>
          <w:szCs w:val="18"/>
          <w:color w:val="auto"/>
        </w:rPr>
        <w:t>At the Closing,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2" w:name="page163"/>
    <w:bookmarkEnd w:id="16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5" w:lineRule="auto"/>
        <w:rPr>
          <w:sz w:val="20"/>
          <w:szCs w:val="20"/>
          <w:color w:val="auto"/>
        </w:rPr>
      </w:pPr>
      <w:r>
        <w:rPr>
          <w:rFonts w:ascii="Arial" w:cs="Arial" w:eastAsia="Arial" w:hAnsi="Arial"/>
          <w:sz w:val="16"/>
          <w:szCs w:val="16"/>
          <w:color w:val="auto"/>
        </w:rPr>
        <w:t>pursuant to which, among other things, the Sponsor Group Holders and the DeepGreen Holders were granted certain registration rights with respect to their respective Common Shares on the terms and subject to the conditions therein. In particular, SOAC agreed to, within thirty (30) calendar days after the closing of the Business Combination, file with the SEC (at our sole cost and expense) a registration statement registering the resale of the Registrable Securities (as defined below), and to use its commercially reasonable efforts to have such registration statement declared effective as soon as practicable after the filing thereof, but no later than forty-five (45) days following the filing deadline (or seventy-five (75) days after the diling deadline if the registration statement is reviewed by, and receives comments from, the SEC. “Registrable Securities” means the Founder Shares, (b) the Private Placement Warrants, (c) the DeepGreen Shares, (d) the DeepGreen Earnout Shares, (e) the Sponsor Earnout Shares, (f) the Common Shares issued or issuable upon the exercise of any Private Placement Warrants, (g) the Common Shares issued or issuable upon the exercise of the Allseas Warrant; (h) any outstanding Common Shares or any other equity security (including the Common Shares issued or issuable upon the exercise or conversion of any other equity security) of the Company held by a Holder as of immediately following the Closing, (i) any Common Shares held by unitholders or members of the board of managers of the Sponsor immediately prior to the Closing, and (j) any other equity security of the Company issued or issuable with respect to any such Common Shares by way of a stock dividend or stock split or in connection with a combination of shares, recapitalization, merger, consolidation or reorganization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Lock-Up Restrictions</w:t>
      </w:r>
    </w:p>
    <w:p>
      <w:pPr>
        <w:spacing w:after="0" w:line="158" w:lineRule="exact"/>
        <w:rPr>
          <w:sz w:val="20"/>
          <w:szCs w:val="20"/>
          <w:color w:val="auto"/>
        </w:rPr>
      </w:pPr>
    </w:p>
    <w:p>
      <w:pPr>
        <w:ind w:left="460" w:right="539" w:firstLine="432"/>
        <w:spacing w:after="0" w:line="283" w:lineRule="auto"/>
        <w:rPr>
          <w:sz w:val="20"/>
          <w:szCs w:val="20"/>
          <w:color w:val="auto"/>
        </w:rPr>
      </w:pPr>
      <w:r>
        <w:rPr>
          <w:rFonts w:ascii="Arial" w:cs="Arial" w:eastAsia="Arial" w:hAnsi="Arial"/>
          <w:sz w:val="16"/>
          <w:szCs w:val="16"/>
          <w:color w:val="auto"/>
        </w:rPr>
        <w:t>Under the Amended and Restated Registration Rights Agreement, the Sponsor Group Holders and the DeepGreen Holders also agreed not to effect any sale or distribution of certain of our equity securities held by them during the period ending on the earlier of (A) 180 days after the Closing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Certain Common Shares held by the Sponsor Group Holders shall not be offered, sold, pledged or distributed for periods of six months or</w:t>
      </w:r>
    </w:p>
    <w:p>
      <w:pPr>
        <w:spacing w:after="0" w:line="6" w:lineRule="exact"/>
        <w:rPr>
          <w:sz w:val="20"/>
          <w:szCs w:val="20"/>
          <w:color w:val="auto"/>
        </w:rPr>
      </w:pPr>
    </w:p>
    <w:p>
      <w:pPr>
        <w:ind w:left="460" w:right="559"/>
        <w:spacing w:after="0" w:line="255" w:lineRule="auto"/>
        <w:rPr>
          <w:sz w:val="20"/>
          <w:szCs w:val="20"/>
          <w:color w:val="auto"/>
        </w:rPr>
      </w:pPr>
      <w:r>
        <w:rPr>
          <w:rFonts w:ascii="Arial" w:cs="Arial" w:eastAsia="Arial" w:hAnsi="Arial"/>
          <w:sz w:val="18"/>
          <w:szCs w:val="18"/>
          <w:color w:val="auto"/>
        </w:rPr>
        <w:t>twelve months, as applicable, and certain Common Shares held by the DeepGreen Holders shall not be offered, sold, pledged or distributed for periods of six months or eighteen months, as applicable, subject to the exceptions described in the Amended and Restated Registration Rights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Indemnity Agreements with Officers and Directors and Directors’ and Officers’ Liability Insurance</w:t>
      </w:r>
    </w:p>
    <w:p>
      <w:pPr>
        <w:spacing w:after="0" w:line="173"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In connection with this Business Combination, the Company entered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44"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103" w:lineRule="exact"/>
        <w:rPr>
          <w:sz w:val="20"/>
          <w:szCs w:val="20"/>
          <w:color w:val="auto"/>
        </w:rPr>
      </w:pPr>
    </w:p>
    <w:p>
      <w:pPr>
        <w:ind w:left="460" w:right="679" w:firstLine="432"/>
        <w:spacing w:after="0" w:line="296" w:lineRule="auto"/>
        <w:rPr>
          <w:sz w:val="20"/>
          <w:szCs w:val="20"/>
          <w:color w:val="auto"/>
        </w:rPr>
      </w:pPr>
      <w:r>
        <w:rPr>
          <w:rFonts w:ascii="Arial" w:cs="Arial" w:eastAsia="Arial" w:hAnsi="Arial"/>
          <w:sz w:val="16"/>
          <w:szCs w:val="16"/>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94" w:lineRule="exact"/>
        <w:rPr>
          <w:sz w:val="20"/>
          <w:szCs w:val="20"/>
          <w:color w:val="auto"/>
        </w:rPr>
      </w:pPr>
    </w:p>
    <w:p>
      <w:pPr>
        <w:ind w:left="1320" w:right="579" w:hanging="434"/>
        <w:spacing w:after="0" w:line="277" w:lineRule="auto"/>
        <w:tabs>
          <w:tab w:leader="none" w:pos="13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person who is or was an executive officer, director, or director nominee of the Company at any time since the beginning of the Company’s last fiscal year;</w:t>
      </w:r>
    </w:p>
    <w:p>
      <w:pPr>
        <w:spacing w:after="0" w:line="89" w:lineRule="exact"/>
        <w:rPr>
          <w:rFonts w:ascii="Arial" w:cs="Arial" w:eastAsia="Arial" w:hAnsi="Arial"/>
          <w:sz w:val="18"/>
          <w:szCs w:val="18"/>
          <w:color w:val="auto"/>
        </w:rPr>
      </w:pPr>
    </w:p>
    <w:p>
      <w:pPr>
        <w:ind w:left="1320" w:right="739" w:hanging="434"/>
        <w:spacing w:after="0" w:line="342" w:lineRule="auto"/>
        <w:tabs>
          <w:tab w:leader="none" w:pos="131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person who is or was an Immediate Family Member (as defined below) of an executive officer, director, director nominee at any time since the beginning of the Company’s last fiscal year;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99" w:hanging="434"/>
        <w:spacing w:after="0" w:line="342" w:lineRule="auto"/>
        <w:tabs>
          <w:tab w:leader="none" w:pos="131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person who, at the time of the occurrence or existence of the transaction, is the beneficial owner of more than 5% of any class of the Company’s voting securities (a “Significant Stockholder”); or</w:t>
      </w:r>
    </w:p>
    <w:p>
      <w:pPr>
        <w:spacing w:after="0" w:line="56" w:lineRule="exact"/>
        <w:rPr>
          <w:rFonts w:ascii="Arial" w:cs="Arial" w:eastAsia="Arial" w:hAnsi="Arial"/>
          <w:sz w:val="16"/>
          <w:szCs w:val="16"/>
          <w:color w:val="auto"/>
        </w:rPr>
      </w:pPr>
    </w:p>
    <w:p>
      <w:pPr>
        <w:ind w:left="1320" w:right="979" w:hanging="434"/>
        <w:spacing w:after="0" w:line="277" w:lineRule="auto"/>
        <w:tabs>
          <w:tab w:leader="none" w:pos="131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an Immediate Family Member of a Significant Stockholder of the Company.</w:t>
      </w:r>
    </w:p>
    <w:p>
      <w:pPr>
        <w:spacing w:after="0" w:line="10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84"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04" w:lineRule="exact"/>
        <w:rPr>
          <w:sz w:val="20"/>
          <w:szCs w:val="20"/>
          <w:color w:val="auto"/>
        </w:rPr>
      </w:pPr>
    </w:p>
    <w:p>
      <w:pPr>
        <w:ind w:left="460" w:right="599" w:firstLine="432"/>
        <w:spacing w:after="0" w:line="301" w:lineRule="auto"/>
        <w:rPr>
          <w:sz w:val="20"/>
          <w:szCs w:val="20"/>
          <w:color w:val="auto"/>
        </w:rPr>
      </w:pPr>
      <w:r>
        <w:rPr>
          <w:rFonts w:ascii="Arial" w:cs="Arial" w:eastAsia="Arial" w:hAnsi="Arial"/>
          <w:sz w:val="16"/>
          <w:szCs w:val="16"/>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9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To identify Related Person Transactions in advance, we expect to rely on information supplied by our executive officers, directors and certain significant stockholders. In considering related person transactions, our audit committee is expected to take into account the relevant available facts and circumstances, which may include, but are not limited to:</w:t>
      </w:r>
    </w:p>
    <w:p>
      <w:pPr>
        <w:spacing w:after="0" w:line="106" w:lineRule="exact"/>
        <w:rPr>
          <w:sz w:val="20"/>
          <w:szCs w:val="20"/>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pacing w:after="0" w:line="157" w:lineRule="exact"/>
        <w:rPr>
          <w:rFonts w:ascii="Arial" w:cs="Arial" w:eastAsia="Arial" w:hAnsi="Arial"/>
          <w:sz w:val="18"/>
          <w:szCs w:val="18"/>
          <w:color w:val="auto"/>
        </w:rPr>
      </w:pPr>
    </w:p>
    <w:p>
      <w:pPr>
        <w:ind w:left="1320" w:right="519" w:hanging="434"/>
        <w:spacing w:after="0" w:line="277" w:lineRule="auto"/>
        <w:tabs>
          <w:tab w:leader="none" w:pos="13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whether the transaction was undertaken in the ordinary course of business of the Company;</w:t>
      </w:r>
    </w:p>
    <w:p>
      <w:pPr>
        <w:spacing w:after="0" w:line="169" w:lineRule="exact"/>
        <w:rPr>
          <w:rFonts w:ascii="Arial" w:cs="Arial" w:eastAsia="Arial" w:hAnsi="Arial"/>
          <w:sz w:val="17"/>
          <w:szCs w:val="17"/>
          <w:color w:val="auto"/>
        </w:rPr>
      </w:pPr>
    </w:p>
    <w:p>
      <w:pPr>
        <w:ind w:left="1320" w:right="679" w:hanging="434"/>
        <w:spacing w:after="0" w:line="263" w:lineRule="auto"/>
        <w:tabs>
          <w:tab w:leader="none" w:pos="13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purpose of, and the potential benefits to the Company of, the transaction; and</w:t>
      </w:r>
    </w:p>
    <w:p>
      <w:pPr>
        <w:spacing w:after="0" w:line="144"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16"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audit committee will approve only those transactions that it determines are fair to the Company and in the Company’s best interests.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6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Nasdaq rules generally require that independent directors must comprise a majority of a listed company’s board of directors. Based upon information requested from and provided by each proposed director concerning his or her background, employment and affiliations, including family relationships, we have determined that Andrew Hall, Scott Leonard, Gina Stryker, Sheila Khama, Christian Madsbjerg, Amelia Kinahoi Siamomua and Andrei Karkar, representing seven (7) of the Company’s eight (8) directors, are “independent” as that term is defined under the applicable rules and regulations of the SEC and the listing requirements and rules of the Nasdaq. Andrew Hall serves as the Lead Independent Director of the board of directors.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48"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The following discussion is a summary of material U.S. federal income tax considerations applicable to you if you are a U.S. Holder (as defined below) of our public shares and/or public warrants (other than Sponsor or any of its affiliates). This discussion addresses only those U.S. Holders that hold our public shares and/or public warrants as capital assets within the meaning of Section 1221 of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97" w:lineRule="exact"/>
        <w:rPr>
          <w:sz w:val="20"/>
          <w:szCs w:val="20"/>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traders in securities that elect mark-to-market treatment;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w:t>
      </w:r>
    </w:p>
    <w:p>
      <w:pPr>
        <w:spacing w:after="0" w:line="144" w:lineRule="exact"/>
        <w:rPr>
          <w:rFonts w:ascii="Arial" w:cs="Arial" w:eastAsia="Arial" w:hAnsi="Arial"/>
          <w:sz w:val="18"/>
          <w:szCs w:val="18"/>
          <w:color w:val="auto"/>
        </w:rPr>
      </w:pPr>
    </w:p>
    <w:p>
      <w:pPr>
        <w:ind w:left="1320" w:right="839" w:hanging="434"/>
        <w:spacing w:after="0" w:line="286" w:lineRule="auto"/>
        <w:tabs>
          <w:tab w:leader="none" w:pos="131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investors that hold our public shares or public warrants as part of a “straddle,” “hedge,” “conversion,” “synthetic security,” “constructive ownership transaction,” “constructive sale” or other integrated transaction for U.S. federal income tax purposes;</w:t>
      </w:r>
    </w:p>
    <w:p>
      <w:pPr>
        <w:spacing w:after="0" w:line="97" w:lineRule="exact"/>
        <w:rPr>
          <w:rFonts w:ascii="Arial" w:cs="Arial" w:eastAsia="Arial" w:hAnsi="Arial"/>
          <w:sz w:val="17"/>
          <w:szCs w:val="17"/>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investors subject to the alternative minimum tax provisions of the Code;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 Holders that have a functional currency other than the U.S. dollar;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investors subject to the U.S. “inversion” rules;</w:t>
      </w:r>
    </w:p>
    <w:p>
      <w:pPr>
        <w:spacing w:after="0" w:line="144" w:lineRule="exact"/>
        <w:rPr>
          <w:rFonts w:ascii="Arial" w:cs="Arial" w:eastAsia="Arial" w:hAnsi="Arial"/>
          <w:sz w:val="18"/>
          <w:szCs w:val="18"/>
          <w:color w:val="auto"/>
        </w:rPr>
      </w:pPr>
    </w:p>
    <w:p>
      <w:pPr>
        <w:ind w:left="1320" w:right="999" w:hanging="434"/>
        <w:spacing w:after="0" w:line="277" w:lineRule="auto"/>
        <w:tabs>
          <w:tab w:leader="none" w:pos="13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 Holders owning or considered as owning (directly, indirectly, or through attribution) 5% (measured by vote or value) or more of our public share;</w:t>
      </w:r>
    </w:p>
    <w:p>
      <w:pPr>
        <w:spacing w:after="0" w:line="102"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that acquired our public shares or public warrants pursuant to an exercise of employee share options, in connection with employee share incentive plans or otherwise as compensation as compensation;</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44"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accrual method taxpayers that file applicable financial statements as described in Section 451(b) of the Code;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157"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who are not U.S. Holders, all of whom may be subject to tax rules that differ materially from those summarized below.</w:t>
      </w:r>
    </w:p>
    <w:p>
      <w:pPr>
        <w:spacing w:after="0" w:line="8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public shares or public warrants the tax treatment of a partner in such partnership will generally depend upon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19"/>
        <w:spacing w:after="0" w:line="259" w:lineRule="auto"/>
        <w:rPr>
          <w:sz w:val="20"/>
          <w:szCs w:val="20"/>
          <w:color w:val="auto"/>
        </w:rPr>
      </w:pPr>
      <w:r>
        <w:rPr>
          <w:rFonts w:ascii="Arial" w:cs="Arial" w:eastAsia="Arial" w:hAnsi="Arial"/>
          <w:sz w:val="18"/>
          <w:szCs w:val="18"/>
          <w:color w:val="auto"/>
        </w:rPr>
        <w:t>status of the partner, the activities of the partnership and the partner and certain determinations made at the partner level. If you are a partner of a partnership holding public shares or public warrants, you are urged to consult your tax advisor regarding the tax consequences to you of the ownership and disposition of public shares or public warrants by the partnership.</w:t>
      </w:r>
    </w:p>
    <w:p>
      <w:pPr>
        <w:spacing w:after="0" w:line="11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This summary is based upon the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120"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For purposes of this discussion, a “U.S. Holder” is a beneficial owner of public shares or public warrants, as the case may be, that is:</w:t>
      </w:r>
    </w:p>
    <w:p>
      <w:pPr>
        <w:spacing w:after="0" w:line="89" w:lineRule="exact"/>
        <w:rPr>
          <w:sz w:val="20"/>
          <w:szCs w:val="20"/>
          <w:color w:val="auto"/>
        </w:rPr>
      </w:pPr>
    </w:p>
    <w:p>
      <w:pPr>
        <w:ind w:left="1300" w:hanging="41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w:t>
      </w:r>
    </w:p>
    <w:p>
      <w:pPr>
        <w:spacing w:after="0" w:line="157" w:lineRule="exact"/>
        <w:rPr>
          <w:rFonts w:ascii="Arial" w:cs="Arial" w:eastAsia="Arial" w:hAnsi="Arial"/>
          <w:sz w:val="18"/>
          <w:szCs w:val="18"/>
          <w:color w:val="auto"/>
        </w:rPr>
      </w:pPr>
    </w:p>
    <w:p>
      <w:pPr>
        <w:jc w:val="both"/>
        <w:ind w:left="1320" w:right="779" w:hanging="434"/>
        <w:spacing w:after="0" w:line="263" w:lineRule="auto"/>
        <w:tabs>
          <w:tab w:leader="none" w:pos="13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1320" w:right="759" w:hanging="434"/>
        <w:spacing w:after="0" w:line="277" w:lineRule="auto"/>
        <w:tabs>
          <w:tab w:leader="none" w:pos="13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89" w:lineRule="exact"/>
        <w:rPr>
          <w:rFonts w:ascii="Arial" w:cs="Arial" w:eastAsia="Arial" w:hAnsi="Arial"/>
          <w:sz w:val="18"/>
          <w:szCs w:val="18"/>
          <w:color w:val="auto"/>
        </w:rPr>
      </w:pPr>
    </w:p>
    <w:p>
      <w:pPr>
        <w:ind w:left="1320" w:right="519" w:hanging="434"/>
        <w:spacing w:after="0" w:line="301" w:lineRule="auto"/>
        <w:tabs>
          <w:tab w:leader="none" w:pos="131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U.S. Department of Treasury regulations (“</w:t>
      </w:r>
      <w:r>
        <w:rPr>
          <w:rFonts w:ascii="Arial" w:cs="Arial" w:eastAsia="Arial" w:hAnsi="Arial"/>
          <w:sz w:val="16"/>
          <w:szCs w:val="16"/>
          <w:u w:val="single" w:color="auto"/>
          <w:color w:val="auto"/>
        </w:rPr>
        <w:t>Treasury Regulations</w:t>
      </w:r>
      <w:r>
        <w:rPr>
          <w:rFonts w:ascii="Arial" w:cs="Arial" w:eastAsia="Arial" w:hAnsi="Arial"/>
          <w:sz w:val="16"/>
          <w:szCs w:val="16"/>
          <w:i w:val="1"/>
          <w:iCs w:val="1"/>
          <w:color w:val="auto"/>
        </w:rPr>
        <w:t>”</w:t>
      </w:r>
      <w:r>
        <w:rPr>
          <w:rFonts w:ascii="Arial" w:cs="Arial" w:eastAsia="Arial" w:hAnsi="Arial"/>
          <w:sz w:val="16"/>
          <w:szCs w:val="16"/>
          <w:color w:val="auto"/>
        </w:rPr>
        <w:t>) to be treated as a U.S. person.</w:t>
      </w:r>
    </w:p>
    <w:p>
      <w:pPr>
        <w:spacing w:after="0" w:line="157" w:lineRule="exact"/>
        <w:rPr>
          <w:sz w:val="20"/>
          <w:szCs w:val="20"/>
          <w:color w:val="auto"/>
        </w:rPr>
      </w:pPr>
    </w:p>
    <w:p>
      <w:pPr>
        <w:ind w:left="460" w:right="2079"/>
        <w:spacing w:after="0" w:line="422" w:lineRule="auto"/>
        <w:rPr>
          <w:sz w:val="20"/>
          <w:szCs w:val="20"/>
          <w:color w:val="auto"/>
        </w:rPr>
      </w:pPr>
      <w:r>
        <w:rPr>
          <w:rFonts w:ascii="Arial" w:cs="Arial" w:eastAsia="Arial" w:hAnsi="Arial"/>
          <w:sz w:val="18"/>
          <w:szCs w:val="18"/>
          <w:b w:val="1"/>
          <w:bCs w:val="1"/>
          <w:i w:val="1"/>
          <w:iCs w:val="1"/>
          <w:color w:val="auto"/>
        </w:rPr>
        <w:t xml:space="preserve">Tax Consequences of Ownership and Disposition of Public Shares and Public Warrants </w:t>
      </w:r>
      <w:r>
        <w:rPr>
          <w:rFonts w:ascii="Arial" w:cs="Arial" w:eastAsia="Arial" w:hAnsi="Arial"/>
          <w:sz w:val="18"/>
          <w:szCs w:val="18"/>
          <w:i w:val="1"/>
          <w:iCs w:val="1"/>
          <w:color w:val="auto"/>
        </w:rPr>
        <w:t>Dividends and Other Distributions on Public Shares</w:t>
      </w:r>
    </w:p>
    <w:p>
      <w:pPr>
        <w:spacing w:after="0" w:line="1"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Subject to the passive foreign investment company (“</w:t>
      </w:r>
      <w:r>
        <w:rPr>
          <w:rFonts w:ascii="Arial" w:cs="Arial" w:eastAsia="Arial" w:hAnsi="Arial"/>
          <w:sz w:val="16"/>
          <w:szCs w:val="16"/>
          <w:u w:val="single" w:color="auto"/>
          <w:color w:val="auto"/>
        </w:rPr>
        <w:t>PFIC</w:t>
      </w:r>
      <w:r>
        <w:rPr>
          <w:rFonts w:ascii="Arial" w:cs="Arial" w:eastAsia="Arial" w:hAnsi="Arial"/>
          <w:sz w:val="16"/>
          <w:szCs w:val="16"/>
          <w:color w:val="auto"/>
        </w:rPr>
        <w:t xml:space="preserve">”) rules discussed below under the heading “— </w:t>
      </w:r>
      <w:r>
        <w:rPr>
          <w:rFonts w:ascii="Arial" w:cs="Arial" w:eastAsia="Arial" w:hAnsi="Arial"/>
          <w:sz w:val="16"/>
          <w:szCs w:val="16"/>
          <w:i w:val="1"/>
          <w:iCs w:val="1"/>
          <w:color w:val="auto"/>
        </w:rPr>
        <w:t>Passive Foreign Investment Company Rules</w:t>
      </w:r>
      <w:r>
        <w:rPr>
          <w:rFonts w:ascii="Arial" w:cs="Arial" w:eastAsia="Arial" w:hAnsi="Arial"/>
          <w:sz w:val="16"/>
          <w:szCs w:val="16"/>
          <w:color w:val="auto"/>
        </w:rPr>
        <w:t xml:space="preserve">,” distributions on public shares will generally be taxable as a dividend for U.S. federal income tax purposes to the extent paid from TMC’s current or accumulated earnings and profits, as determined under U.S. federal income tax principles. Distributions in excess of TMC’s current and accumulated earnings and profits will constitute a return of capital that will be applied against and reduce (but not below zero) the U.S. Holder’s adjusted tax basis in its public shares. Any remaining excess will be treated as gain realized on the sale or other disposition of the public shares and will be treated as described below under the heading “— </w:t>
      </w:r>
      <w:r>
        <w:rPr>
          <w:rFonts w:ascii="Arial" w:cs="Arial" w:eastAsia="Arial" w:hAnsi="Arial"/>
          <w:sz w:val="16"/>
          <w:szCs w:val="16"/>
          <w:i w:val="1"/>
          <w:iCs w:val="1"/>
          <w:color w:val="auto"/>
        </w:rPr>
        <w:t>Sale, Taxable Exchange or Other Taxable Disposition of Public Shares and Public</w:t>
      </w:r>
      <w:r>
        <w:rPr>
          <w:rFonts w:ascii="Arial" w:cs="Arial" w:eastAsia="Arial" w:hAnsi="Arial"/>
          <w:sz w:val="16"/>
          <w:szCs w:val="16"/>
          <w:color w:val="auto"/>
        </w:rPr>
        <w:t xml:space="preserve"> </w:t>
      </w:r>
      <w:r>
        <w:rPr>
          <w:rFonts w:ascii="Arial" w:cs="Arial" w:eastAsia="Arial" w:hAnsi="Arial"/>
          <w:sz w:val="16"/>
          <w:szCs w:val="16"/>
          <w:i w:val="1"/>
          <w:iCs w:val="1"/>
          <w:color w:val="auto"/>
        </w:rPr>
        <w:t>Warrants.</w:t>
      </w:r>
      <w:r>
        <w:rPr>
          <w:rFonts w:ascii="Arial" w:cs="Arial" w:eastAsia="Arial" w:hAnsi="Arial"/>
          <w:sz w:val="16"/>
          <w:szCs w:val="16"/>
          <w:color w:val="auto"/>
        </w:rPr>
        <w:t>” The amount of any such distribution will include any amounts withheld by us (or another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agent) in respect of Canadian income taxes. Any amount treated as dividend income will be treated as foreign-source dividend income. Amounts treated as dividends that TMC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public shares are readily tradable on an established securities market in the United States or TMC is eligible for benefits under an applicable tax treaty with the United States, and TMC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96" w:lineRule="exact"/>
        <w:rPr>
          <w:sz w:val="20"/>
          <w:szCs w:val="20"/>
          <w:color w:val="auto"/>
        </w:rPr>
      </w:pPr>
    </w:p>
    <w:p>
      <w:pPr>
        <w:jc w:val="both"/>
        <w:ind w:left="460" w:right="779" w:firstLine="432"/>
        <w:spacing w:after="0" w:line="259" w:lineRule="auto"/>
        <w:rPr>
          <w:sz w:val="20"/>
          <w:szCs w:val="20"/>
          <w:color w:val="auto"/>
        </w:rPr>
      </w:pPr>
      <w:r>
        <w:rPr>
          <w:rFonts w:ascii="Arial" w:cs="Arial" w:eastAsia="Arial" w:hAnsi="Arial"/>
          <w:sz w:val="18"/>
          <w:szCs w:val="18"/>
          <w:color w:val="auto"/>
        </w:rPr>
        <w:t>Subject to applicable limitations, non-refundable Canadian income taxes withheld from dividends on public shares at a rate not exceeding the rate provided by the applicable treaty with the United States will be eligible for credit against the U.S. treaty beneficiary’s U.S. federal income tax liability. The rules governing foreign tax credits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6" w:name="page167"/>
    <w:bookmarkEnd w:id="16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57" w:lineRule="auto"/>
        <w:rPr>
          <w:sz w:val="20"/>
          <w:szCs w:val="20"/>
          <w:color w:val="auto"/>
        </w:rPr>
      </w:pPr>
      <w:r>
        <w:rPr>
          <w:rFonts w:ascii="Arial" w:cs="Arial" w:eastAsia="Arial" w:hAnsi="Arial"/>
          <w:sz w:val="18"/>
          <w:szCs w:val="18"/>
          <w:color w:val="auto"/>
        </w:rPr>
        <w:t>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Taxable Exchange or Other Taxable Disposition of Public Shares and Public Warrants</w:t>
      </w:r>
    </w:p>
    <w:p>
      <w:pPr>
        <w:spacing w:after="0" w:line="158"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 xml:space="preserve">Subject to the PFIC rules discussed below under the heading “— </w:t>
      </w:r>
      <w:r>
        <w:rPr>
          <w:rFonts w:ascii="Arial" w:cs="Arial" w:eastAsia="Arial" w:hAnsi="Arial"/>
          <w:sz w:val="16"/>
          <w:szCs w:val="16"/>
          <w:i w:val="1"/>
          <w:iCs w:val="1"/>
          <w:color w:val="auto"/>
        </w:rPr>
        <w:t>Passive Foreign Investment Company</w:t>
      </w:r>
      <w:r>
        <w:rPr>
          <w:rFonts w:ascii="Arial" w:cs="Arial" w:eastAsia="Arial" w:hAnsi="Arial"/>
          <w:sz w:val="16"/>
          <w:szCs w:val="16"/>
          <w:color w:val="auto"/>
        </w:rPr>
        <w:t xml:space="preserve"> </w:t>
      </w:r>
      <w:r>
        <w:rPr>
          <w:rFonts w:ascii="Arial" w:cs="Arial" w:eastAsia="Arial" w:hAnsi="Arial"/>
          <w:sz w:val="16"/>
          <w:szCs w:val="16"/>
          <w:i w:val="1"/>
          <w:iCs w:val="1"/>
          <w:color w:val="auto"/>
        </w:rPr>
        <w:t>Rules</w:t>
      </w:r>
      <w:r>
        <w:rPr>
          <w:rFonts w:ascii="Arial" w:cs="Arial" w:eastAsia="Arial" w:hAnsi="Arial"/>
          <w:sz w:val="16"/>
          <w:szCs w:val="16"/>
          <w:color w:val="auto"/>
        </w:rPr>
        <w:t>,” upon any sale, exchange or other taxable disposition of public shares or public warrants, a U.S. Holder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will recognize gain or loss in an amount equal to the difference between (i) the sum of (x) the amount cash and (y) the fair market value of any other property, received in such sale, exchange or other taxable disposition and (ii) the U.S. Holder’s adjusted tax basis in such public shares or public warrants, in each case as calculated in U.S. dollars. If a U.S. Holder acquired such public shares or public warrants as part of a unit, the adjusted tax basis in the public shares or public warrants will be the portion of the acquisition cost allocated to the shares or warrants, respectively, or if such public shares were received upon exercise of public warrants, the initial basis of the public shares upon exercise of public warrants (generally determined as described below in “</w:t>
      </w:r>
      <w:r>
        <w:rPr>
          <w:rFonts w:ascii="Arial" w:cs="Arial" w:eastAsia="Arial" w:hAnsi="Arial"/>
          <w:sz w:val="16"/>
          <w:szCs w:val="16"/>
          <w:i w:val="1"/>
          <w:iCs w:val="1"/>
          <w:color w:val="auto"/>
        </w:rPr>
        <w:t>— Tax Consequences of Ownership and Disposition of Public Shares and Public Warrants — Exercise or</w:t>
      </w:r>
      <w:r>
        <w:rPr>
          <w:rFonts w:ascii="Arial" w:cs="Arial" w:eastAsia="Arial" w:hAnsi="Arial"/>
          <w:sz w:val="16"/>
          <w:szCs w:val="16"/>
          <w:color w:val="auto"/>
        </w:rPr>
        <w:t xml:space="preserve"> </w:t>
      </w:r>
      <w:r>
        <w:rPr>
          <w:rFonts w:ascii="Arial" w:cs="Arial" w:eastAsia="Arial" w:hAnsi="Arial"/>
          <w:sz w:val="16"/>
          <w:szCs w:val="16"/>
          <w:i w:val="1"/>
          <w:iCs w:val="1"/>
          <w:color w:val="auto"/>
        </w:rPr>
        <w:t>Lapse of a Public Warrant</w:t>
      </w:r>
      <w:r>
        <w:rPr>
          <w:rFonts w:ascii="Arial" w:cs="Arial" w:eastAsia="Arial" w:hAnsi="Arial"/>
          <w:sz w:val="16"/>
          <w:szCs w:val="16"/>
          <w:color w:val="auto"/>
        </w:rPr>
        <w:t>”). Any such gain or loss generally will be capital gain or loss and will be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gain or loss if the U.S. Holder’s holding period for such public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Exercise or Lapse of a Public Warrant</w:t>
      </w:r>
    </w:p>
    <w:p>
      <w:pPr>
        <w:spacing w:after="0" w:line="158" w:lineRule="exact"/>
        <w:rPr>
          <w:sz w:val="20"/>
          <w:szCs w:val="20"/>
          <w:color w:val="auto"/>
        </w:rPr>
      </w:pPr>
    </w:p>
    <w:p>
      <w:pPr>
        <w:ind w:left="460" w:right="619" w:firstLine="432"/>
        <w:spacing w:after="0" w:line="284" w:lineRule="auto"/>
        <w:rPr>
          <w:sz w:val="20"/>
          <w:szCs w:val="20"/>
          <w:color w:val="auto"/>
        </w:rPr>
      </w:pPr>
      <w:r>
        <w:rPr>
          <w:rFonts w:ascii="Arial" w:cs="Arial" w:eastAsia="Arial" w:hAnsi="Arial"/>
          <w:sz w:val="16"/>
          <w:szCs w:val="16"/>
          <w:color w:val="auto"/>
        </w:rPr>
        <w:t>A U.S. Holder generally will not recognize taxable gain or loss on the acquisition of a public share upon exercise of a public warrant for cash. The U.S. Holder’s tax basis in the public share received upon exercise of the public warrant generally will be an amount equal to the sum of the U.S. Holder’s initial investment in the public warrant (</w:t>
      </w:r>
      <w:r>
        <w:rPr>
          <w:rFonts w:ascii="Arial" w:cs="Arial" w:eastAsia="Arial" w:hAnsi="Arial"/>
          <w:sz w:val="16"/>
          <w:szCs w:val="16"/>
          <w:i w:val="1"/>
          <w:iCs w:val="1"/>
          <w:color w:val="auto"/>
        </w:rPr>
        <w:t>i.e.,</w:t>
      </w:r>
      <w:r>
        <w:rPr>
          <w:rFonts w:ascii="Arial" w:cs="Arial" w:eastAsia="Arial" w:hAnsi="Arial"/>
          <w:sz w:val="16"/>
          <w:szCs w:val="16"/>
          <w:color w:val="auto"/>
        </w:rPr>
        <w:t xml:space="preserve"> its tax basis, calculated in U.S. dollars) and the exercise price. The U.S. Holder’s holding period for a public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w:t>
      </w:r>
    </w:p>
    <w:p>
      <w:pPr>
        <w:spacing w:after="0" w:line="2" w:lineRule="exact"/>
        <w:rPr>
          <w:sz w:val="20"/>
          <w:szCs w:val="20"/>
          <w:color w:val="auto"/>
        </w:rPr>
      </w:pPr>
    </w:p>
    <w:p>
      <w:pPr>
        <w:ind w:left="460" w:right="559"/>
        <w:spacing w:after="0" w:line="323" w:lineRule="auto"/>
        <w:rPr>
          <w:sz w:val="20"/>
          <w:szCs w:val="20"/>
          <w:color w:val="auto"/>
        </w:rPr>
      </w:pPr>
      <w:r>
        <w:rPr>
          <w:rFonts w:ascii="Arial" w:cs="Arial" w:eastAsia="Arial" w:hAnsi="Arial"/>
          <w:sz w:val="16"/>
          <w:szCs w:val="16"/>
          <w:color w:val="auto"/>
        </w:rPr>
        <w:t>U.S. Holder generally will recognize a capital loss equal to such U.S. Holder’s tax basis in the warrant (calculated in U.S. dollars). Such loss will be long-term if the warrant has been held for more than one (1) year.</w:t>
      </w:r>
    </w:p>
    <w:p>
      <w:pPr>
        <w:spacing w:after="0" w:line="57"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public shares received generally should equal the U.S. Holder’s tax basis in the public warrants. If the cashless exercise was not a realization event, it is unclear whether a U.S. Holder’s holding period for the public shares would be treated as commencing on the date of exercise of the public warrant or the day following the date of exercise of the public warrant. If the cashless exercise were treated as a recapitalization, the holding period of the shares of public shares received would include the holding period of the public warrant.</w:t>
      </w:r>
    </w:p>
    <w:p>
      <w:pPr>
        <w:spacing w:after="0" w:line="129"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public shares received would equal the sum of the U.S. Holder’s tax basis in the public warrants exercised, and the exercise price of such public warrants. It is unclear whether a U.S. Holder’s holding period for the shares of public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7" w:name="page168"/>
    <w:bookmarkEnd w:id="16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shares of public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09"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 xml:space="preserve">If TMC redeems public warrants for cash or if TMC purchases public warrants in an open market transaction, such redemption or purchase generally will be treated as a taxable disposition to the U.S. Holder, taxed as described above under “— </w:t>
      </w:r>
      <w:r>
        <w:rPr>
          <w:rFonts w:ascii="Arial" w:cs="Arial" w:eastAsia="Arial" w:hAnsi="Arial"/>
          <w:sz w:val="18"/>
          <w:szCs w:val="18"/>
          <w:i w:val="1"/>
          <w:iCs w:val="1"/>
          <w:color w:val="auto"/>
        </w:rPr>
        <w:t>Sale, Taxable Exchange or Other Taxable Disposition of Public Shares and</w:t>
      </w:r>
      <w:r>
        <w:rPr>
          <w:rFonts w:ascii="Arial" w:cs="Arial" w:eastAsia="Arial" w:hAnsi="Arial"/>
          <w:sz w:val="18"/>
          <w:szCs w:val="18"/>
          <w:color w:val="auto"/>
        </w:rPr>
        <w:t xml:space="preserve"> </w:t>
      </w:r>
      <w:r>
        <w:rPr>
          <w:rFonts w:ascii="Arial" w:cs="Arial" w:eastAsia="Arial" w:hAnsi="Arial"/>
          <w:sz w:val="18"/>
          <w:szCs w:val="18"/>
          <w:i w:val="1"/>
          <w:iCs w:val="1"/>
          <w:color w:val="auto"/>
        </w:rPr>
        <w:t>TMC Warrants</w:t>
      </w:r>
      <w:r>
        <w:rPr>
          <w:rFonts w:ascii="Arial" w:cs="Arial" w:eastAsia="Arial" w:hAnsi="Arial"/>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Adjustment to Exercise Price</w:t>
      </w:r>
    </w:p>
    <w:p>
      <w:pPr>
        <w:spacing w:after="0" w:line="15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Arial" w:cs="Arial" w:eastAsia="Arial" w:hAnsi="Arial"/>
          <w:sz w:val="17"/>
          <w:szCs w:val="17"/>
          <w:i w:val="1"/>
          <w:iCs w:val="1"/>
          <w:color w:val="auto"/>
        </w:rPr>
        <w:t>Dividends and Other Distributions on Public Shares</w:t>
      </w:r>
      <w:r>
        <w:rPr>
          <w:rFonts w:ascii="Arial" w:cs="Arial" w:eastAsia="Arial" w:hAnsi="Arial"/>
          <w:sz w:val="17"/>
          <w:szCs w:val="17"/>
          <w:color w:val="auto"/>
        </w:rPr>
        <w:t>”). The rules governing constructive distributions as a result of certain adjustments with respect to a public warrant are complex, and U.S. Holders are urged to consult their tax advisors on the tax consequences any such constructive distribution with respect to a public warrant.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4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treatment of U.S. Holders of public shares and public warrants could be materially different from that described above if TMC is treated as a PFIC for U.S. federal income tax purposes.</w:t>
      </w:r>
    </w:p>
    <w:p>
      <w:pPr>
        <w:spacing w:after="0" w:line="103"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If TMC is a PFIC for any taxable year, U.S. Holders of public shares or public warrants may be subject to adverse U.S. federal income tax consequences with respect to dispositions of, and distributions with respect to public shares, and may be subject to additional reporting requirements.</w:t>
      </w:r>
    </w:p>
    <w:p>
      <w:pPr>
        <w:spacing w:after="0" w:line="116"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(the “</w:t>
      </w:r>
      <w:r>
        <w:rPr>
          <w:rFonts w:ascii="Arial" w:cs="Arial" w:eastAsia="Arial" w:hAnsi="Arial"/>
          <w:sz w:val="18"/>
          <w:szCs w:val="18"/>
          <w:u w:val="single" w:color="auto"/>
          <w:color w:val="auto"/>
        </w:rPr>
        <w:t>Income</w:t>
      </w:r>
      <w:r>
        <w:rPr>
          <w:rFonts w:ascii="Arial" w:cs="Arial" w:eastAsia="Arial" w:hAnsi="Arial"/>
          <w:sz w:val="18"/>
          <w:szCs w:val="18"/>
          <w:color w:val="auto"/>
        </w:rPr>
        <w:t xml:space="preserve"> </w:t>
      </w:r>
      <w:r>
        <w:rPr>
          <w:rFonts w:ascii="Arial" w:cs="Arial" w:eastAsia="Arial" w:hAnsi="Arial"/>
          <w:sz w:val="18"/>
          <w:szCs w:val="18"/>
          <w:u w:val="single" w:color="auto"/>
          <w:color w:val="auto"/>
        </w:rPr>
        <w:t>Test</w:t>
      </w:r>
      <w:r>
        <w:rPr>
          <w:rFonts w:ascii="Arial" w:cs="Arial" w:eastAsia="Arial" w:hAnsi="Arial"/>
          <w:sz w:val="18"/>
          <w:szCs w:val="18"/>
          <w:color w:val="auto"/>
        </w:rPr>
        <w: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(the “</w:t>
      </w:r>
      <w:r>
        <w:rPr>
          <w:rFonts w:ascii="Arial" w:cs="Arial" w:eastAsia="Arial" w:hAnsi="Arial"/>
          <w:sz w:val="18"/>
          <w:szCs w:val="18"/>
          <w:u w:val="single" w:color="auto"/>
          <w:color w:val="auto"/>
        </w:rPr>
        <w:t>Asset Test</w:t>
      </w:r>
      <w:r>
        <w:rPr>
          <w:rFonts w:ascii="Arial" w:cs="Arial" w:eastAsia="Arial" w:hAnsi="Arial"/>
          <w:sz w:val="18"/>
          <w:szCs w:val="18"/>
          <w:color w:val="auto"/>
        </w:rPr>
        <w:t>”). Passive income generally includes dividends, interest, rents and royalties (other than rents or royalties derived from the active conduct of a trade or business) and gains from the disposition of passive assets.</w:t>
      </w:r>
    </w:p>
    <w:p>
      <w:pPr>
        <w:spacing w:after="0" w:line="115"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Based on the expected operations, and composition of income of TMC and its subsidiaries, TMC expects that it will meet the Income Test for PFIC classification in 2021. However, TMC’s actual PFIC status for any taxable year will not be determinable until after the end of such year. Accordingly, there can be no assurance with respect to TMC’s status as a PFIC for the current or any future taxable year. Although PFIC status is generally determined annually, if TMC is determined to be a PFIC for any taxable year (or portion thereof) that is included in the holding period of a U.S. Holder of public shares or and the U.S. Holder did not make either a qualifying electing fund (“</w:t>
      </w:r>
      <w:r>
        <w:rPr>
          <w:rFonts w:ascii="Arial" w:cs="Arial" w:eastAsia="Arial" w:hAnsi="Arial"/>
          <w:sz w:val="16"/>
          <w:szCs w:val="16"/>
          <w:u w:val="single" w:color="auto"/>
          <w:color w:val="auto"/>
        </w:rPr>
        <w:t>QEF</w:t>
      </w:r>
      <w:r>
        <w:rPr>
          <w:rFonts w:ascii="Arial" w:cs="Arial" w:eastAsia="Arial" w:hAnsi="Arial"/>
          <w:sz w:val="16"/>
          <w:szCs w:val="16"/>
          <w:color w:val="auto"/>
        </w:rPr>
        <w:t>”) election or a mark-to-market election (collectively, the “</w:t>
      </w:r>
      <w:r>
        <w:rPr>
          <w:rFonts w:ascii="Arial" w:cs="Arial" w:eastAsia="Arial" w:hAnsi="Arial"/>
          <w:sz w:val="16"/>
          <w:szCs w:val="16"/>
          <w:u w:val="single" w:color="auto"/>
          <w:color w:val="auto"/>
        </w:rPr>
        <w:t>PFIC Elections</w:t>
      </w:r>
      <w:r>
        <w:rPr>
          <w:rFonts w:ascii="Arial" w:cs="Arial" w:eastAsia="Arial" w:hAnsi="Arial"/>
          <w:sz w:val="16"/>
          <w:szCs w:val="16"/>
          <w:color w:val="auto"/>
        </w:rPr>
        <w:t>”) for the first taxable year of TMC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public shares and (ii) any “excess distribution” made to the U.S. Holder (generally, any distributions to such U.S. Holder during a taxable year of the U.S. Holder that are greater than 125% of the average annual distributions received by such U.S. Holder in respect of the public shares during the three preceding taxable years of such U.S. Holder or, if shorter, such U.S. Holder’s holding period for the public shares).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Under these rules:</w:t>
      </w:r>
    </w:p>
    <w:p>
      <w:pPr>
        <w:spacing w:after="0" w:line="158" w:lineRule="exact"/>
        <w:rPr>
          <w:sz w:val="20"/>
          <w:szCs w:val="20"/>
          <w:color w:val="auto"/>
        </w:rPr>
      </w:pPr>
    </w:p>
    <w:p>
      <w:pPr>
        <w:ind w:left="1320" w:right="479" w:hanging="434"/>
        <w:spacing w:after="0" w:line="277" w:lineRule="auto"/>
        <w:tabs>
          <w:tab w:leader="none" w:pos="13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public shares;</w:t>
      </w:r>
    </w:p>
    <w:p>
      <w:pPr>
        <w:spacing w:after="0" w:line="102" w:lineRule="exact"/>
        <w:rPr>
          <w:rFonts w:ascii="Arial" w:cs="Arial" w:eastAsia="Arial" w:hAnsi="Arial"/>
          <w:sz w:val="18"/>
          <w:szCs w:val="18"/>
          <w:color w:val="auto"/>
        </w:rPr>
      </w:pPr>
    </w:p>
    <w:p>
      <w:pPr>
        <w:jc w:val="both"/>
        <w:ind w:left="1320" w:right="499" w:hanging="434"/>
        <w:spacing w:after="0" w:line="311" w:lineRule="auto"/>
        <w:tabs>
          <w:tab w:leader="none" w:pos="131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and to any period in the U.S. Holder’s holding period before the first day of TMC’s first taxable year in which TMC is a PFIC, will be taxed as ordinary income;</w:t>
      </w:r>
    </w:p>
    <w:p>
      <w:pPr>
        <w:spacing w:after="0" w:line="67" w:lineRule="exact"/>
        <w:rPr>
          <w:rFonts w:ascii="Arial" w:cs="Arial" w:eastAsia="Arial" w:hAnsi="Arial"/>
          <w:sz w:val="16"/>
          <w:szCs w:val="16"/>
          <w:color w:val="auto"/>
        </w:rPr>
      </w:pPr>
    </w:p>
    <w:p>
      <w:pPr>
        <w:ind w:left="1320" w:right="599" w:hanging="434"/>
        <w:spacing w:after="0" w:line="263" w:lineRule="auto"/>
        <w:tabs>
          <w:tab w:leader="none" w:pos="13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16" w:lineRule="exact"/>
        <w:rPr>
          <w:rFonts w:ascii="Arial" w:cs="Arial" w:eastAsia="Arial" w:hAnsi="Arial"/>
          <w:sz w:val="18"/>
          <w:szCs w:val="18"/>
          <w:color w:val="auto"/>
        </w:rPr>
      </w:pPr>
    </w:p>
    <w:p>
      <w:pPr>
        <w:ind w:left="1320" w:right="459" w:hanging="434"/>
        <w:spacing w:after="0" w:line="263" w:lineRule="auto"/>
        <w:tabs>
          <w:tab w:leader="none" w:pos="13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PFIC Elections</w:t>
      </w:r>
    </w:p>
    <w:p>
      <w:pPr>
        <w:spacing w:after="0" w:line="15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In general, if TMC is determined to be a PFIC, a U.S. Holder may avoid the adverse PFIC tax consequences described above in respect of public shares by making and maintaining a timely and valid QEF election (if eligible to do so) to include in income its pro rata share of TMC’s net capital gains (as long-term capital gain) and other earnings and profits (as ordinary income), on a current basis, in each case whether or not distributed, in the first taxable year of the U.S. Holder in which or with which TMC’s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1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In order to comply with the requirements of a QEF election, a U.S. Holder must receive a PFIC Annual Information Statement from us. If TMC determines that it is a PFIC, TMC intends to provide the information necessary for U.S. Holders to make or maintain a QEF election, including information necessary to determine the appropriate income inclusion amounts for purposes of the QEF election. However, there is also no assurance that TMC will have timely knowledge of its status as a PFIC in the future or of the required information to be provided.</w:t>
      </w:r>
    </w:p>
    <w:p>
      <w:pPr>
        <w:spacing w:after="0" w:line="125"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Alternatively, if TMC is a PFIC and public shares constitute “marketable stock,” a U.S. Holder may avoid the adverse PFIC tax consequences discussed above if such U.S. Holder makes a mark-to-market election with respect to such shares for the first taxable year in which it holds (or is deemed to hold) public shares and each subsequent taxable year. Such U.S. Holder generally will include for each of its taxable years as ordinary income the excess, if any, of the fair market value of its public shares at the end of such year over its adjusted basis in its public shares. The U.S. Holder also will recognize an ordinary loss in respect of the excess, if any, of its adjusted basis of its public shares over the fair market value of its public shares at the end of its taxable year (but only to the extent of the net amount of previously included income as a result of the mark-to-</w:t>
      </w:r>
    </w:p>
    <w:p>
      <w:pPr>
        <w:spacing w:after="0" w:line="1" w:lineRule="exact"/>
        <w:rPr>
          <w:sz w:val="20"/>
          <w:szCs w:val="20"/>
          <w:color w:val="auto"/>
        </w:rPr>
      </w:pPr>
    </w:p>
    <w:p>
      <w:pPr>
        <w:ind w:left="460" w:right="539"/>
        <w:spacing w:after="0" w:line="253" w:lineRule="auto"/>
        <w:rPr>
          <w:sz w:val="20"/>
          <w:szCs w:val="20"/>
          <w:color w:val="auto"/>
        </w:rPr>
      </w:pPr>
      <w:r>
        <w:rPr>
          <w:rFonts w:ascii="Arial" w:cs="Arial" w:eastAsia="Arial" w:hAnsi="Arial"/>
          <w:sz w:val="18"/>
          <w:szCs w:val="18"/>
          <w:color w:val="auto"/>
        </w:rPr>
        <w:t>market election). The U.S. Holder’s basis in its public shares will be adjusted to reflect any such income or loss amounts, and any further gain recognized on a sale or other taxable disposition of its public shares will be treated as ordinary income. Currently, a mark-to-market election may not be made with respect to public warrants.</w:t>
      </w:r>
    </w:p>
    <w:p>
      <w:pPr>
        <w:spacing w:after="0" w:line="125"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The mark-to-market election is available only for “marketable stock,” generally, stock that is regularly traded on a national securities exchange that is registered with the Securities and Exchange Commission, including the Nasdaq (on which public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public shares cease to qualify as “marketable stock” for purposes of the PFIC rules or the IRS consents to the revocation of the election. U.S. Holders are urged to consult their tax advisors regarding the availability and tax consequences of a mark-to-market election with respect to public shares under their particular circumstances.</w:t>
      </w:r>
    </w:p>
    <w:p>
      <w:pPr>
        <w:spacing w:after="0" w:line="85"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9" w:name="page170"/>
    <w:bookmarkEnd w:id="16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6" w:lineRule="auto"/>
        <w:rPr>
          <w:sz w:val="20"/>
          <w:szCs w:val="20"/>
          <w:color w:val="auto"/>
        </w:rPr>
      </w:pPr>
      <w:r>
        <w:rPr>
          <w:rFonts w:ascii="Arial" w:cs="Arial" w:eastAsia="Arial" w:hAnsi="Arial"/>
          <w:sz w:val="16"/>
          <w:szCs w:val="16"/>
          <w:color w:val="auto"/>
        </w:rPr>
        <w:t>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TMC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public shares (or has previously made a QEF election with respect to public shares), the QEF election will apply to the newly acquired public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public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106" w:lineRule="exact"/>
        <w:rPr>
          <w:sz w:val="20"/>
          <w:szCs w:val="20"/>
          <w:color w:val="auto"/>
        </w:rPr>
      </w:pPr>
    </w:p>
    <w:p>
      <w:pPr>
        <w:ind w:left="460" w:right="519" w:firstLine="432"/>
        <w:spacing w:after="0" w:line="283" w:lineRule="auto"/>
        <w:rPr>
          <w:sz w:val="20"/>
          <w:szCs w:val="20"/>
          <w:color w:val="auto"/>
        </w:rPr>
      </w:pPr>
      <w:r>
        <w:rPr>
          <w:rFonts w:ascii="Arial" w:cs="Arial" w:eastAsia="Arial" w:hAnsi="Arial"/>
          <w:sz w:val="16"/>
          <w:szCs w:val="16"/>
          <w:color w:val="auto"/>
        </w:rPr>
        <w:t>If TMC is treated as a PFIC and a U.S. Holder failed or was unable to timely make a PFIC Election for prior periods, a U.S. Holder might seek make a purging election to rid the public shares of the PFIC taint. A purging election might be desirable if, for example, a U.S. Holder misses the deadline for filing a QEF election for a prior period, or if the public shares were acquired through the exercise of public warrants with a holding period that includes the period the warrants were held, either as a result of the application of the proposed Treasury Regulations, or because the public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TMC will be deemed to have made a distribution to the U.S. Holder of such U.S. Holder’s pro rata share of TMC’s earnings and profits as determined for</w:t>
      </w:r>
    </w:p>
    <w:p>
      <w:pPr>
        <w:spacing w:after="0" w:line="5" w:lineRule="exact"/>
        <w:rPr>
          <w:sz w:val="20"/>
          <w:szCs w:val="20"/>
          <w:color w:val="auto"/>
        </w:rPr>
      </w:pPr>
    </w:p>
    <w:p>
      <w:pPr>
        <w:jc w:val="both"/>
        <w:ind w:left="460" w:right="599"/>
        <w:spacing w:after="0" w:line="295" w:lineRule="auto"/>
        <w:rPr>
          <w:sz w:val="20"/>
          <w:szCs w:val="20"/>
          <w:color w:val="auto"/>
        </w:rPr>
      </w:pPr>
      <w:r>
        <w:rPr>
          <w:rFonts w:ascii="Arial" w:cs="Arial" w:eastAsia="Arial" w:hAnsi="Arial"/>
          <w:sz w:val="16"/>
          <w:szCs w:val="16"/>
          <w:color w:val="auto"/>
        </w:rPr>
        <w:t>U.S. federal income tax purposes. In order for the U.S. Holder to make the second election, TMC must also be determined to be a “controlled foreign corporation” as defined by the Code (which is not currently expected to be the case). As a result of either purging election, the U.S. Holder will have a new basis and holding period in the public shares acquired upon the exercise of the public warrants solely for purposes of the PFIC rules.</w:t>
      </w:r>
    </w:p>
    <w:p>
      <w:pPr>
        <w:spacing w:after="0" w:line="9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Related PFIC Rules</w:t>
      </w:r>
    </w:p>
    <w:p>
      <w:pPr>
        <w:spacing w:after="0" w:line="144"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If TMC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TMC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U.S. Holder that owns (or is deemed to own) shares in a PFIC during any taxable year of the</w:t>
      </w:r>
    </w:p>
    <w:p>
      <w:pPr>
        <w:spacing w:after="0" w:line="23" w:lineRule="exact"/>
        <w:rPr>
          <w:sz w:val="20"/>
          <w:szCs w:val="20"/>
          <w:color w:val="auto"/>
        </w:rPr>
      </w:pPr>
    </w:p>
    <w:p>
      <w:pPr>
        <w:ind w:left="460" w:right="579"/>
        <w:spacing w:after="0" w:line="253" w:lineRule="auto"/>
        <w:rPr>
          <w:sz w:val="20"/>
          <w:szCs w:val="20"/>
          <w:color w:val="auto"/>
        </w:rPr>
      </w:pPr>
      <w:r>
        <w:rPr>
          <w:rFonts w:ascii="Arial" w:cs="Arial" w:eastAsia="Arial" w:hAnsi="Arial"/>
          <w:sz w:val="18"/>
          <w:szCs w:val="18"/>
          <w:color w:val="auto"/>
        </w:rPr>
        <w:t>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25"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public shares and public warrants are urged to consult their own tax advisors concerning the application of the PFIC rules to TMC securities under their particular circumstances.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20"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16"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public shares and public warrants including the tax consequences under state, local, estate, foreign and other tax laws and tax treaties and the possible effects of changes in U.S. or other tax laws.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148"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 xml:space="preserve">The following is, as of the date of this prospectus, a summary of the principal Canadian federal income tax considerations pursuant to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 and the regulations thereunder (the “Tax Act”) that generally apply to the acquisition, holding or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summary applies only to a Non-Resident Holder who, at all relevant times, for purposes of the Tax</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w:t>
      </w:r>
    </w:p>
    <w:p>
      <w:pPr>
        <w:spacing w:after="0" w:line="143" w:lineRule="exact"/>
        <w:rPr>
          <w:sz w:val="20"/>
          <w:szCs w:val="20"/>
          <w:color w:val="auto"/>
        </w:rPr>
      </w:pPr>
    </w:p>
    <w:p>
      <w:pPr>
        <w:ind w:left="1300" w:hanging="41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holds Common Shares or Public Warrants as capital property;</w:t>
      </w:r>
    </w:p>
    <w:p>
      <w:pPr>
        <w:spacing w:after="0" w:line="144" w:lineRule="exact"/>
        <w:rPr>
          <w:rFonts w:ascii="Arial" w:cs="Arial" w:eastAsia="Arial" w:hAnsi="Arial"/>
          <w:sz w:val="18"/>
          <w:szCs w:val="18"/>
          <w:color w:val="auto"/>
        </w:rPr>
      </w:pPr>
    </w:p>
    <w:p>
      <w:pPr>
        <w:ind w:left="1320" w:right="839" w:hanging="434"/>
        <w:spacing w:after="0" w:line="277" w:lineRule="auto"/>
        <w:tabs>
          <w:tab w:leader="none" w:pos="13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does not, and is not deemed to, use or hold Common Shares or Public Warrants in the course of carrying on a business in Canada;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deals at arm’s length and is not affiliated with us.</w:t>
      </w:r>
    </w:p>
    <w:p>
      <w:pPr>
        <w:spacing w:after="0" w:line="15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Special rules, which are not discussed in this summary, may apply to a Non-Resident Holder that is an insurer that carries on an insurance business in Canada and elsewhere.</w:t>
      </w:r>
    </w:p>
    <w:p>
      <w:pPr>
        <w:spacing w:after="0" w:line="89"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This summary is based on the current provisions of the Tax Act, all specific proposals to amend the Tax Act publicly announced by or on behalf of the Minister of Finance (Canada) prior to the date hereof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18"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61" w:lineRule="exact"/>
        <w:rPr>
          <w:sz w:val="20"/>
          <w:szCs w:val="20"/>
          <w:color w:val="auto"/>
        </w:rPr>
      </w:pPr>
    </w:p>
    <w:p>
      <w:pPr>
        <w:ind w:left="460" w:right="479" w:firstLine="432"/>
        <w:spacing w:after="0" w:line="313" w:lineRule="auto"/>
        <w:rPr>
          <w:sz w:val="20"/>
          <w:szCs w:val="20"/>
          <w:color w:val="auto"/>
        </w:rPr>
      </w:pPr>
      <w:r>
        <w:rPr>
          <w:rFonts w:ascii="Arial" w:cs="Arial" w:eastAsia="Arial" w:hAnsi="Arial"/>
          <w:sz w:val="15"/>
          <w:szCs w:val="15"/>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Adjusted Cost base of Common Shares</w:t>
      </w:r>
    </w:p>
    <w:p>
      <w:pPr>
        <w:spacing w:after="0" w:line="162"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 Public Warrants</w:t>
      </w:r>
    </w:p>
    <w:p>
      <w:pPr>
        <w:spacing w:after="0" w:line="14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263" w:lineRule="auto"/>
        <w:rPr>
          <w:sz w:val="20"/>
          <w:szCs w:val="20"/>
          <w:color w:val="auto"/>
        </w:rPr>
      </w:pPr>
      <w:r>
        <w:rPr>
          <w:rFonts w:ascii="Arial" w:cs="Arial" w:eastAsia="Arial" w:hAnsi="Arial"/>
          <w:sz w:val="18"/>
          <w:szCs w:val="18"/>
          <w:color w:val="auto"/>
        </w:rPr>
        <w:t>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 on Common Shares</w:t>
      </w:r>
    </w:p>
    <w:p>
      <w:pPr>
        <w:spacing w:after="0" w:line="162"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Dispositions of Common Shares and Public Warrants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spacing w:after="0" w:line="114" w:lineRule="exact"/>
        <w:rPr>
          <w:sz w:val="20"/>
          <w:szCs w:val="20"/>
          <w:color w:val="auto"/>
        </w:rPr>
      </w:pPr>
    </w:p>
    <w:p>
      <w:pPr>
        <w:ind w:left="460" w:right="619" w:firstLine="432"/>
        <w:spacing w:after="0" w:line="279" w:lineRule="auto"/>
        <w:rPr>
          <w:sz w:val="20"/>
          <w:szCs w:val="20"/>
          <w:color w:val="auto"/>
        </w:rPr>
      </w:pPr>
      <w:r>
        <w:rPr>
          <w:rFonts w:ascii="Arial" w:cs="Arial" w:eastAsia="Arial" w:hAnsi="Arial"/>
          <w:sz w:val="17"/>
          <w:szCs w:val="17"/>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04" w:lineRule="exact"/>
        <w:rPr>
          <w:sz w:val="20"/>
          <w:szCs w:val="20"/>
          <w:color w:val="auto"/>
        </w:rPr>
      </w:pPr>
    </w:p>
    <w:p>
      <w:pPr>
        <w:ind w:left="1320" w:right="539" w:hanging="434"/>
        <w:spacing w:after="0" w:line="287" w:lineRule="auto"/>
        <w:tabs>
          <w:tab w:leader="none" w:pos="129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the Non-Resident Holder, (b) persons with whom the Non-Resident Holder does not deal with at arm’s length, (c) partnerships in which the Non-Resident Holder or a person described in (b) holds an interest directly or indirectly through one or more partnerships, or (d) any combination of (a) to</w:t>
      </w:r>
    </w:p>
    <w:p>
      <w:pPr>
        <w:spacing w:after="0" w:line="2" w:lineRule="exact"/>
        <w:rPr>
          <w:rFonts w:ascii="Arial" w:cs="Arial" w:eastAsia="Arial" w:hAnsi="Arial"/>
          <w:sz w:val="16"/>
          <w:szCs w:val="16"/>
          <w:color w:val="auto"/>
        </w:rPr>
      </w:pPr>
    </w:p>
    <w:p>
      <w:pPr>
        <w:ind w:left="1320"/>
        <w:spacing w:after="0"/>
        <w:rPr>
          <w:rFonts w:ascii="Arial" w:cs="Arial" w:eastAsia="Arial" w:hAnsi="Arial"/>
          <w:sz w:val="16"/>
          <w:szCs w:val="16"/>
          <w:color w:val="auto"/>
        </w:rPr>
      </w:pPr>
      <w:r>
        <w:rPr>
          <w:rFonts w:ascii="Arial" w:cs="Arial" w:eastAsia="Arial" w:hAnsi="Arial"/>
          <w:sz w:val="17"/>
          <w:szCs w:val="17"/>
          <w:color w:val="auto"/>
        </w:rPr>
        <w:t>(c) owned 25% or more of the issued shares of any class or series of our capital stock; and</w:t>
      </w:r>
    </w:p>
    <w:p>
      <w:pPr>
        <w:spacing w:after="0" w:line="154" w:lineRule="exact"/>
        <w:rPr>
          <w:rFonts w:ascii="Arial" w:cs="Arial" w:eastAsia="Arial" w:hAnsi="Arial"/>
          <w:sz w:val="16"/>
          <w:szCs w:val="16"/>
          <w:color w:val="auto"/>
        </w:rPr>
      </w:pPr>
    </w:p>
    <w:p>
      <w:pPr>
        <w:ind w:left="1320" w:right="499" w:hanging="434"/>
        <w:spacing w:after="0" w:line="275" w:lineRule="auto"/>
        <w:tabs>
          <w:tab w:leader="none" w:pos="129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72" w:lineRule="exact"/>
        <w:rPr>
          <w:sz w:val="20"/>
          <w:szCs w:val="20"/>
          <w:color w:val="auto"/>
        </w:rPr>
      </w:pPr>
    </w:p>
    <w:p>
      <w:pPr>
        <w:ind w:left="460" w:right="479" w:firstLine="432"/>
        <w:spacing w:after="0" w:line="258" w:lineRule="auto"/>
        <w:rPr>
          <w:sz w:val="20"/>
          <w:szCs w:val="20"/>
          <w:color w:val="auto"/>
        </w:rPr>
      </w:pPr>
      <w:r>
        <w:rPr>
          <w:rFonts w:ascii="Arial" w:cs="Arial" w:eastAsia="Arial" w:hAnsi="Arial"/>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We are registering the issuance by us of up to 9,500,000 of our Common Shares issuable upon the exercise of the Private Placement Warrants and 15,000,000 of our Common Shares issuable upon the exercise of the Public Warrants. We are also registering the resale by the Selling Securityholders of up to 9,500,000 Private Placement Warrants and up to 264,438,297 of our Common Shares.</w:t>
      </w:r>
    </w:p>
    <w:p>
      <w:pPr>
        <w:spacing w:after="0" w:line="104"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color w:val="auto"/>
        </w:rPr>
        <w:t>The Selling Securityholders may offer and sell, from time to time, their respective Common Shares, and Private Placement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97" w:lineRule="exact"/>
        <w:rPr>
          <w:sz w:val="20"/>
          <w:szCs w:val="20"/>
          <w:color w:val="auto"/>
        </w:rPr>
      </w:pPr>
    </w:p>
    <w:p>
      <w:pPr>
        <w:ind w:left="1320" w:right="939" w:hanging="434"/>
        <w:spacing w:after="0" w:line="277" w:lineRule="auto"/>
        <w:tabs>
          <w:tab w:leader="none" w:pos="131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57" w:lineRule="exact"/>
        <w:rPr>
          <w:rFonts w:ascii="Arial" w:cs="Arial" w:eastAsia="Arial" w:hAnsi="Arial"/>
          <w:sz w:val="18"/>
          <w:szCs w:val="18"/>
          <w:color w:val="auto"/>
        </w:rPr>
      </w:pPr>
    </w:p>
    <w:p>
      <w:pPr>
        <w:ind w:left="1320" w:right="639" w:hanging="434"/>
        <w:spacing w:after="0" w:line="308" w:lineRule="auto"/>
        <w:tabs>
          <w:tab w:leader="none" w:pos="131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block trades in which the broker-dealer so engaged will attempt to sell the shares as agent but may position and resell a portion of the block as principal to facilitate the transaction;</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44" w:lineRule="exact"/>
        <w:rPr>
          <w:rFonts w:ascii="Arial" w:cs="Arial" w:eastAsia="Arial" w:hAnsi="Arial"/>
          <w:sz w:val="18"/>
          <w:szCs w:val="18"/>
          <w:color w:val="auto"/>
        </w:rPr>
      </w:pPr>
    </w:p>
    <w:p>
      <w:pPr>
        <w:ind w:left="1320" w:right="759" w:hanging="434"/>
        <w:spacing w:after="0" w:line="259" w:lineRule="auto"/>
        <w:tabs>
          <w:tab w:leader="none" w:pos="131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distribution to employees, members, limited partners or stockholders of the Selling Securityholders;</w:t>
      </w:r>
    </w:p>
    <w:p>
      <w:pPr>
        <w:spacing w:after="0" w:line="167" w:lineRule="exact"/>
        <w:rPr>
          <w:rFonts w:ascii="Arial" w:cs="Arial" w:eastAsia="Arial" w:hAnsi="Arial"/>
          <w:sz w:val="16"/>
          <w:szCs w:val="16"/>
          <w:color w:val="auto"/>
        </w:rPr>
      </w:pPr>
    </w:p>
    <w:p>
      <w:pPr>
        <w:ind w:left="1320" w:right="1019" w:hanging="434"/>
        <w:spacing w:after="0" w:line="277" w:lineRule="auto"/>
        <w:tabs>
          <w:tab w:leader="none" w:pos="131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157" w:lineRule="exact"/>
        <w:rPr>
          <w:rFonts w:ascii="Arial" w:cs="Arial" w:eastAsia="Arial" w:hAnsi="Arial"/>
          <w:sz w:val="18"/>
          <w:szCs w:val="18"/>
          <w:color w:val="auto"/>
        </w:rPr>
      </w:pPr>
    </w:p>
    <w:p>
      <w:pPr>
        <w:ind w:left="1320" w:right="539" w:hanging="434"/>
        <w:spacing w:after="0" w:line="279" w:lineRule="auto"/>
        <w:tabs>
          <w:tab w:leader="none" w:pos="131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03" w:lineRule="exact"/>
        <w:rPr>
          <w:rFonts w:ascii="Arial" w:cs="Arial" w:eastAsia="Arial" w:hAnsi="Arial"/>
          <w:sz w:val="17"/>
          <w:szCs w:val="17"/>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options transactions;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as described below, or any other method permitted pursuant to applicable law.</w:t>
      </w:r>
    </w:p>
    <w:p>
      <w:pPr>
        <w:spacing w:after="0" w:line="89"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In addition, any securities that qualify for sale pursuant to Rule 144 may be sold under Rule 144 rather than pursuant to this prospectus.</w:t>
      </w:r>
    </w:p>
    <w:p>
      <w:pPr>
        <w:spacing w:after="0" w:line="103"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spacing w:after="0" w:line="311" w:lineRule="auto"/>
        <w:rPr>
          <w:sz w:val="20"/>
          <w:szCs w:val="20"/>
          <w:color w:val="auto"/>
        </w:rPr>
      </w:pPr>
      <w:r>
        <w:rPr>
          <w:rFonts w:ascii="Arial" w:cs="Arial" w:eastAsia="Arial" w:hAnsi="Arial"/>
          <w:sz w:val="16"/>
          <w:szCs w:val="16"/>
          <w:color w:val="auto"/>
        </w:rPr>
        <w:t>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w:t>
      </w:r>
    </w:p>
    <w:p>
      <w:pPr>
        <w:spacing w:after="0" w:line="81"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0"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84" w:lineRule="exact"/>
        <w:rPr>
          <w:sz w:val="20"/>
          <w:szCs w:val="20"/>
          <w:color w:val="auto"/>
        </w:rPr>
      </w:pPr>
    </w:p>
    <w:p>
      <w:pPr>
        <w:ind w:left="460" w:right="679" w:firstLine="432"/>
        <w:spacing w:after="0" w:line="275"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Certain of our stockholders have entered into lock-up agreements.</w:t>
      </w:r>
    </w:p>
    <w:p>
      <w:pPr>
        <w:spacing w:after="0" w:line="109" w:lineRule="exact"/>
        <w:rPr>
          <w:sz w:val="20"/>
          <w:szCs w:val="20"/>
          <w:color w:val="auto"/>
        </w:rPr>
      </w:pPr>
    </w:p>
    <w:p>
      <w:pPr>
        <w:ind w:left="460" w:right="719" w:firstLine="432"/>
        <w:spacing w:after="0" w:line="301" w:lineRule="auto"/>
        <w:rPr>
          <w:sz w:val="20"/>
          <w:szCs w:val="20"/>
          <w:color w:val="auto"/>
        </w:rPr>
      </w:pPr>
      <w:r>
        <w:rPr>
          <w:rFonts w:ascii="Arial" w:cs="Arial" w:eastAsia="Arial" w:hAnsi="Arial"/>
          <w:sz w:val="16"/>
          <w:szCs w:val="16"/>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90"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06"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20"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A holder of Private Placement Warrants or Public Warrants may exercise its Private Placement Warrants or Public Warrants in accordance with the Warrant agreements on or before the expiration date set forth therein by surrendering, at the office of the Warrant Agent, Continental Stock Transfer &amp; Trust Company, the certificate evidencing such Private Placement Warrants or Public Warrants, with the form of election to purchase set forth thereon, properly completed and duly executed, accompanied by full payment of the exercise price and any and all applicable taxes due in connection with the exercise of the Private Placement Warrants or Public Warrants, subject to any applicable provisions relating to cashless exercises in accordance with the Warrant agreements.</w:t>
      </w:r>
    </w:p>
    <w:p>
      <w:pPr>
        <w:spacing w:after="0" w:line="9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We have agreed to indemnify certain of the Selling Securityholders against certain liabilities, including certain liabilities under the Securities Act, the Exchange Act or other federal or state law.</w:t>
      </w:r>
    </w:p>
    <w:p>
      <w:pPr>
        <w:spacing w:after="0" w:line="89"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We have agreed with certain Selling Securityholders pursuant to the Registration Rights Agreement to use our commercially reasonable efforts to keep the registration statement of which this prospectus constitutes a part effective until such time as all securities covered by this prospectus have been sold or otherwise cease to be registrable securities.</w:t>
      </w:r>
    </w:p>
    <w:p>
      <w:pPr>
        <w:spacing w:after="0" w:line="119"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We have also agreed with the PIPE Investors pursuant to the PIPE Investor Subscription Agreements to cause the registration statement to remain effective until the earlier of (i) three years (in the case of the Subscription Agreements) from the effective date of the registration statement, (ii) the date the Selling Securityholder ceases to hold the shares covered by the registration statement or (iii) the first date on which the Selling Securityholder can sell all of its shares under Rule 144 of the Securities Act without restriction.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44" w:lineRule="exact"/>
        <w:rPr>
          <w:sz w:val="20"/>
          <w:szCs w:val="20"/>
          <w:color w:val="auto"/>
        </w:rPr>
      </w:pPr>
    </w:p>
    <w:p>
      <w:pPr>
        <w:ind w:left="460" w:right="539" w:firstLine="432"/>
        <w:spacing w:after="0" w:line="283" w:lineRule="auto"/>
        <w:rPr>
          <w:sz w:val="20"/>
          <w:szCs w:val="20"/>
          <w:color w:val="auto"/>
        </w:rPr>
      </w:pPr>
      <w:r>
        <w:rPr>
          <w:rFonts w:ascii="Arial" w:cs="Arial" w:eastAsia="Arial" w:hAnsi="Arial"/>
          <w:sz w:val="16"/>
          <w:szCs w:val="16"/>
          <w:color w:val="auto"/>
        </w:rPr>
        <w:t>At the Closing, the Company,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The Sponsor Group Holders and the DeepGreen Holders also agreed not to effect any sale or distribution of certain equity securities of the Company held by them during the period ending on the earlier of (A) 180 days after the Closing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Certain Common Shares held by the Sponsor Group Holders shall not be offered, sold, pledged or distributed for periods of six months or</w:t>
      </w:r>
    </w:p>
    <w:p>
      <w:pPr>
        <w:spacing w:after="0" w:line="1" w:lineRule="exact"/>
        <w:rPr>
          <w:sz w:val="20"/>
          <w:szCs w:val="20"/>
          <w:color w:val="auto"/>
        </w:rPr>
      </w:pPr>
    </w:p>
    <w:p>
      <w:pPr>
        <w:ind w:left="460" w:right="559"/>
        <w:spacing w:after="0" w:line="255" w:lineRule="auto"/>
        <w:rPr>
          <w:sz w:val="20"/>
          <w:szCs w:val="20"/>
          <w:color w:val="auto"/>
        </w:rPr>
      </w:pPr>
      <w:r>
        <w:rPr>
          <w:rFonts w:ascii="Arial" w:cs="Arial" w:eastAsia="Arial" w:hAnsi="Arial"/>
          <w:sz w:val="18"/>
          <w:szCs w:val="18"/>
          <w:color w:val="auto"/>
        </w:rPr>
        <w:t>twelve months, as applicable, and certain Common Shares held by the DeepGreen Holders shall not be offered, sold, pledged or distributed for periods of six months or eighteen months, as applicable, subject to the exceptions described in the Amended and Restated Registration Rights Agreement.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Fasken Martineau DuMoulin LLP (“Fasken”) has passed upon the validity of the Common Shares offered by this prospectus and certain other legal matters related to Canadian law. Mintz, Levin, Cohn, Ferris, Glovsky and Popeo, P.C. (“Mintz”) has passed upon the validity of the Warrants and certain other legal matters. Fasken and Mintz own 14,630 and 36,361 Common Shares,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financial statements of TMC the metals company Inc. (formerly Sustainable Opportunities Acquisition Corp.) as of December 31, 2020 and 2019 and for the year ended December 31, 2020 and the period from December 18, 2019 (inception) through December 31, 2019 included in this prospectus have been audited by Marcum LLP, independent registered public accounting firm, as set forth in their report thereon which includes an explanatory paragraph as to the Company’s ability to continue as a going concern, appearing elsewhere herein, and are included in reliance upon such report given on the authority of such firm as experts in accounting and auditing.</w:t>
      </w:r>
    </w:p>
    <w:p>
      <w:pPr>
        <w:spacing w:after="0" w:line="127"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consolidated financial statements of DeepGreen Metals Inc. as of December 31, 2020 and 2019, and for the years ended December 31, 2020 and 2019, included in this prospectus have been audited by Ernst &amp; Young LLP, independent registered public accounting firm, as set forth in their report appearing elsewhere herein, and are included in reliance upon such report given on the authority of such firm as experts in accounting and auditing.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ENFORCEMENT OF CIVIL LIABILITIES</w:t>
      </w:r>
    </w:p>
    <w:p>
      <w:pPr>
        <w:spacing w:after="0" w:line="14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are incorporated under the laws of British Columbia, Canada and, as a result, the rights of the holders of our securities will be governed by Canadian law and our amended organizational documents. All or substantially all of our assets are located outside the United States, and substantially all of our business, including our operations, is conducted outside the United States. In addition, some of our directors and officers are nationals and/or residents of countries other than the United States, and all or a substantial portion of such persons’ assets may be located outside the United States. As a result, it could be difficult or impossible for you to effect service of process on these individuals in the United States in the event that you believe that your rights have been infringed under applicable securities laws or otherwise or to enforce in the United States judgments obtained in U.S. courts against us or those persons based on civil liability provisions of the U.S. securities laws. There can be no assurance that U.S. investors will be able to enforce against us, members of our board of directors, officers or certain experts named herein who are residents of Canada or other countries outside the United States, any judgments in civil and commercial matters, including judgments under the federal securities laws. There is uncertainty with respect to whether a Canadian court would take jurisdiction on a matter of liability predicated solely upon U.S. federal securities laws, and uncertainty with respect to whether a Canadian court would enforce a foreign judgement on liabilities predicated upon the securities laws of the United States.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19"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 xml:space="preserve">In addition, we file annual, quarterly and current reports, proxy statements and other information with the SEC. Our SEC filings are available to the public on a website maintained by the SEC located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We also maintain a website at </w:t>
      </w:r>
      <w:r>
        <w:rPr>
          <w:rFonts w:ascii="Arial" w:cs="Arial" w:eastAsia="Arial" w:hAnsi="Arial"/>
          <w:sz w:val="16"/>
          <w:szCs w:val="16"/>
          <w:i w:val="1"/>
          <w:iCs w:val="1"/>
          <w:color w:val="auto"/>
        </w:rPr>
        <w:t>www.metals.co</w:t>
      </w:r>
      <w:r>
        <w:rPr>
          <w:rFonts w:ascii="Arial" w:cs="Arial" w:eastAsia="Arial" w:hAnsi="Arial"/>
          <w:sz w:val="16"/>
          <w:szCs w:val="16"/>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8" w:name="page179"/>
    <w:bookmarkEnd w:id="17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SUSTAINABLE OPPORTUNITIES ACQUISITION CORP.)</w:t>
      </w:r>
    </w:p>
    <w:p>
      <w:pPr>
        <w:spacing w:after="0" w:line="207"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I. Index to Audited Financial Statements of Sustainable Opportunities Acquisition Corp. as of and for the years ended December 31, 2020 and for the period from December 18, 2019 (inception) through December 31, 2019.</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0"/>
              </w:rPr>
              <w:t>Page No.</w:t>
            </w:r>
          </w:p>
        </w:tc>
      </w:tr>
      <w:tr>
        <w:trPr>
          <w:trHeight w:val="47"/>
        </w:trPr>
        <w:tc>
          <w:tcPr>
            <w:tcW w:w="180" w:type="dxa"/>
            <w:vAlign w:val="bottom"/>
            <w:tcBorders>
              <w:bottom w:val="single" w:sz="8" w:color="CCEEFF"/>
            </w:tcBorders>
          </w:tcPr>
          <w:p>
            <w:pPr>
              <w:spacing w:after="0"/>
              <w:rPr>
                <w:sz w:val="4"/>
                <w:szCs w:val="4"/>
                <w:color w:val="auto"/>
              </w:rPr>
            </w:pPr>
          </w:p>
        </w:tc>
        <w:tc>
          <w:tcPr>
            <w:tcW w:w="196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3"/>
        </w:trPr>
        <w:tc>
          <w:tcPr>
            <w:tcW w:w="7320" w:type="dxa"/>
            <w:vAlign w:val="bottom"/>
            <w:gridSpan w:val="10"/>
            <w:shd w:val="clear" w:color="auto" w:fill="CCEEFF"/>
          </w:tcPr>
          <w:p>
            <w:pPr>
              <w:spacing w:after="0" w:line="182" w:lineRule="exact"/>
              <w:rPr>
                <w:rFonts w:ascii="Arial" w:cs="Arial" w:eastAsia="Arial" w:hAnsi="Arial"/>
                <w:sz w:val="18"/>
                <w:szCs w:val="18"/>
                <w:color w:val="0000EE"/>
              </w:rPr>
            </w:pPr>
            <w:hyperlink w:anchor="page180">
              <w:r>
                <w:rPr>
                  <w:rFonts w:ascii="Arial" w:cs="Arial" w:eastAsia="Arial" w:hAnsi="Arial"/>
                  <w:sz w:val="18"/>
                  <w:szCs w:val="18"/>
                  <w:color w:val="0000EE"/>
                </w:rPr>
                <w:t>Report of Independent Registered Public Accounting Firm</w:t>
              </w:r>
            </w:hyperlink>
          </w:p>
        </w:tc>
        <w:tc>
          <w:tcPr>
            <w:tcW w:w="7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6"/>
              </w:rPr>
              <w:t>F-2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10"/>
          </w:tcPr>
          <w:p>
            <w:pPr>
              <w:spacing w:after="0" w:line="202" w:lineRule="exact"/>
              <w:rPr>
                <w:rFonts w:ascii="Arial" w:cs="Arial" w:eastAsia="Arial" w:hAnsi="Arial"/>
                <w:sz w:val="18"/>
                <w:szCs w:val="18"/>
                <w:color w:val="0000EE"/>
              </w:rPr>
            </w:pPr>
            <w:hyperlink w:anchor="page181">
              <w:r>
                <w:rPr>
                  <w:rFonts w:ascii="Arial" w:cs="Arial" w:eastAsia="Arial" w:hAnsi="Arial"/>
                  <w:sz w:val="18"/>
                  <w:szCs w:val="18"/>
                  <w:color w:val="0000EE"/>
                </w:rPr>
                <w:t>Balance Sheets as of December 31, 2020 and 2019</w:t>
              </w:r>
            </w:hyperlink>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6"/>
              </w:rPr>
              <w:t>F-3</w:t>
            </w:r>
          </w:p>
        </w:tc>
      </w:tr>
      <w:tr>
        <w:trPr>
          <w:trHeight w:val="61"/>
        </w:trPr>
        <w:tc>
          <w:tcPr>
            <w:tcW w:w="180" w:type="dxa"/>
            <w:vAlign w:val="bottom"/>
            <w:tcBorders>
              <w:top w:val="single" w:sz="8" w:color="0000EE"/>
            </w:tcBorders>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5"/>
        </w:trPr>
        <w:tc>
          <w:tcPr>
            <w:tcW w:w="64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182">
              <w:r>
                <w:rPr>
                  <w:rFonts w:ascii="Arial" w:cs="Arial" w:eastAsia="Arial" w:hAnsi="Arial"/>
                  <w:sz w:val="18"/>
                  <w:szCs w:val="18"/>
                  <w:color w:val="0000EE"/>
                  <w:w w:val="90"/>
                </w:rPr>
                <w:t>Statements of Operations for the Year Ended December 31, 2020 and for the Period from</w:t>
              </w:r>
            </w:hyperlink>
          </w:p>
        </w:tc>
        <w:tc>
          <w:tcPr>
            <w:tcW w:w="860" w:type="dxa"/>
            <w:vAlign w:val="bottom"/>
            <w:tcBorders>
              <w:bottom w:val="single" w:sz="8" w:color="CCEEFF"/>
            </w:tcBorders>
            <w:gridSpan w:val="3"/>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9"/>
            <w:shd w:val="clear" w:color="auto" w:fill="CCEEFF"/>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December 18, 2019 (inception) to December 31, 2019</w:t>
              </w:r>
            </w:hyperlink>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F-4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175"/>
        </w:trPr>
        <w:tc>
          <w:tcPr>
            <w:tcW w:w="7320" w:type="dxa"/>
            <w:vAlign w:val="bottom"/>
            <w:gridSpan w:val="10"/>
          </w:tcPr>
          <w:p>
            <w:pPr>
              <w:spacing w:after="0" w:line="176" w:lineRule="exact"/>
              <w:rPr>
                <w:rFonts w:ascii="Arial" w:cs="Arial" w:eastAsia="Arial" w:hAnsi="Arial"/>
                <w:sz w:val="18"/>
                <w:szCs w:val="18"/>
                <w:color w:val="0000EE"/>
                <w:w w:val="92"/>
              </w:rPr>
            </w:pPr>
            <w:hyperlink w:anchor="page183">
              <w:r>
                <w:rPr>
                  <w:rFonts w:ascii="Arial" w:cs="Arial" w:eastAsia="Arial" w:hAnsi="Arial"/>
                  <w:sz w:val="18"/>
                  <w:szCs w:val="18"/>
                  <w:color w:val="0000EE"/>
                  <w:w w:val="92"/>
                </w:rPr>
                <w:t>Statements of Changes in Shareholders’ Equity for the Year Ended December 31, 2020 and for the</w:t>
              </w:r>
            </w:hyperlink>
          </w:p>
        </w:tc>
        <w:tc>
          <w:tcPr>
            <w:tcW w:w="78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Period from December 18, 2019 (inception) to December 31, 2019</w:t>
              </w:r>
            </w:hyperlink>
          </w:p>
        </w:tc>
        <w:tc>
          <w:tcPr>
            <w:tcW w:w="2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6"/>
              </w:rPr>
              <w:t>F-5</w:t>
            </w:r>
          </w:p>
        </w:tc>
      </w:tr>
      <w:tr>
        <w:trPr>
          <w:trHeight w:val="61"/>
        </w:trPr>
        <w:tc>
          <w:tcPr>
            <w:tcW w:w="18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4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5"/>
        </w:trPr>
        <w:tc>
          <w:tcPr>
            <w:tcW w:w="65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184">
              <w:r>
                <w:rPr>
                  <w:rFonts w:ascii="Arial" w:cs="Arial" w:eastAsia="Arial" w:hAnsi="Arial"/>
                  <w:sz w:val="18"/>
                  <w:szCs w:val="18"/>
                  <w:color w:val="0000EE"/>
                  <w:w w:val="90"/>
                </w:rPr>
                <w:t>Statements of Cash Flows for the Year Ended December 31, 2020 and for the Period from</w:t>
              </w:r>
            </w:hyperlink>
          </w:p>
        </w:tc>
        <w:tc>
          <w:tcPr>
            <w:tcW w:w="82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9"/>
            <w:shd w:val="clear" w:color="auto" w:fill="CCEEFF"/>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December 18, 2019 (inception) to December 31, 2019</w:t>
              </w:r>
            </w:hyperlink>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F-6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10"/>
          </w:tcPr>
          <w:p>
            <w:pPr>
              <w:spacing w:after="0" w:line="202" w:lineRule="exact"/>
              <w:rPr>
                <w:rFonts w:ascii="Arial" w:cs="Arial" w:eastAsia="Arial" w:hAnsi="Arial"/>
                <w:sz w:val="18"/>
                <w:szCs w:val="18"/>
                <w:color w:val="0000EE"/>
              </w:rPr>
            </w:pPr>
            <w:hyperlink w:anchor="page185">
              <w:r>
                <w:rPr>
                  <w:rFonts w:ascii="Arial" w:cs="Arial" w:eastAsia="Arial" w:hAnsi="Arial"/>
                  <w:sz w:val="18"/>
                  <w:szCs w:val="18"/>
                  <w:color w:val="0000EE"/>
                </w:rPr>
                <w:t>Notes to Financial Statements</w:t>
              </w:r>
            </w:hyperlink>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6"/>
              </w:rPr>
              <w:t>F-7</w:t>
            </w:r>
          </w:p>
        </w:tc>
      </w:tr>
      <w:tr>
        <w:trPr>
          <w:trHeight w:val="20"/>
        </w:trPr>
        <w:tc>
          <w:tcPr>
            <w:tcW w:w="1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65" w:lineRule="exact"/>
        <w:rPr>
          <w:sz w:val="20"/>
          <w:szCs w:val="20"/>
          <w:color w:val="auto"/>
        </w:rPr>
      </w:pPr>
    </w:p>
    <w:p>
      <w:pPr>
        <w:ind w:left="460" w:right="499" w:hanging="6"/>
        <w:spacing w:after="0" w:line="282" w:lineRule="auto"/>
        <w:tabs>
          <w:tab w:leader="none" w:pos="69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Index to Unaudited Financial Statements of Sustainable Opportunities Acquisition Corp. as of and for the three and six months ended June 30, 2021 and 2020.</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360" w:type="dxa"/>
            <w:vAlign w:val="bottom"/>
            <w:gridSpan w:val="9"/>
            <w:shd w:val="clear" w:color="auto" w:fill="CCEEFF"/>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Condensed Consolidated Balance Sheets as of June 30, 2021 and December 31, 2020</w:t>
              </w:r>
            </w:hyperlink>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16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6"/>
        </w:trPr>
        <w:tc>
          <w:tcPr>
            <w:tcW w:w="7360" w:type="dxa"/>
            <w:vAlign w:val="bottom"/>
            <w:gridSpan w:val="9"/>
          </w:tcPr>
          <w:p>
            <w:pPr>
              <w:spacing w:after="0" w:line="176" w:lineRule="exact"/>
              <w:rPr>
                <w:rFonts w:ascii="Arial" w:cs="Arial" w:eastAsia="Arial" w:hAnsi="Arial"/>
                <w:sz w:val="18"/>
                <w:szCs w:val="18"/>
                <w:color w:val="0000EE"/>
                <w:w w:val="94"/>
              </w:rPr>
            </w:pPr>
            <w:hyperlink w:anchor="page205">
              <w:r>
                <w:rPr>
                  <w:rFonts w:ascii="Arial" w:cs="Arial" w:eastAsia="Arial" w:hAnsi="Arial"/>
                  <w:sz w:val="18"/>
                  <w:szCs w:val="18"/>
                  <w:color w:val="0000EE"/>
                  <w:w w:val="94"/>
                </w:rPr>
                <w:t>Condensed Consolidated Statements of Operations for the Three and Six Months Ended June 30,</w:t>
              </w:r>
            </w:hyperlink>
          </w:p>
        </w:tc>
        <w:tc>
          <w:tcPr>
            <w:tcW w:w="7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2021 and 2020</w:t>
              </w:r>
            </w:hyperlink>
          </w:p>
        </w:tc>
        <w:tc>
          <w:tcPr>
            <w:tcW w:w="400" w:type="dxa"/>
            <w:vAlign w:val="bottom"/>
            <w:gridSpan w:val="2"/>
          </w:tcPr>
          <w:p>
            <w:pPr>
              <w:spacing w:after="0"/>
              <w:rPr>
                <w:sz w:val="17"/>
                <w:szCs w:val="17"/>
                <w:color w:val="auto"/>
              </w:rPr>
            </w:pPr>
          </w:p>
        </w:tc>
        <w:tc>
          <w:tcPr>
            <w:tcW w:w="740" w:type="dxa"/>
            <w:vAlign w:val="bottom"/>
          </w:tcPr>
          <w:p>
            <w:pPr>
              <w:ind w:left="180"/>
              <w:spacing w:after="0" w:line="196" w:lineRule="exact"/>
              <w:rPr>
                <w:sz w:val="20"/>
                <w:szCs w:val="20"/>
                <w:color w:val="auto"/>
              </w:rPr>
            </w:pPr>
            <w:r>
              <w:rPr>
                <w:rFonts w:ascii="Arial" w:cs="Arial" w:eastAsia="Arial" w:hAnsi="Arial"/>
                <w:sz w:val="18"/>
                <w:szCs w:val="18"/>
                <w:color w:val="auto"/>
              </w:rPr>
              <w:t>F-27</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6"/>
        </w:trPr>
        <w:tc>
          <w:tcPr>
            <w:tcW w:w="7360" w:type="dxa"/>
            <w:vAlign w:val="bottom"/>
            <w:gridSpan w:val="9"/>
            <w:shd w:val="clear" w:color="auto" w:fill="CCEEFF"/>
          </w:tcPr>
          <w:p>
            <w:pPr>
              <w:spacing w:after="0" w:line="176" w:lineRule="exact"/>
              <w:rPr>
                <w:rFonts w:ascii="Arial" w:cs="Arial" w:eastAsia="Arial" w:hAnsi="Arial"/>
                <w:sz w:val="18"/>
                <w:szCs w:val="18"/>
                <w:color w:val="0000EE"/>
                <w:w w:val="92"/>
              </w:rPr>
            </w:pPr>
            <w:hyperlink w:anchor="page206">
              <w:r>
                <w:rPr>
                  <w:rFonts w:ascii="Arial" w:cs="Arial" w:eastAsia="Arial" w:hAnsi="Arial"/>
                  <w:sz w:val="18"/>
                  <w:szCs w:val="18"/>
                  <w:color w:val="0000EE"/>
                  <w:w w:val="92"/>
                </w:rPr>
                <w:t>Condensed Consolidated Statements of Changes in Shareholders’ Equity (Deficit) for the Three and</w:t>
              </w:r>
            </w:hyperlink>
          </w:p>
        </w:tc>
        <w:tc>
          <w:tcPr>
            <w:tcW w:w="7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00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Six Months Ended June 30, 2021 and 2020</w:t>
              </w:r>
            </w:hyperlink>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F-28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6"/>
        </w:trPr>
        <w:tc>
          <w:tcPr>
            <w:tcW w:w="7360" w:type="dxa"/>
            <w:vAlign w:val="bottom"/>
            <w:gridSpan w:val="9"/>
          </w:tcPr>
          <w:p>
            <w:pPr>
              <w:spacing w:after="0" w:line="176" w:lineRule="exact"/>
              <w:rPr>
                <w:rFonts w:ascii="Arial" w:cs="Arial" w:eastAsia="Arial" w:hAnsi="Arial"/>
                <w:sz w:val="18"/>
                <w:szCs w:val="18"/>
                <w:color w:val="0000EE"/>
                <w:w w:val="94"/>
              </w:rPr>
            </w:pPr>
            <w:hyperlink w:anchor="page207">
              <w:r>
                <w:rPr>
                  <w:rFonts w:ascii="Arial" w:cs="Arial" w:eastAsia="Arial" w:hAnsi="Arial"/>
                  <w:sz w:val="18"/>
                  <w:szCs w:val="18"/>
                  <w:color w:val="0000EE"/>
                  <w:w w:val="94"/>
                </w:rPr>
                <w:t>Condensed Consolidated Statements of Cash Flows for the Six Months Ended June 30, 2021 and</w:t>
              </w:r>
            </w:hyperlink>
          </w:p>
        </w:tc>
        <w:tc>
          <w:tcPr>
            <w:tcW w:w="740" w:type="dxa"/>
            <w:vAlign w:val="bottom"/>
          </w:tcPr>
          <w:p>
            <w:pPr>
              <w:spacing w:after="0"/>
              <w:rPr>
                <w:sz w:val="15"/>
                <w:szCs w:val="15"/>
                <w:color w:val="auto"/>
              </w:rPr>
            </w:pPr>
          </w:p>
        </w:tc>
      </w:tr>
      <w:tr>
        <w:trPr>
          <w:trHeight w:val="196"/>
        </w:trPr>
        <w:tc>
          <w:tcPr>
            <w:tcW w:w="1240" w:type="dxa"/>
            <w:vAlign w:val="bottom"/>
            <w:tcBorders>
              <w:top w:val="single" w:sz="8" w:color="0000EE"/>
            </w:tcBorders>
            <w:gridSpan w:val="3"/>
          </w:tcPr>
          <w:p>
            <w:pPr>
              <w:ind w:left="180"/>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2020</w:t>
              </w:r>
            </w:hyperlink>
          </w:p>
        </w:tc>
        <w:tc>
          <w:tcPr>
            <w:tcW w:w="20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ind w:left="180"/>
              <w:spacing w:after="0" w:line="196" w:lineRule="exact"/>
              <w:rPr>
                <w:sz w:val="20"/>
                <w:szCs w:val="20"/>
                <w:color w:val="auto"/>
              </w:rPr>
            </w:pPr>
            <w:r>
              <w:rPr>
                <w:rFonts w:ascii="Arial" w:cs="Arial" w:eastAsia="Arial" w:hAnsi="Arial"/>
                <w:sz w:val="18"/>
                <w:szCs w:val="18"/>
                <w:color w:val="auto"/>
              </w:rPr>
              <w:t>F-29</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9"/>
            <w:shd w:val="clear" w:color="auto" w:fill="CCEEFF"/>
          </w:tcPr>
          <w:p>
            <w:pPr>
              <w:spacing w:after="0" w:line="202" w:lineRule="exact"/>
              <w:rPr>
                <w:rFonts w:ascii="Arial" w:cs="Arial" w:eastAsia="Arial" w:hAnsi="Arial"/>
                <w:sz w:val="18"/>
                <w:szCs w:val="18"/>
                <w:color w:val="0000EE"/>
              </w:rPr>
            </w:pPr>
            <w:hyperlink w:anchor="page208">
              <w:r>
                <w:rPr>
                  <w:rFonts w:ascii="Arial" w:cs="Arial" w:eastAsia="Arial" w:hAnsi="Arial"/>
                  <w:sz w:val="18"/>
                  <w:szCs w:val="18"/>
                  <w:color w:val="0000EE"/>
                </w:rPr>
                <w:t>Notes to Condensed Consolidated Financial Statements</w:t>
              </w:r>
            </w:hyperlink>
          </w:p>
        </w:tc>
        <w:tc>
          <w:tcPr>
            <w:tcW w:w="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F-30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25" w:lineRule="exact"/>
        <w:rPr>
          <w:sz w:val="20"/>
          <w:szCs w:val="20"/>
          <w:color w:val="auto"/>
        </w:rPr>
      </w:pPr>
    </w:p>
    <w:p>
      <w:pPr>
        <w:ind w:left="460" w:right="1039" w:hanging="6"/>
        <w:spacing w:after="0" w:line="282" w:lineRule="auto"/>
        <w:tabs>
          <w:tab w:leader="none" w:pos="7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Index to Audited Financial Statements of DeepGreen Metals Inc. as of and for the years ended December 31, 2020 and December 31, 2019.</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960" w:type="dxa"/>
            <w:vAlign w:val="bottom"/>
            <w:gridSpan w:val="6"/>
            <w:shd w:val="clear" w:color="auto" w:fill="CCEEFF"/>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Report of Independent Registered Public Accounting Firm</w:t>
              </w:r>
            </w:hyperlink>
          </w:p>
        </w:tc>
        <w:tc>
          <w:tcPr>
            <w:tcW w:w="21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F-44</w:t>
            </w:r>
          </w:p>
        </w:tc>
      </w:tr>
      <w:tr>
        <w:trPr>
          <w:trHeight w:val="61"/>
        </w:trPr>
        <w:tc>
          <w:tcPr>
            <w:tcW w:w="20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CCEEFF"/>
            </w:tcBorders>
            <w:shd w:val="clear" w:color="auto" w:fill="CCEEFF"/>
          </w:tcPr>
          <w:p>
            <w:pPr>
              <w:spacing w:after="0"/>
              <w:rPr>
                <w:sz w:val="5"/>
                <w:szCs w:val="5"/>
                <w:color w:val="auto"/>
              </w:rPr>
            </w:pPr>
          </w:p>
        </w:tc>
        <w:tc>
          <w:tcPr>
            <w:tcW w:w="2140" w:type="dxa"/>
            <w:vAlign w:val="bottom"/>
            <w:tcBorders>
              <w:top w:val="single" w:sz="8" w:color="CCEEFF"/>
            </w:tcBorders>
            <w:shd w:val="clear" w:color="auto" w:fill="CCEEFF"/>
          </w:tcPr>
          <w:p>
            <w:pPr>
              <w:spacing w:after="0"/>
              <w:rPr>
                <w:sz w:val="5"/>
                <w:szCs w:val="5"/>
                <w:color w:val="auto"/>
              </w:rPr>
            </w:pPr>
          </w:p>
        </w:tc>
      </w:tr>
      <w:tr>
        <w:trPr>
          <w:trHeight w:val="203"/>
        </w:trPr>
        <w:tc>
          <w:tcPr>
            <w:tcW w:w="5960" w:type="dxa"/>
            <w:vAlign w:val="bottom"/>
            <w:gridSpan w:val="6"/>
          </w:tcPr>
          <w:p>
            <w:pPr>
              <w:spacing w:after="0" w:line="202" w:lineRule="exact"/>
              <w:rPr>
                <w:rFonts w:ascii="Arial" w:cs="Arial" w:eastAsia="Arial" w:hAnsi="Arial"/>
                <w:sz w:val="18"/>
                <w:szCs w:val="18"/>
                <w:color w:val="0000EE"/>
              </w:rPr>
            </w:pPr>
            <w:hyperlink w:anchor="page223">
              <w:r>
                <w:rPr>
                  <w:rFonts w:ascii="Arial" w:cs="Arial" w:eastAsia="Arial" w:hAnsi="Arial"/>
                  <w:sz w:val="18"/>
                  <w:szCs w:val="18"/>
                  <w:color w:val="0000EE"/>
                </w:rPr>
                <w:t>Consolidated Balance Sheets</w:t>
              </w:r>
            </w:hyperlink>
          </w:p>
        </w:tc>
        <w:tc>
          <w:tcPr>
            <w:tcW w:w="2140" w:type="dxa"/>
            <w:vAlign w:val="bottom"/>
          </w:tcPr>
          <w:p>
            <w:pPr>
              <w:ind w:left="1580"/>
              <w:spacing w:after="0" w:line="202" w:lineRule="exact"/>
              <w:rPr>
                <w:sz w:val="20"/>
                <w:szCs w:val="20"/>
                <w:color w:val="auto"/>
              </w:rPr>
            </w:pPr>
            <w:r>
              <w:rPr>
                <w:rFonts w:ascii="Arial" w:cs="Arial" w:eastAsia="Arial" w:hAnsi="Arial"/>
                <w:sz w:val="18"/>
                <w:szCs w:val="18"/>
                <w:color w:val="auto"/>
              </w:rPr>
              <w:t>F-45</w:t>
            </w:r>
          </w:p>
        </w:tc>
      </w:tr>
      <w:tr>
        <w:trPr>
          <w:trHeight w:val="61"/>
        </w:trPr>
        <w:tc>
          <w:tcPr>
            <w:tcW w:w="208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140" w:type="dxa"/>
            <w:vAlign w:val="bottom"/>
          </w:tcPr>
          <w:p>
            <w:pPr>
              <w:spacing w:after="0"/>
              <w:rPr>
                <w:sz w:val="5"/>
                <w:szCs w:val="5"/>
                <w:color w:val="auto"/>
              </w:rPr>
            </w:pPr>
          </w:p>
        </w:tc>
      </w:tr>
      <w:tr>
        <w:trPr>
          <w:trHeight w:val="203"/>
        </w:trPr>
        <w:tc>
          <w:tcPr>
            <w:tcW w:w="5960" w:type="dxa"/>
            <w:vAlign w:val="bottom"/>
            <w:gridSpan w:val="6"/>
            <w:shd w:val="clear" w:color="auto" w:fill="CCEEFF"/>
          </w:tcPr>
          <w:p>
            <w:pPr>
              <w:spacing w:after="0" w:line="202" w:lineRule="exact"/>
              <w:rPr>
                <w:rFonts w:ascii="Arial" w:cs="Arial" w:eastAsia="Arial" w:hAnsi="Arial"/>
                <w:sz w:val="18"/>
                <w:szCs w:val="18"/>
                <w:color w:val="0000EE"/>
              </w:rPr>
            </w:pPr>
            <w:hyperlink w:anchor="page224">
              <w:r>
                <w:rPr>
                  <w:rFonts w:ascii="Arial" w:cs="Arial" w:eastAsia="Arial" w:hAnsi="Arial"/>
                  <w:sz w:val="18"/>
                  <w:szCs w:val="18"/>
                  <w:color w:val="0000EE"/>
                </w:rPr>
                <w:t>Consolidated Statements of Loss and Comprehensive Loss</w:t>
              </w:r>
            </w:hyperlink>
          </w:p>
        </w:tc>
        <w:tc>
          <w:tcPr>
            <w:tcW w:w="2140" w:type="dxa"/>
            <w:vAlign w:val="bottom"/>
            <w:shd w:val="clear" w:color="auto" w:fill="CCEEFF"/>
          </w:tcPr>
          <w:p>
            <w:pPr>
              <w:ind w:left="1580"/>
              <w:spacing w:after="0" w:line="202" w:lineRule="exact"/>
              <w:rPr>
                <w:sz w:val="20"/>
                <w:szCs w:val="20"/>
                <w:color w:val="auto"/>
              </w:rPr>
            </w:pPr>
            <w:r>
              <w:rPr>
                <w:rFonts w:ascii="Arial" w:cs="Arial" w:eastAsia="Arial" w:hAnsi="Arial"/>
                <w:sz w:val="18"/>
                <w:szCs w:val="18"/>
                <w:color w:val="auto"/>
              </w:rPr>
              <w:t>F-46</w:t>
            </w:r>
          </w:p>
        </w:tc>
      </w:tr>
      <w:tr>
        <w:trPr>
          <w:trHeight w:val="61"/>
        </w:trPr>
        <w:tc>
          <w:tcPr>
            <w:tcW w:w="20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CCEEFF"/>
            </w:tcBorders>
            <w:shd w:val="clear" w:color="auto" w:fill="CCEEFF"/>
          </w:tcPr>
          <w:p>
            <w:pPr>
              <w:spacing w:after="0"/>
              <w:rPr>
                <w:sz w:val="5"/>
                <w:szCs w:val="5"/>
                <w:color w:val="auto"/>
              </w:rPr>
            </w:pPr>
          </w:p>
        </w:tc>
        <w:tc>
          <w:tcPr>
            <w:tcW w:w="2140" w:type="dxa"/>
            <w:vAlign w:val="bottom"/>
            <w:tcBorders>
              <w:top w:val="single" w:sz="8" w:color="CCEEFF"/>
            </w:tcBorders>
            <w:shd w:val="clear" w:color="auto" w:fill="CCEEFF"/>
          </w:tcPr>
          <w:p>
            <w:pPr>
              <w:spacing w:after="0"/>
              <w:rPr>
                <w:sz w:val="5"/>
                <w:szCs w:val="5"/>
                <w:color w:val="auto"/>
              </w:rPr>
            </w:pPr>
          </w:p>
        </w:tc>
      </w:tr>
      <w:tr>
        <w:trPr>
          <w:trHeight w:val="203"/>
        </w:trPr>
        <w:tc>
          <w:tcPr>
            <w:tcW w:w="5960" w:type="dxa"/>
            <w:vAlign w:val="bottom"/>
            <w:gridSpan w:val="6"/>
          </w:tcPr>
          <w:p>
            <w:pPr>
              <w:spacing w:after="0" w:line="202" w:lineRule="exact"/>
              <w:rPr>
                <w:rFonts w:ascii="Arial" w:cs="Arial" w:eastAsia="Arial" w:hAnsi="Arial"/>
                <w:sz w:val="18"/>
                <w:szCs w:val="18"/>
                <w:color w:val="0000EE"/>
              </w:rPr>
            </w:pPr>
            <w:hyperlink w:anchor="page225">
              <w:r>
                <w:rPr>
                  <w:rFonts w:ascii="Arial" w:cs="Arial" w:eastAsia="Arial" w:hAnsi="Arial"/>
                  <w:sz w:val="18"/>
                  <w:szCs w:val="18"/>
                  <w:color w:val="0000EE"/>
                </w:rPr>
                <w:t>Consolidated Statements of Cash Flows</w:t>
              </w:r>
            </w:hyperlink>
          </w:p>
        </w:tc>
        <w:tc>
          <w:tcPr>
            <w:tcW w:w="2140" w:type="dxa"/>
            <w:vAlign w:val="bottom"/>
          </w:tcPr>
          <w:p>
            <w:pPr>
              <w:ind w:left="1580"/>
              <w:spacing w:after="0" w:line="202" w:lineRule="exact"/>
              <w:rPr>
                <w:sz w:val="20"/>
                <w:szCs w:val="20"/>
                <w:color w:val="auto"/>
              </w:rPr>
            </w:pPr>
            <w:r>
              <w:rPr>
                <w:rFonts w:ascii="Arial" w:cs="Arial" w:eastAsia="Arial" w:hAnsi="Arial"/>
                <w:sz w:val="18"/>
                <w:szCs w:val="18"/>
                <w:color w:val="auto"/>
              </w:rPr>
              <w:t>F-47</w:t>
            </w:r>
          </w:p>
        </w:tc>
      </w:tr>
      <w:tr>
        <w:trPr>
          <w:trHeight w:val="61"/>
        </w:trPr>
        <w:tc>
          <w:tcPr>
            <w:tcW w:w="20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140" w:type="dxa"/>
            <w:vAlign w:val="bottom"/>
          </w:tcPr>
          <w:p>
            <w:pPr>
              <w:spacing w:after="0"/>
              <w:rPr>
                <w:sz w:val="5"/>
                <w:szCs w:val="5"/>
                <w:color w:val="auto"/>
              </w:rPr>
            </w:pPr>
          </w:p>
        </w:tc>
      </w:tr>
      <w:tr>
        <w:trPr>
          <w:trHeight w:val="203"/>
        </w:trPr>
        <w:tc>
          <w:tcPr>
            <w:tcW w:w="5960" w:type="dxa"/>
            <w:vAlign w:val="bottom"/>
            <w:gridSpan w:val="6"/>
            <w:shd w:val="clear" w:color="auto" w:fill="CCEEFF"/>
          </w:tcPr>
          <w:p>
            <w:pPr>
              <w:spacing w:after="0" w:line="202" w:lineRule="exact"/>
              <w:rPr>
                <w:rFonts w:ascii="Arial" w:cs="Arial" w:eastAsia="Arial" w:hAnsi="Arial"/>
                <w:sz w:val="18"/>
                <w:szCs w:val="18"/>
                <w:color w:val="0000EE"/>
              </w:rPr>
            </w:pPr>
            <w:hyperlink w:anchor="page226">
              <w:r>
                <w:rPr>
                  <w:rFonts w:ascii="Arial" w:cs="Arial" w:eastAsia="Arial" w:hAnsi="Arial"/>
                  <w:sz w:val="18"/>
                  <w:szCs w:val="18"/>
                  <w:color w:val="0000EE"/>
                </w:rPr>
                <w:t>Consolidated Statements of Changes in Shareholders’ Equity</w:t>
              </w:r>
            </w:hyperlink>
          </w:p>
        </w:tc>
        <w:tc>
          <w:tcPr>
            <w:tcW w:w="2140" w:type="dxa"/>
            <w:vAlign w:val="bottom"/>
            <w:shd w:val="clear" w:color="auto" w:fill="CCEEFF"/>
          </w:tcPr>
          <w:p>
            <w:pPr>
              <w:ind w:left="1580"/>
              <w:spacing w:after="0" w:line="202" w:lineRule="exact"/>
              <w:rPr>
                <w:sz w:val="20"/>
                <w:szCs w:val="20"/>
                <w:color w:val="auto"/>
              </w:rPr>
            </w:pPr>
            <w:r>
              <w:rPr>
                <w:rFonts w:ascii="Arial" w:cs="Arial" w:eastAsia="Arial" w:hAnsi="Arial"/>
                <w:sz w:val="18"/>
                <w:szCs w:val="18"/>
                <w:color w:val="auto"/>
              </w:rPr>
              <w:t>F-48</w:t>
            </w:r>
          </w:p>
        </w:tc>
      </w:tr>
      <w:tr>
        <w:trPr>
          <w:trHeight w:val="61"/>
        </w:trPr>
        <w:tc>
          <w:tcPr>
            <w:tcW w:w="20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560" w:type="dxa"/>
            <w:vAlign w:val="bottom"/>
            <w:tcBorders>
              <w:top w:val="single" w:sz="8" w:color="CCEEFF"/>
            </w:tcBorders>
            <w:shd w:val="clear" w:color="auto" w:fill="CCEEFF"/>
          </w:tcPr>
          <w:p>
            <w:pPr>
              <w:spacing w:after="0"/>
              <w:rPr>
                <w:sz w:val="5"/>
                <w:szCs w:val="5"/>
                <w:color w:val="auto"/>
              </w:rPr>
            </w:pPr>
          </w:p>
        </w:tc>
        <w:tc>
          <w:tcPr>
            <w:tcW w:w="2140" w:type="dxa"/>
            <w:vAlign w:val="bottom"/>
            <w:tcBorders>
              <w:top w:val="single" w:sz="8" w:color="CCEEFF"/>
            </w:tcBorders>
            <w:shd w:val="clear" w:color="auto" w:fill="CCEEFF"/>
          </w:tcPr>
          <w:p>
            <w:pPr>
              <w:spacing w:after="0"/>
              <w:rPr>
                <w:sz w:val="5"/>
                <w:szCs w:val="5"/>
                <w:color w:val="auto"/>
              </w:rPr>
            </w:pPr>
          </w:p>
        </w:tc>
      </w:tr>
      <w:tr>
        <w:trPr>
          <w:trHeight w:val="203"/>
        </w:trPr>
        <w:tc>
          <w:tcPr>
            <w:tcW w:w="5960" w:type="dxa"/>
            <w:vAlign w:val="bottom"/>
            <w:gridSpan w:val="6"/>
          </w:tcPr>
          <w:p>
            <w:pPr>
              <w:spacing w:after="0" w:line="202" w:lineRule="exact"/>
              <w:rPr>
                <w:rFonts w:ascii="Arial" w:cs="Arial" w:eastAsia="Arial" w:hAnsi="Arial"/>
                <w:sz w:val="18"/>
                <w:szCs w:val="18"/>
                <w:color w:val="0000EE"/>
              </w:rPr>
            </w:pPr>
            <w:hyperlink w:anchor="page227">
              <w:r>
                <w:rPr>
                  <w:rFonts w:ascii="Arial" w:cs="Arial" w:eastAsia="Arial" w:hAnsi="Arial"/>
                  <w:sz w:val="18"/>
                  <w:szCs w:val="18"/>
                  <w:color w:val="0000EE"/>
                </w:rPr>
                <w:t>Notes to Consolidated Financial Statements</w:t>
              </w:r>
            </w:hyperlink>
          </w:p>
        </w:tc>
        <w:tc>
          <w:tcPr>
            <w:tcW w:w="2140" w:type="dxa"/>
            <w:vAlign w:val="bottom"/>
          </w:tcPr>
          <w:p>
            <w:pPr>
              <w:ind w:left="1580"/>
              <w:spacing w:after="0" w:line="202" w:lineRule="exact"/>
              <w:rPr>
                <w:sz w:val="20"/>
                <w:szCs w:val="20"/>
                <w:color w:val="auto"/>
              </w:rPr>
            </w:pPr>
            <w:r>
              <w:rPr>
                <w:rFonts w:ascii="Arial" w:cs="Arial" w:eastAsia="Arial" w:hAnsi="Arial"/>
                <w:sz w:val="18"/>
                <w:szCs w:val="18"/>
                <w:color w:val="auto"/>
              </w:rPr>
              <w:t>F-49</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IV. Index to Unaudited Financial Statements of DeepGreen Metals Inc. as of and for the six months ended June 30, 2021 and 2020.</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220" w:type="dxa"/>
            <w:vAlign w:val="bottom"/>
            <w:gridSpan w:val="9"/>
            <w:shd w:val="clear" w:color="auto" w:fill="CCEEFF"/>
          </w:tcPr>
          <w:p>
            <w:pPr>
              <w:spacing w:after="0"/>
              <w:rPr>
                <w:rFonts w:ascii="Arial" w:cs="Arial" w:eastAsia="Arial" w:hAnsi="Arial"/>
                <w:sz w:val="18"/>
                <w:szCs w:val="18"/>
                <w:color w:val="0000EE"/>
              </w:rPr>
            </w:pPr>
            <w:hyperlink w:anchor="page250">
              <w:r>
                <w:rPr>
                  <w:rFonts w:ascii="Arial" w:cs="Arial" w:eastAsia="Arial" w:hAnsi="Arial"/>
                  <w:sz w:val="18"/>
                  <w:szCs w:val="18"/>
                  <w:color w:val="0000EE"/>
                </w:rPr>
                <w:t>Condensed Consolidated Balance Sheets as of June 30, 2021 and December 31, 2020</w:t>
              </w:r>
            </w:hyperlink>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F-72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210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176"/>
        </w:trPr>
        <w:tc>
          <w:tcPr>
            <w:tcW w:w="6900" w:type="dxa"/>
            <w:vAlign w:val="bottom"/>
            <w:tcBorders>
              <w:bottom w:val="single" w:sz="8" w:color="0000EE"/>
            </w:tcBorders>
            <w:gridSpan w:val="8"/>
          </w:tcPr>
          <w:p>
            <w:pPr>
              <w:spacing w:after="0" w:line="176" w:lineRule="exact"/>
              <w:rPr>
                <w:rFonts w:ascii="Arial" w:cs="Arial" w:eastAsia="Arial" w:hAnsi="Arial"/>
                <w:sz w:val="18"/>
                <w:szCs w:val="18"/>
                <w:color w:val="0000EE"/>
                <w:w w:val="89"/>
              </w:rPr>
            </w:pPr>
            <w:hyperlink w:anchor="page251">
              <w:r>
                <w:rPr>
                  <w:rFonts w:ascii="Arial" w:cs="Arial" w:eastAsia="Arial" w:hAnsi="Arial"/>
                  <w:sz w:val="18"/>
                  <w:szCs w:val="18"/>
                  <w:color w:val="0000EE"/>
                  <w:w w:val="89"/>
                </w:rPr>
                <w:t>Condensed Consolidated Statements of Loss and Comprehensive Loss for the six months ended</w:t>
              </w:r>
            </w:hyperlink>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040" w:type="dxa"/>
            <w:vAlign w:val="bottom"/>
            <w:gridSpan w:val="8"/>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June 30, 2021 and 2020</w:t>
              </w:r>
            </w:hyperlink>
          </w:p>
        </w:tc>
        <w:tc>
          <w:tcPr>
            <w:tcW w:w="880" w:type="dxa"/>
            <w:vAlign w:val="bottom"/>
          </w:tcPr>
          <w:p>
            <w:pPr>
              <w:ind w:left="320"/>
              <w:spacing w:after="0" w:line="196" w:lineRule="exact"/>
              <w:rPr>
                <w:sz w:val="20"/>
                <w:szCs w:val="20"/>
                <w:color w:val="auto"/>
              </w:rPr>
            </w:pPr>
            <w:r>
              <w:rPr>
                <w:rFonts w:ascii="Arial" w:cs="Arial" w:eastAsia="Arial" w:hAnsi="Arial"/>
                <w:sz w:val="18"/>
                <w:szCs w:val="18"/>
                <w:color w:val="auto"/>
              </w:rPr>
              <w:t>F-73</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175"/>
        </w:trPr>
        <w:tc>
          <w:tcPr>
            <w:tcW w:w="7220" w:type="dxa"/>
            <w:vAlign w:val="bottom"/>
            <w:gridSpan w:val="9"/>
            <w:shd w:val="clear" w:color="auto" w:fill="CCEEFF"/>
          </w:tcPr>
          <w:p>
            <w:pPr>
              <w:spacing w:after="0" w:line="176" w:lineRule="exact"/>
              <w:rPr>
                <w:rFonts w:ascii="Arial" w:cs="Arial" w:eastAsia="Arial" w:hAnsi="Arial"/>
                <w:sz w:val="18"/>
                <w:szCs w:val="18"/>
                <w:color w:val="0000EE"/>
                <w:w w:val="93"/>
              </w:rPr>
            </w:pPr>
            <w:hyperlink w:anchor="page252">
              <w:r>
                <w:rPr>
                  <w:rFonts w:ascii="Arial" w:cs="Arial" w:eastAsia="Arial" w:hAnsi="Arial"/>
                  <w:sz w:val="18"/>
                  <w:szCs w:val="18"/>
                  <w:color w:val="0000EE"/>
                  <w:w w:val="93"/>
                </w:rPr>
                <w:t>Condensed Consolidated Statements of Cash Flows for the six months ended June 30, 2021 and</w:t>
              </w:r>
            </w:hyperlink>
          </w:p>
        </w:tc>
        <w:tc>
          <w:tcPr>
            <w:tcW w:w="880" w:type="dxa"/>
            <w:vAlign w:val="bottom"/>
            <w:shd w:val="clear" w:color="auto" w:fill="CCEEFF"/>
          </w:tcPr>
          <w:p>
            <w:pPr>
              <w:spacing w:after="0"/>
              <w:rPr>
                <w:sz w:val="15"/>
                <w:szCs w:val="15"/>
                <w:color w:val="auto"/>
              </w:rPr>
            </w:pPr>
          </w:p>
        </w:tc>
      </w:tr>
      <w:tr>
        <w:trPr>
          <w:trHeight w:val="196"/>
        </w:trPr>
        <w:tc>
          <w:tcPr>
            <w:tcW w:w="1880" w:type="dxa"/>
            <w:vAlign w:val="bottom"/>
            <w:tcBorders>
              <w:top w:val="single" w:sz="8" w:color="0000EE"/>
            </w:tcBorders>
            <w:gridSpan w:val="3"/>
            <w:shd w:val="clear" w:color="auto" w:fill="CCEEFF"/>
          </w:tcPr>
          <w:p>
            <w:pPr>
              <w:ind w:left="180"/>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2020</w:t>
              </w:r>
            </w:hyperlink>
          </w:p>
        </w:tc>
        <w:tc>
          <w:tcPr>
            <w:tcW w:w="2100" w:type="dxa"/>
            <w:vAlign w:val="bottom"/>
            <w:tcBorders>
              <w:top w:val="single" w:sz="8" w:color="0000EE"/>
            </w:tcBorders>
            <w:shd w:val="clear" w:color="auto" w:fill="CCEEFF"/>
          </w:tcPr>
          <w:p>
            <w:pPr>
              <w:spacing w:after="0"/>
              <w:rPr>
                <w:sz w:val="17"/>
                <w:szCs w:val="17"/>
                <w:color w:val="auto"/>
              </w:rPr>
            </w:pPr>
          </w:p>
        </w:tc>
        <w:tc>
          <w:tcPr>
            <w:tcW w:w="126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7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F-74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203"/>
        </w:trPr>
        <w:tc>
          <w:tcPr>
            <w:tcW w:w="7220" w:type="dxa"/>
            <w:vAlign w:val="bottom"/>
            <w:gridSpan w:val="9"/>
          </w:tcPr>
          <w:p>
            <w:pPr>
              <w:spacing w:after="0" w:line="202" w:lineRule="exact"/>
              <w:rPr>
                <w:rFonts w:ascii="Arial" w:cs="Arial" w:eastAsia="Arial" w:hAnsi="Arial"/>
                <w:sz w:val="18"/>
                <w:szCs w:val="18"/>
                <w:color w:val="0000EE"/>
              </w:rPr>
            </w:pPr>
            <w:hyperlink w:anchor="page253">
              <w:r>
                <w:rPr>
                  <w:rFonts w:ascii="Arial" w:cs="Arial" w:eastAsia="Arial" w:hAnsi="Arial"/>
                  <w:sz w:val="18"/>
                  <w:szCs w:val="18"/>
                  <w:color w:val="0000EE"/>
                </w:rPr>
                <w:t>Condensed Consolidated Statements of Changes in Shareholders’ Equity</w:t>
              </w:r>
            </w:hyperlink>
          </w:p>
        </w:tc>
        <w:tc>
          <w:tcPr>
            <w:tcW w:w="880" w:type="dxa"/>
            <w:vAlign w:val="bottom"/>
          </w:tcPr>
          <w:p>
            <w:pPr>
              <w:ind w:left="320"/>
              <w:spacing w:after="0" w:line="202" w:lineRule="exact"/>
              <w:rPr>
                <w:sz w:val="20"/>
                <w:szCs w:val="20"/>
                <w:color w:val="auto"/>
              </w:rPr>
            </w:pPr>
            <w:r>
              <w:rPr>
                <w:rFonts w:ascii="Arial" w:cs="Arial" w:eastAsia="Arial" w:hAnsi="Arial"/>
                <w:sz w:val="18"/>
                <w:szCs w:val="18"/>
                <w:color w:val="auto"/>
              </w:rPr>
              <w:t>F-75</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10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03"/>
        </w:trPr>
        <w:tc>
          <w:tcPr>
            <w:tcW w:w="7220" w:type="dxa"/>
            <w:vAlign w:val="bottom"/>
            <w:gridSpan w:val="9"/>
            <w:shd w:val="clear" w:color="auto" w:fill="CCEEFF"/>
          </w:tcPr>
          <w:p>
            <w:pPr>
              <w:spacing w:after="0" w:line="202" w:lineRule="exact"/>
              <w:rPr>
                <w:rFonts w:ascii="Arial" w:cs="Arial" w:eastAsia="Arial" w:hAnsi="Arial"/>
                <w:sz w:val="18"/>
                <w:szCs w:val="18"/>
                <w:color w:val="0000EE"/>
              </w:rPr>
            </w:pPr>
            <w:hyperlink w:anchor="page254">
              <w:r>
                <w:rPr>
                  <w:rFonts w:ascii="Arial" w:cs="Arial" w:eastAsia="Arial" w:hAnsi="Arial"/>
                  <w:sz w:val="18"/>
                  <w:szCs w:val="18"/>
                  <w:color w:val="0000EE"/>
                </w:rPr>
                <w:t>Notes to Condensed Consolidated Financial Statements</w:t>
              </w:r>
            </w:hyperlink>
          </w:p>
        </w:tc>
        <w:tc>
          <w:tcPr>
            <w:tcW w:w="8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F-76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210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391"/>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6"/>
          </w:tcPr>
          <w:p>
            <w:pPr>
              <w:ind w:left="2040"/>
              <w:spacing w:after="0"/>
              <w:rPr>
                <w:sz w:val="20"/>
                <w:szCs w:val="20"/>
                <w:color w:val="auto"/>
              </w:rPr>
            </w:pPr>
            <w:r>
              <w:rPr>
                <w:rFonts w:ascii="Arial" w:cs="Arial" w:eastAsia="Arial" w:hAnsi="Arial"/>
                <w:sz w:val="18"/>
                <w:szCs w:val="18"/>
                <w:color w:val="auto"/>
              </w:rPr>
              <w:t>F-1</w:t>
            </w: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79" w:name="page180"/>
    <w:bookmarkEnd w:id="17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151765</wp:posOffset>
            </wp:positionV>
            <wp:extent cx="1268730" cy="3257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687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Shareholders and Board of Directors of</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Sustainable Opportunities Acquisition Corp.</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Opinion on the Financial Statements</w:t>
      </w:r>
    </w:p>
    <w:p>
      <w:pPr>
        <w:spacing w:after="0" w:line="13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6"/>
          <w:szCs w:val="16"/>
          <w:color w:val="auto"/>
        </w:rPr>
        <w:t>We have audited the accompanying balance sheets of Sustainable Opportunities Acquisition Corp. (the “Company”) as of December 31, 2020 and 2019, the related statements of operations, changes in shareholders’ equity and cash flows for the year ended December 31, 2020 and for the period from December 18,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 ended December 31, 2020 and for the period from December 18, 2019 (inception) through December 31, 2019, in conformity with accounting principles generally accepted in the United States of America.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Restatement of the 2020 Financial Statements</w:t>
      </w:r>
    </w:p>
    <w:p>
      <w:pPr>
        <w:spacing w:after="0" w:line="131"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As discussed in Note 2 to the financial statements, the accompanying financial statements as of December 31, 2020 and for the year then ended have been restated.</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Explanatory Paragraph — Going Concern</w:t>
      </w:r>
    </w:p>
    <w:p>
      <w:pPr>
        <w:spacing w:after="0" w:line="131"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discussed in Note 1 to the financial statements, the Company’s business plan is dependent on the completion of a business combination by November 8, 2021, and the Company’s cash and working capital as of December 31, 2020 are not sufficient to complete its planned activities which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Basis for Opinion</w:t>
      </w:r>
    </w:p>
    <w:p>
      <w:pPr>
        <w:spacing w:after="0" w:line="131"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8" w:lineRule="exact"/>
        <w:rPr>
          <w:sz w:val="20"/>
          <w:szCs w:val="20"/>
          <w:color w:val="auto"/>
        </w:rPr>
      </w:pPr>
    </w:p>
    <w:p>
      <w:pPr>
        <w:ind w:left="460" w:right="599" w:firstLine="432"/>
        <w:spacing w:after="0" w:line="318"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83185</wp:posOffset>
            </wp:positionV>
            <wp:extent cx="908685"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08685" cy="1797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Marcum LLP</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served as the Company’s auditor from 2019 to 2021.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Philadelphia, PA</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March 30, 2021, except for the effects of the restatement discussed in Notes 2, 3 and 7 as to which the date is May 24, 2021</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0" w:name="page181"/>
    <w:bookmarkEnd w:id="18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(As Restated)</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1,299,301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209,784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1,509,085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300,069,135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associated with initial public offering</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103,660</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6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301,578,220</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119,621</w:t>
            </w:r>
          </w:p>
        </w:tc>
        <w:tc>
          <w:tcPr>
            <w:tcW w:w="0" w:type="dxa"/>
            <w:vAlign w:val="bottom"/>
          </w:tcPr>
          <w:p>
            <w:pPr>
              <w:spacing w:after="0"/>
              <w:rPr>
                <w:sz w:val="1"/>
                <w:szCs w:val="1"/>
                <w:color w:val="auto"/>
              </w:rPr>
            </w:pPr>
          </w:p>
        </w:tc>
      </w:tr>
      <w:tr>
        <w:trPr>
          <w:trHeight w:val="270"/>
        </w:trPr>
        <w:tc>
          <w:tcPr>
            <w:tcW w:w="56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34,298</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23,060</w:t>
            </w:r>
          </w:p>
        </w:tc>
        <w:tc>
          <w:tcPr>
            <w:tcW w:w="0" w:type="dxa"/>
            <w:vAlign w:val="bottom"/>
          </w:tcPr>
          <w:p>
            <w:pPr>
              <w:spacing w:after="0"/>
              <w:rPr>
                <w:sz w:val="1"/>
                <w:szCs w:val="1"/>
                <w:color w:val="auto"/>
              </w:rPr>
            </w:pPr>
          </w:p>
        </w:tc>
      </w:tr>
      <w:tr>
        <w:trPr>
          <w:trHeight w:val="41"/>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1,846,704</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80,600</w:t>
            </w:r>
          </w:p>
        </w:tc>
        <w:tc>
          <w:tcPr>
            <w:tcW w:w="0" w:type="dxa"/>
            <w:vAlign w:val="bottom"/>
          </w:tcPr>
          <w:p>
            <w:pPr>
              <w:spacing w:after="0"/>
              <w:rPr>
                <w:sz w:val="1"/>
                <w:szCs w:val="1"/>
                <w:color w:val="auto"/>
              </w:rPr>
            </w:pPr>
          </w:p>
        </w:tc>
      </w:tr>
      <w:tr>
        <w:trPr>
          <w:trHeight w:val="224"/>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1,881,002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56,930,000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10,500,000</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69,311,002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w w:val="99"/>
              </w:rPr>
              <w:t>Class A ordinary shares, $0.0001 par value; 22,726,721 and -0- shares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w w:val="92"/>
              </w:rPr>
              <w:t>subject to possible redemption at $10.00 per share at December 31, 2020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and December 31, 2019, respectively</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227,267,210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Preference shares, $0.0001 par value; 1,000,000 shares authorized; none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issued and outstanding</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w w:val="92"/>
              </w:rPr>
              <w:t>Class A ordinary shares, $0.0001 par value; 300,000,000 shares authorized;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w w:val="95"/>
              </w:rPr>
              <w:t>7,273,279 and -0- shares issued and outstanding (excluding 22,726,721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w w:val="92"/>
              </w:rPr>
              <w:t>and -0- shares subject to possible redemption) at December 31, 2020 and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December 31, 2019, respectively</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B ordinary shares, $0.0001 par value; 30,000,000 shares authorized;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7,500,000 shares issued and outstanding at December 31, 2020 and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8,625,000 shares issued and outstanding at December 31, 2019,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41,549,625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24,137</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(36,551,094)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5,000,008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301,578,220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119,621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1" w:name="page182"/>
    <w:bookmarkEnd w:id="18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December 18,</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For the Year</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1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0"/>
              </w:rPr>
              <w:t>(inception) to</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(As Restated)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2,923,654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General and administrative expenses – related party</w:t>
            </w:r>
          </w:p>
        </w:tc>
        <w:tc>
          <w:tcPr>
            <w:tcW w:w="10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(3,003,654)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Change in fair value of the warrant liability</w:t>
            </w:r>
          </w:p>
        </w:tc>
        <w:tc>
          <w:tcPr>
            <w:tcW w:w="10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w w:val="94"/>
              </w:rPr>
              <w:t>(32,730,000)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allocated to derivative warrant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(877,647)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Net gain on investments held in Trust Account</w:t>
            </w:r>
          </w:p>
        </w:tc>
        <w:tc>
          <w:tcPr>
            <w:tcW w:w="10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69,135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earned</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(36,542,055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Weighted average shares outstanding subject to possible redemption,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10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25,440,915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560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w w:val="97"/>
              </w:rPr>
              <w:t>Basic and diluted net income per share, shares subject to possible</w:t>
            </w: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redemption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w w:val="99"/>
              </w:rPr>
              <w:t>Weighted average ordinary shares outstanding, basic and diluted</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10,464,651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8,625,000</w:t>
            </w:r>
          </w:p>
        </w:tc>
        <w:tc>
          <w:tcPr>
            <w:tcW w:w="0" w:type="dxa"/>
            <w:vAlign w:val="bottom"/>
          </w:tcPr>
          <w:p>
            <w:pPr>
              <w:spacing w:after="0"/>
              <w:rPr>
                <w:sz w:val="1"/>
                <w:szCs w:val="1"/>
                <w:color w:val="auto"/>
              </w:rPr>
            </w:pPr>
          </w:p>
        </w:tc>
      </w:tr>
      <w:tr>
        <w:trPr>
          <w:trHeight w:val="217"/>
        </w:trPr>
        <w:tc>
          <w:tcPr>
            <w:tcW w:w="5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Basic and diluted net loss per share, Non-redeemable shares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2" w:name="page183"/>
    <w:bookmarkEnd w:id="18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SHAREHOLDERS’ EQUITY (As Restated)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Ordinary Shares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00" w:type="dxa"/>
            <w:vAlign w:val="bottom"/>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4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Class A</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Class B</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3"/>
        </w:trPr>
        <w:tc>
          <w:tcPr>
            <w:tcW w:w="14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5"/>
                <w:szCs w:val="5"/>
                <w:color w:val="auto"/>
              </w:rPr>
            </w:pPr>
          </w:p>
        </w:tc>
        <w:tc>
          <w:tcPr>
            <w:tcW w:w="94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1400" w:type="dxa"/>
            <w:vAlign w:val="bottom"/>
          </w:tcPr>
          <w:p>
            <w:pPr>
              <w:spacing w:after="0"/>
              <w:rPr>
                <w:sz w:val="5"/>
                <w:szCs w:val="5"/>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5"/>
                <w:szCs w:val="5"/>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5"/>
                <w:szCs w:val="5"/>
                <w:color w:val="auto"/>
              </w:rPr>
            </w:pP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December 31,</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2019</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8,625,000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24,137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(9,039)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15,961</w:t>
            </w:r>
          </w:p>
        </w:tc>
        <w:tc>
          <w:tcPr>
            <w:tcW w:w="0" w:type="dxa"/>
            <w:vAlign w:val="bottom"/>
          </w:tcPr>
          <w:p>
            <w:pPr>
              <w:spacing w:after="0"/>
              <w:rPr>
                <w:sz w:val="1"/>
                <w:szCs w:val="1"/>
                <w:color w:val="auto"/>
              </w:rPr>
            </w:pPr>
          </w:p>
        </w:tc>
      </w:tr>
      <w:tr>
        <w:trPr>
          <w:trHeight w:val="193"/>
        </w:trPr>
        <w:tc>
          <w:tcPr>
            <w:tcW w:w="1400" w:type="dxa"/>
            <w:vAlign w:val="bottom"/>
          </w:tcPr>
          <w:p>
            <w:pPr>
              <w:spacing w:after="0"/>
              <w:rPr>
                <w:sz w:val="20"/>
                <w:szCs w:val="20"/>
                <w:color w:val="auto"/>
              </w:rPr>
            </w:pPr>
            <w:r>
              <w:rPr>
                <w:rFonts w:ascii="Arial" w:cs="Arial" w:eastAsia="Arial" w:hAnsi="Arial"/>
                <w:sz w:val="16"/>
                <w:szCs w:val="16"/>
                <w:color w:val="auto"/>
              </w:rPr>
              <w:t>Sale of units in</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180"/>
              <w:spacing w:after="0"/>
              <w:rPr>
                <w:sz w:val="20"/>
                <w:szCs w:val="20"/>
                <w:color w:val="auto"/>
              </w:rPr>
            </w:pPr>
            <w:r>
              <w:rPr>
                <w:rFonts w:ascii="Arial" w:cs="Arial" w:eastAsia="Arial" w:hAnsi="Arial"/>
                <w:sz w:val="16"/>
                <w:szCs w:val="16"/>
                <w:color w:val="auto"/>
              </w:rPr>
              <w:t>initial public</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180"/>
              <w:spacing w:after="0"/>
              <w:rPr>
                <w:sz w:val="20"/>
                <w:szCs w:val="20"/>
                <w:color w:val="auto"/>
              </w:rPr>
            </w:pPr>
            <w:r>
              <w:rPr>
                <w:rFonts w:ascii="Arial" w:cs="Arial" w:eastAsia="Arial" w:hAnsi="Arial"/>
                <w:sz w:val="16"/>
                <w:szCs w:val="16"/>
                <w:color w:val="auto"/>
              </w:rPr>
              <w:t>offering, less fair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180"/>
              <w:spacing w:after="0"/>
              <w:rPr>
                <w:sz w:val="20"/>
                <w:szCs w:val="20"/>
                <w:color w:val="auto"/>
              </w:rPr>
            </w:pPr>
            <w:r>
              <w:rPr>
                <w:rFonts w:ascii="Arial" w:cs="Arial" w:eastAsia="Arial" w:hAnsi="Arial"/>
                <w:sz w:val="16"/>
                <w:szCs w:val="16"/>
                <w:color w:val="auto"/>
              </w:rPr>
              <w:t>value of Public</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0" w:type="dxa"/>
            <w:vAlign w:val="bottom"/>
          </w:tcPr>
          <w:p>
            <w:pPr>
              <w:ind w:left="180"/>
              <w:spacing w:after="0"/>
              <w:rPr>
                <w:sz w:val="20"/>
                <w:szCs w:val="20"/>
                <w:color w:val="auto"/>
              </w:rPr>
            </w:pPr>
            <w:r>
              <w:rPr>
                <w:rFonts w:ascii="Arial" w:cs="Arial" w:eastAsia="Arial" w:hAnsi="Arial"/>
                <w:sz w:val="16"/>
                <w:szCs w:val="16"/>
                <w:color w:val="auto"/>
              </w:rPr>
              <w:t>Warrant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30,000,000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285,297,000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285,300,000</w:t>
            </w:r>
          </w:p>
        </w:tc>
        <w:tc>
          <w:tcPr>
            <w:tcW w:w="0" w:type="dxa"/>
            <w:vAlign w:val="bottom"/>
          </w:tcPr>
          <w:p>
            <w:pPr>
              <w:spacing w:after="0"/>
              <w:rPr>
                <w:sz w:val="1"/>
                <w:szCs w:val="1"/>
                <w:color w:val="auto"/>
              </w:rPr>
            </w:pPr>
          </w:p>
        </w:tc>
      </w:tr>
      <w:tr>
        <w:trPr>
          <w:trHeight w:val="47"/>
        </w:trPr>
        <w:tc>
          <w:tcPr>
            <w:tcW w:w="1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Forfeiture of</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ordinary</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(1,125,000)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r>
              <w:rPr>
                <w:rFonts w:ascii="Arial" w:cs="Arial" w:eastAsia="Arial" w:hAnsi="Arial"/>
                <w:sz w:val="16"/>
                <w:szCs w:val="16"/>
                <w:color w:val="auto"/>
              </w:rPr>
              <w:t>Offering costs</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(16,506,688)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(16,506,688)</w:t>
            </w:r>
          </w:p>
        </w:tc>
        <w:tc>
          <w:tcPr>
            <w:tcW w:w="0" w:type="dxa"/>
            <w:vAlign w:val="bottom"/>
          </w:tcPr>
          <w:p>
            <w:pPr>
              <w:spacing w:after="0"/>
              <w:rPr>
                <w:sz w:val="1"/>
                <w:szCs w:val="1"/>
                <w:color w:val="auto"/>
              </w:rPr>
            </w:pPr>
          </w:p>
        </w:tc>
      </w:tr>
      <w:tr>
        <w:trPr>
          <w:trHeight w:val="46"/>
        </w:trPr>
        <w:tc>
          <w:tcPr>
            <w:tcW w:w="1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Ordinary shares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subject to</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possible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(22,726,721)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(2,273)</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(227,264,937)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(227,267,210)</w:t>
            </w: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0"/>
                <w:szCs w:val="20"/>
                <w:color w:val="auto"/>
              </w:rPr>
            </w:pPr>
            <w:r>
              <w:rPr>
                <w:rFonts w:ascii="Arial" w:cs="Arial" w:eastAsia="Arial" w:hAnsi="Arial"/>
                <w:sz w:val="16"/>
                <w:szCs w:val="16"/>
                <w:color w:val="auto"/>
              </w:rPr>
              <w:t>Net loss</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(36,542,055)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(36,542,055)</w:t>
            </w:r>
          </w:p>
        </w:tc>
        <w:tc>
          <w:tcPr>
            <w:tcW w:w="0" w:type="dxa"/>
            <w:vAlign w:val="bottom"/>
          </w:tcPr>
          <w:p>
            <w:pPr>
              <w:spacing w:after="0"/>
              <w:rPr>
                <w:sz w:val="1"/>
                <w:szCs w:val="1"/>
                <w:color w:val="auto"/>
              </w:rPr>
            </w:pPr>
          </w:p>
        </w:tc>
      </w:tr>
      <w:tr>
        <w:trPr>
          <w:trHeight w:val="33"/>
        </w:trPr>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December 31,</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7,273,279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7,500,000</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41,549,624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4"/>
              </w:rPr>
              <w:t>(36,551,094)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5,000,008</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December 18, 2019 (inception) to December 31, 2019</w:t>
      </w: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20" w:type="dxa"/>
            <w:vAlign w:val="bottom"/>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1040" w:type="dxa"/>
            <w:vAlign w:val="bottom"/>
            <w:gridSpan w:val="4"/>
          </w:tcPr>
          <w:p>
            <w:pPr>
              <w:ind w:left="540"/>
              <w:spacing w:after="0"/>
              <w:rPr>
                <w:sz w:val="20"/>
                <w:szCs w:val="20"/>
                <w:color w:val="auto"/>
              </w:rPr>
            </w:pPr>
            <w:r>
              <w:rPr>
                <w:rFonts w:ascii="Arial" w:cs="Arial" w:eastAsia="Arial" w:hAnsi="Arial"/>
                <w:sz w:val="14"/>
                <w:szCs w:val="14"/>
                <w:b w:val="1"/>
                <w:bCs w:val="1"/>
                <w:color w:val="auto"/>
                <w:w w:val="93"/>
              </w:rPr>
              <w:t>Class A</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3"/>
        </w:trPr>
        <w:tc>
          <w:tcPr>
            <w:tcW w:w="17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96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5"/>
                <w:szCs w:val="5"/>
                <w:color w:val="auto"/>
              </w:rPr>
            </w:pPr>
          </w:p>
        </w:tc>
        <w:tc>
          <w:tcPr>
            <w:tcW w:w="10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172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6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17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 December</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18, 2019 (Inception)</w:t>
            </w:r>
          </w:p>
        </w:tc>
        <w:tc>
          <w:tcPr>
            <w:tcW w:w="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 $</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 $</w:t>
            </w:r>
          </w:p>
        </w:tc>
        <w:tc>
          <w:tcPr>
            <w:tcW w:w="110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 $</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3"/>
        </w:trPr>
        <w:tc>
          <w:tcPr>
            <w:tcW w:w="2300" w:type="dxa"/>
            <w:vAlign w:val="bottom"/>
            <w:gridSpan w:val="2"/>
          </w:tcPr>
          <w:p>
            <w:pPr>
              <w:spacing w:after="0"/>
              <w:rPr>
                <w:sz w:val="20"/>
                <w:szCs w:val="20"/>
                <w:color w:val="auto"/>
              </w:rPr>
            </w:pPr>
            <w:r>
              <w:rPr>
                <w:rFonts w:ascii="Arial" w:cs="Arial" w:eastAsia="Arial" w:hAnsi="Arial"/>
                <w:sz w:val="16"/>
                <w:szCs w:val="16"/>
                <w:color w:val="auto"/>
              </w:rPr>
              <w:t>Issuance of Class B</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ordinary shares to</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Sponsor</w:t>
            </w:r>
          </w:p>
        </w:tc>
        <w:tc>
          <w:tcPr>
            <w:tcW w:w="460" w:type="dxa"/>
            <w:vAlign w:val="bottom"/>
            <w:gridSpan w:val="3"/>
          </w:tcPr>
          <w:p>
            <w:pPr>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8,625,000</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24,137</w:t>
            </w:r>
          </w:p>
        </w:tc>
        <w:tc>
          <w:tcPr>
            <w:tcW w:w="16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(9,039)</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(9,039)</w:t>
            </w:r>
          </w:p>
        </w:tc>
        <w:tc>
          <w:tcPr>
            <w:tcW w:w="0" w:type="dxa"/>
            <w:vAlign w:val="bottom"/>
          </w:tcPr>
          <w:p>
            <w:pPr>
              <w:spacing w:after="0"/>
              <w:rPr>
                <w:sz w:val="1"/>
                <w:szCs w:val="1"/>
                <w:color w:val="auto"/>
              </w:rPr>
            </w:pPr>
          </w:p>
        </w:tc>
      </w:tr>
      <w:tr>
        <w:trPr>
          <w:trHeight w:val="169"/>
        </w:trPr>
        <w:tc>
          <w:tcPr>
            <w:tcW w:w="1720" w:type="dxa"/>
            <w:vAlign w:val="bottom"/>
          </w:tcPr>
          <w:p>
            <w:pPr>
              <w:spacing w:after="0" w:line="169" w:lineRule="exact"/>
              <w:rPr>
                <w:sz w:val="20"/>
                <w:szCs w:val="20"/>
                <w:color w:val="auto"/>
              </w:rPr>
            </w:pPr>
            <w:r>
              <w:rPr>
                <w:rFonts w:ascii="Arial" w:cs="Arial" w:eastAsia="Arial" w:hAnsi="Arial"/>
                <w:sz w:val="16"/>
                <w:szCs w:val="16"/>
                <w:b w:val="1"/>
                <w:bCs w:val="1"/>
                <w:color w:val="auto"/>
              </w:rPr>
              <w:t>Balance – December</w:t>
            </w: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180"/>
              <w:spacing w:after="0"/>
              <w:rPr>
                <w:sz w:val="20"/>
                <w:szCs w:val="20"/>
                <w:color w:val="auto"/>
              </w:rPr>
            </w:pPr>
            <w:r>
              <w:rPr>
                <w:rFonts w:ascii="Arial" w:cs="Arial" w:eastAsia="Arial" w:hAnsi="Arial"/>
                <w:sz w:val="16"/>
                <w:szCs w:val="16"/>
                <w:b w:val="1"/>
                <w:bCs w:val="1"/>
                <w:color w:val="auto"/>
              </w:rPr>
              <w:t>31, 2019</w:t>
            </w:r>
          </w:p>
        </w:tc>
        <w:tc>
          <w:tcPr>
            <w:tcW w:w="580" w:type="dxa"/>
            <w:vAlign w:val="bottom"/>
          </w:tcPr>
          <w:p>
            <w:pPr>
              <w:spacing w:after="0"/>
              <w:rPr>
                <w:sz w:val="20"/>
                <w:szCs w:val="20"/>
                <w:color w:val="auto"/>
              </w:rPr>
            </w:pPr>
          </w:p>
        </w:tc>
        <w:tc>
          <w:tcPr>
            <w:tcW w:w="460" w:type="dxa"/>
            <w:vAlign w:val="bottom"/>
            <w:gridSpan w:val="3"/>
          </w:tcPr>
          <w:p>
            <w:pPr>
              <w:spacing w:after="0"/>
              <w:rPr>
                <w:sz w:val="20"/>
                <w:szCs w:val="20"/>
                <w:color w:val="auto"/>
              </w:rPr>
            </w:pPr>
            <w:r>
              <w:rPr>
                <w:rFonts w:ascii="Arial" w:cs="Arial" w:eastAsia="Arial" w:hAnsi="Arial"/>
                <w:sz w:val="16"/>
                <w:szCs w:val="16"/>
                <w:b w:val="1"/>
                <w:bCs w:val="1"/>
                <w:color w:val="auto"/>
              </w:rPr>
              <w:t>— $</w:t>
            </w:r>
          </w:p>
        </w:tc>
        <w:tc>
          <w:tcPr>
            <w:tcW w:w="600" w:type="dxa"/>
            <w:vAlign w:val="bottom"/>
            <w:gridSpan w:val="2"/>
          </w:tcPr>
          <w:p>
            <w:pPr>
              <w:ind w:left="36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8,625,000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863</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24,137</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(9,039)</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15,961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3" w:name="page184"/>
    <w:bookmarkEnd w:id="18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6"/>
              <w:spacing w:after="0"/>
              <w:rPr>
                <w:sz w:val="20"/>
                <w:szCs w:val="20"/>
                <w:color w:val="auto"/>
              </w:rPr>
            </w:pPr>
            <w:r>
              <w:rPr>
                <w:rFonts w:ascii="Arial" w:cs="Arial" w:eastAsia="Arial" w:hAnsi="Arial"/>
                <w:sz w:val="16"/>
                <w:szCs w:val="16"/>
                <w:b w:val="1"/>
                <w:bCs w:val="1"/>
                <w:color w:val="auto"/>
                <w:w w:val="95"/>
              </w:rPr>
              <w:t>For the</w:t>
            </w:r>
          </w:p>
        </w:tc>
      </w:tr>
      <w:tr>
        <w:trPr>
          <w:trHeight w:val="203"/>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6"/>
              <w:spacing w:after="0"/>
              <w:rPr>
                <w:sz w:val="20"/>
                <w:szCs w:val="20"/>
                <w:color w:val="auto"/>
              </w:rPr>
            </w:pPr>
            <w:r>
              <w:rPr>
                <w:rFonts w:ascii="Arial" w:cs="Arial" w:eastAsia="Arial" w:hAnsi="Arial"/>
                <w:sz w:val="16"/>
                <w:szCs w:val="16"/>
                <w:b w:val="1"/>
                <w:bCs w:val="1"/>
                <w:color w:val="auto"/>
                <w:w w:val="92"/>
              </w:rPr>
              <w:t>December 18,</w:t>
            </w:r>
          </w:p>
        </w:tc>
      </w:tr>
      <w:tr>
        <w:trPr>
          <w:trHeight w:val="203"/>
        </w:trPr>
        <w:tc>
          <w:tcPr>
            <w:tcW w:w="55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For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6"/>
              <w:spacing w:after="0"/>
              <w:rPr>
                <w:sz w:val="20"/>
                <w:szCs w:val="20"/>
                <w:color w:val="auto"/>
              </w:rPr>
            </w:pPr>
            <w:r>
              <w:rPr>
                <w:rFonts w:ascii="Arial" w:cs="Arial" w:eastAsia="Arial" w:hAnsi="Arial"/>
                <w:sz w:val="16"/>
                <w:szCs w:val="16"/>
                <w:b w:val="1"/>
                <w:bCs w:val="1"/>
                <w:color w:val="auto"/>
                <w:w w:val="89"/>
              </w:rPr>
              <w:t>2019</w:t>
            </w:r>
          </w:p>
        </w:tc>
      </w:tr>
      <w:tr>
        <w:trPr>
          <w:trHeight w:val="203"/>
        </w:trPr>
        <w:tc>
          <w:tcPr>
            <w:tcW w:w="55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(inception) to</w:t>
            </w:r>
          </w:p>
        </w:tc>
      </w:tr>
      <w:tr>
        <w:trPr>
          <w:trHeight w:val="203"/>
        </w:trPr>
        <w:tc>
          <w:tcPr>
            <w:tcW w:w="55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5"/>
              </w:rPr>
              <w:t>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2019</w:t>
            </w:r>
          </w:p>
        </w:tc>
      </w:tr>
      <w:tr>
        <w:trPr>
          <w:trHeight w:val="46"/>
        </w:trPr>
        <w:tc>
          <w:tcPr>
            <w:tcW w:w="55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1"/>
        </w:trPr>
        <w:tc>
          <w:tcPr>
            <w:tcW w:w="55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(As Restated)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
        </w:trPr>
        <w:tc>
          <w:tcPr>
            <w:tcW w:w="55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jc w:val="right"/>
              <w:spacing w:after="0"/>
              <w:rPr>
                <w:sz w:val="20"/>
                <w:szCs w:val="20"/>
                <w:color w:val="auto"/>
              </w:rPr>
            </w:pPr>
            <w:r>
              <w:rPr>
                <w:rFonts w:ascii="Arial" w:cs="Arial" w:eastAsia="Arial" w:hAnsi="Arial"/>
                <w:sz w:val="18"/>
                <w:szCs w:val="18"/>
                <w:color w:val="auto"/>
                <w:w w:val="94"/>
              </w:rPr>
              <w:t>$  (36,542,055)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(9,039)</w:t>
            </w:r>
          </w:p>
        </w:tc>
      </w:tr>
      <w:tr>
        <w:trPr>
          <w:trHeight w:val="41"/>
        </w:trPr>
        <w:tc>
          <w:tcPr>
            <w:tcW w:w="5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Adjustments to reconcile net loss to net cash used in operating activities:</w:t>
            </w: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Change in fair value of derivative warrant liability</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32,730,000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allocated to derivative warrant liabilities</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877,647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02"/>
        </w:trPr>
        <w:tc>
          <w:tcPr>
            <w:tcW w:w="5520" w:type="dxa"/>
            <w:vAlign w:val="bottom"/>
          </w:tcPr>
          <w:p>
            <w:pPr>
              <w:ind w:left="180"/>
              <w:spacing w:after="0" w:line="201" w:lineRule="exact"/>
              <w:rPr>
                <w:sz w:val="20"/>
                <w:szCs w:val="20"/>
                <w:color w:val="auto"/>
              </w:rPr>
            </w:pPr>
            <w:r>
              <w:rPr>
                <w:rFonts w:ascii="Arial" w:cs="Arial" w:eastAsia="Arial" w:hAnsi="Arial"/>
                <w:sz w:val="18"/>
                <w:szCs w:val="18"/>
                <w:color w:val="auto"/>
                <w:w w:val="95"/>
              </w:rPr>
              <w:t>General and administrative expenses paid by related party under note</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agreement</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70,123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9,039</w:t>
            </w:r>
          </w:p>
        </w:tc>
      </w:tr>
      <w:tr>
        <w:trPr>
          <w:trHeight w:val="40"/>
        </w:trPr>
        <w:tc>
          <w:tcPr>
            <w:tcW w:w="5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on investments held in Trust Account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(69,135)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25400</wp:posOffset>
            </wp:positionV>
            <wp:extent cx="5143500" cy="1803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4" w:right="1440" w:bottom="821" w:gutter="0" w:footer="0" w:header="0"/>
        </w:sectPr>
      </w:pPr>
    </w:p>
    <w:p>
      <w:pPr>
        <w:spacing w:after="0" w:line="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Prepaid expenses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64770</wp:posOffset>
            </wp:positionV>
            <wp:extent cx="514350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57785</wp:posOffset>
            </wp:positionV>
            <wp:extent cx="5143500" cy="180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deposited in Trust Account</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57785</wp:posOffset>
            </wp:positionV>
            <wp:extent cx="514350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ind w:left="320"/>
        <w:spacing w:after="0"/>
        <w:tabs>
          <w:tab w:leader="none" w:pos="2080" w:val="left"/>
        </w:tabs>
        <w:rPr>
          <w:sz w:val="20"/>
          <w:szCs w:val="20"/>
          <w:color w:val="auto"/>
        </w:rPr>
      </w:pPr>
      <w:r>
        <w:rPr>
          <w:rFonts w:ascii="Arial" w:cs="Arial" w:eastAsia="Arial" w:hAnsi="Arial"/>
          <w:sz w:val="18"/>
          <w:szCs w:val="18"/>
          <w:color w:val="auto"/>
        </w:rPr>
        <w:t>(197,094)</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jc w:val="both"/>
        <w:ind w:left="400"/>
        <w:spacing w:after="0"/>
        <w:tabs>
          <w:tab w:leader="none" w:pos="2080" w:val="left"/>
        </w:tabs>
        <w:rPr>
          <w:sz w:val="20"/>
          <w:szCs w:val="20"/>
          <w:color w:val="auto"/>
        </w:rPr>
      </w:pPr>
      <w:r>
        <w:rPr>
          <w:rFonts w:ascii="Arial" w:cs="Arial" w:eastAsia="Arial" w:hAnsi="Arial"/>
          <w:sz w:val="18"/>
          <w:szCs w:val="18"/>
          <w:color w:val="auto"/>
        </w:rPr>
        <w:t>(51,821)</w:t>
      </w:r>
      <w:r>
        <w:rPr>
          <w:sz w:val="20"/>
          <w:szCs w:val="20"/>
          <w:color w:val="auto"/>
        </w:rPr>
        <w:tab/>
      </w:r>
      <w:r>
        <w:rPr>
          <w:rFonts w:ascii="Arial" w:cs="Arial" w:eastAsia="Arial" w:hAnsi="Arial"/>
          <w:sz w:val="18"/>
          <w:szCs w:val="18"/>
          <w:color w:val="auto"/>
        </w:rPr>
        <w:t>—</w:t>
      </w:r>
    </w:p>
    <w:p>
      <w:pPr>
        <w:spacing w:after="0" w:line="90" w:lineRule="exact"/>
        <w:rPr>
          <w:sz w:val="20"/>
          <w:szCs w:val="20"/>
          <w:color w:val="auto"/>
        </w:rPr>
      </w:pPr>
    </w:p>
    <w:p>
      <w:pPr>
        <w:jc w:val="both"/>
        <w:ind w:left="240"/>
        <w:spacing w:after="0"/>
        <w:tabs>
          <w:tab w:leader="none" w:pos="2080" w:val="left"/>
        </w:tabs>
        <w:rPr>
          <w:sz w:val="20"/>
          <w:szCs w:val="20"/>
          <w:color w:val="auto"/>
        </w:rPr>
      </w:pPr>
      <w:r>
        <w:rPr>
          <w:rFonts w:ascii="Arial" w:cs="Arial" w:eastAsia="Arial" w:hAnsi="Arial"/>
          <w:sz w:val="18"/>
          <w:szCs w:val="18"/>
          <w:color w:val="auto"/>
        </w:rPr>
        <w:t>1,846,704</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31750</wp:posOffset>
            </wp:positionV>
            <wp:extent cx="15430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43" w:lineRule="exact"/>
        <w:rPr>
          <w:sz w:val="20"/>
          <w:szCs w:val="20"/>
          <w:color w:val="auto"/>
        </w:rPr>
      </w:pPr>
    </w:p>
    <w:p>
      <w:pPr>
        <w:ind w:left="180"/>
        <w:spacing w:after="0"/>
        <w:tabs>
          <w:tab w:leader="none" w:pos="2080" w:val="left"/>
        </w:tabs>
        <w:rPr>
          <w:sz w:val="20"/>
          <w:szCs w:val="20"/>
          <w:color w:val="auto"/>
        </w:rPr>
      </w:pPr>
      <w:r>
        <w:rPr>
          <w:rFonts w:ascii="Arial" w:cs="Arial" w:eastAsia="Arial" w:hAnsi="Arial"/>
          <w:sz w:val="18"/>
          <w:szCs w:val="18"/>
          <w:color w:val="auto"/>
        </w:rPr>
        <w:t>(1,335,631)</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(300,000,000)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40640</wp:posOffset>
            </wp:positionV>
            <wp:extent cx="15430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7"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(300,000,000)</w:t>
      </w:r>
      <w:r>
        <w:rPr>
          <w:sz w:val="20"/>
          <w:szCs w:val="20"/>
          <w:color w:val="auto"/>
        </w:rPr>
        <w:tab/>
      </w:r>
      <w:r>
        <w:rPr>
          <w:rFonts w:ascii="Arial" w:cs="Arial" w:eastAsia="Arial" w:hAnsi="Arial"/>
          <w:sz w:val="18"/>
          <w:szCs w:val="18"/>
          <w:color w:val="auto"/>
        </w:rPr>
        <w:t>—</w:t>
      </w:r>
    </w:p>
    <w:p>
      <w:pPr>
        <w:spacing w:after="0" w:line="644" w:lineRule="exact"/>
        <w:rPr>
          <w:sz w:val="20"/>
          <w:szCs w:val="20"/>
          <w:color w:val="auto"/>
        </w:rPr>
      </w:pPr>
    </w:p>
    <w:p>
      <w:pPr>
        <w:sectPr>
          <w:pgSz w:w="11900" w:h="16838" w:orient="portrait"/>
          <w:cols w:equalWidth="0" w:num="2">
            <w:col w:w="5420" w:space="720"/>
            <w:col w:w="2879"/>
          </w:cols>
          <w:pgMar w:left="1440" w:top="274" w:right="1440" w:bottom="821" w:gutter="0" w:footer="0" w:header="0"/>
          <w:type w:val="continuous"/>
        </w:sectPr>
      </w:pPr>
    </w:p>
    <w:tbl>
      <w:tblPr>
        <w:tblLayout w:type="fixed"/>
        <w:tblInd w:w="460" w:type="dxa"/>
        <w:tblCellMar>
          <w:top w:w="0" w:type="dxa"/>
          <w:left w:w="0" w:type="dxa"/>
          <w:bottom w:w="0" w:type="dxa"/>
          <w:right w:w="0" w:type="dxa"/>
        </w:tblCellMar>
      </w:tblP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received from initial public offering, gross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300,000,000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Proceeds from private placement</w:t>
            </w:r>
          </w:p>
        </w:tc>
        <w:tc>
          <w:tcPr>
            <w:tcW w:w="1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9,500,000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costs paid</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(6,702,089)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Repayment of note payable from related party</w:t>
            </w:r>
          </w:p>
        </w:tc>
        <w:tc>
          <w:tcPr>
            <w:tcW w:w="16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(162,979)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302,634,932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7"/>
        </w:trPr>
        <w:tc>
          <w:tcPr>
            <w:tcW w:w="5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1,299,301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3"/>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3"/>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 end of the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1,299,301</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r>
      <w:tr>
        <w:trPr>
          <w:trHeight w:val="270"/>
        </w:trPr>
        <w:tc>
          <w:tcPr>
            <w:tcW w:w="5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w w:val="90"/>
              </w:rPr>
              <w:t>Supplemental disclosure of noncash investing and financing activities: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included in 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85,000</w:t>
            </w:r>
          </w:p>
        </w:tc>
        <w:tc>
          <w:tcPr>
            <w:tcW w:w="4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23,060</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Offering costs included in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80,600</w:t>
            </w:r>
          </w:p>
        </w:tc>
      </w:tr>
      <w:tr>
        <w:trPr>
          <w:trHeight w:val="41"/>
        </w:trPr>
        <w:tc>
          <w:tcPr>
            <w:tcW w:w="5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funded with note payable to Sponsor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92,856</w:t>
            </w:r>
          </w:p>
        </w:tc>
        <w:tc>
          <w:tcPr>
            <w:tcW w:w="4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5520" w:type="dxa"/>
            <w:vAlign w:val="bottom"/>
          </w:tcPr>
          <w:p>
            <w:pPr>
              <w:ind w:left="180"/>
              <w:spacing w:after="0" w:line="201" w:lineRule="exact"/>
              <w:rPr>
                <w:sz w:val="20"/>
                <w:szCs w:val="20"/>
                <w:color w:val="auto"/>
              </w:rPr>
            </w:pPr>
            <w:r>
              <w:rPr>
                <w:rFonts w:ascii="Arial" w:cs="Arial" w:eastAsia="Arial" w:hAnsi="Arial"/>
                <w:sz w:val="18"/>
                <w:szCs w:val="18"/>
                <w:color w:val="auto"/>
                <w:w w:val="99"/>
              </w:rPr>
              <w:t>Offering costs paid by Sponsor in exchange for issuance of Class B</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ordinary shares to Sponsor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15,961</w:t>
            </w:r>
          </w:p>
        </w:tc>
      </w:tr>
      <w:tr>
        <w:trPr>
          <w:trHeight w:val="40"/>
        </w:trPr>
        <w:tc>
          <w:tcPr>
            <w:tcW w:w="5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 of retainer for offering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3,271</w:t>
            </w:r>
          </w:p>
        </w:tc>
        <w:tc>
          <w:tcPr>
            <w:tcW w:w="4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5520" w:type="dxa"/>
            <w:vAlign w:val="bottom"/>
          </w:tcPr>
          <w:p>
            <w:pPr>
              <w:ind w:left="180"/>
              <w:spacing w:after="0" w:line="201" w:lineRule="exact"/>
              <w:rPr>
                <w:sz w:val="20"/>
                <w:szCs w:val="20"/>
                <w:color w:val="auto"/>
              </w:rPr>
            </w:pPr>
            <w:r>
              <w:rPr>
                <w:rFonts w:ascii="Arial" w:cs="Arial" w:eastAsia="Arial" w:hAnsi="Arial"/>
                <w:sz w:val="18"/>
                <w:szCs w:val="18"/>
                <w:color w:val="auto"/>
                <w:w w:val="95"/>
              </w:rPr>
              <w:t>Deferred underwriting commissions in connection with the initial public</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offering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10,500,000</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1"/>
        </w:trPr>
        <w:tc>
          <w:tcPr>
            <w:tcW w:w="5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Initial value of Class A ordinary shares subject to possible redemption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262,826,540</w:t>
            </w:r>
          </w:p>
        </w:tc>
        <w:tc>
          <w:tcPr>
            <w:tcW w:w="4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5520" w:type="dxa"/>
            <w:vAlign w:val="bottom"/>
          </w:tcPr>
          <w:p>
            <w:pPr>
              <w:ind w:left="180"/>
              <w:spacing w:after="0" w:line="201" w:lineRule="exact"/>
              <w:rPr>
                <w:sz w:val="20"/>
                <w:szCs w:val="20"/>
                <w:color w:val="auto"/>
              </w:rPr>
            </w:pPr>
            <w:r>
              <w:rPr>
                <w:rFonts w:ascii="Arial" w:cs="Arial" w:eastAsia="Arial" w:hAnsi="Arial"/>
                <w:sz w:val="18"/>
                <w:szCs w:val="18"/>
                <w:color w:val="auto"/>
              </w:rPr>
              <w:t>Change in value of Class A ordinary shares subject to possible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(35,559,330)</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821" w:gutter="0" w:footer="0" w:header="0"/>
          <w:type w:val="continuous"/>
        </w:sectPr>
      </w:pPr>
    </w:p>
    <w:bookmarkStart w:id="184" w:name="page185"/>
    <w:bookmarkEnd w:id="18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4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w:t>
      </w:r>
    </w:p>
    <w:p>
      <w:pPr>
        <w:spacing w:after="0" w:line="125"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As of December 31, 2020, the Company had not commenced any operations. All activity for the period from December 18, 2019 (inception) through December 31, 2020 relates to the Company’s formation and the initial public offering (the “Initial Public Offering”) described below, and, since the closing of the Initial Public Offering, a search for a business combination candidate. The Company will not generate any operating revenues until after the completion of its initial Business Combination, at the earliest. The Company generates non-operating income in the form of interest income on cash from the proceeds derived from the Initial Public Offering and interest income earned on investments held in Trust Account.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Sponsor, Initial Public Offering and Private Placement</w:t>
      </w:r>
    </w:p>
    <w:p>
      <w:pPr>
        <w:spacing w:after="0" w:line="158"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The Company’s sponsor is Sustainable Opportunities Holdings LLC, a Delaware limited liability company (the “Sponsor”). The registration statement for the Company’s Initial Public Offering was declared effective on May 5, 2020. On May 8, 2020, the Company consummated its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(Note 6).</w:t>
      </w:r>
    </w:p>
    <w:p>
      <w:pPr>
        <w:spacing w:after="0" w:line="83" w:lineRule="exact"/>
        <w:rPr>
          <w:sz w:val="20"/>
          <w:szCs w:val="20"/>
          <w:color w:val="auto"/>
        </w:rPr>
      </w:pPr>
    </w:p>
    <w:p>
      <w:pPr>
        <w:ind w:left="460" w:right="619" w:firstLine="432"/>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(“Private Placement”) of 9,500,000 warrants (each, a “Private Placement Warrant” and collectively, the “Private Placement Warrants”) at a price of $1.00 per Private Placement Warrant in a private placement to the Sponsor, generating gross proceeds of $9.5 million (Note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Trust Account</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5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5" w:name="page186"/>
    <w:bookmarkEnd w:id="18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The Company will provide the holders (the “Public Shareholders”) of its Class A ordinary shares, par value $0.0001 per share sold in the Initial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 (as discussed in Note 6).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adopted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5) and any Public Shares purchased during or after the Initial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33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11"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its Public Shares the right to have their shares redeemed in connection with its initial business combination or to redeem 100% of its Public Shares if the Company does not complete a Business Combination within 18 months from the closing of the Initial Public Offering, or November 8, 2021 (the “Combination Period”) unless the Company provides the Public Shareholders with the opportunity to redeem their Class A ordinary shares in conjunction with any such amendment.</w:t>
      </w:r>
    </w:p>
    <w:p>
      <w:pPr>
        <w:spacing w:after="0" w:line="12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6" w:name="page187"/>
    <w:bookmarkEnd w:id="18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ind w:left="460" w:right="459"/>
        <w:spacing w:after="0" w:line="263" w:lineRule="auto"/>
        <w:rPr>
          <w:sz w:val="20"/>
          <w:szCs w:val="20"/>
          <w:color w:val="auto"/>
        </w:rPr>
      </w:pPr>
      <w:r>
        <w:rPr>
          <w:rFonts w:ascii="Arial" w:cs="Arial" w:eastAsia="Arial" w:hAnsi="Arial"/>
          <w:sz w:val="18"/>
          <w:szCs w:val="18"/>
          <w:color w:val="auto"/>
        </w:rPr>
        <w:t>the approval of the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8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131" w:lineRule="exact"/>
        <w:rPr>
          <w:sz w:val="20"/>
          <w:szCs w:val="20"/>
          <w:color w:val="auto"/>
        </w:rPr>
      </w:pPr>
    </w:p>
    <w:p>
      <w:pPr>
        <w:ind w:left="460" w:right="779" w:firstLine="432"/>
        <w:spacing w:after="0" w:line="257" w:lineRule="auto"/>
        <w:rPr>
          <w:sz w:val="20"/>
          <w:szCs w:val="20"/>
          <w:color w:val="auto"/>
        </w:rPr>
      </w:pPr>
      <w:r>
        <w:rPr>
          <w:rFonts w:ascii="Arial" w:cs="Arial" w:eastAsia="Arial" w:hAnsi="Arial"/>
          <w:sz w:val="18"/>
          <w:szCs w:val="18"/>
          <w:color w:val="auto"/>
        </w:rPr>
        <w:t>On March 4, 2021, the Company entered into a Business Combination Agreement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Agreement</w:t>
      </w:r>
      <w:r>
        <w:rPr>
          <w:rFonts w:ascii="Arial" w:cs="Arial" w:eastAsia="Arial" w:hAnsi="Arial"/>
          <w:sz w:val="18"/>
          <w:szCs w:val="18"/>
          <w:color w:val="auto"/>
        </w:rPr>
        <w:t>”), by and among the Company, 1291924 B.C. Unlimited Liability Company, an</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liability company existing under the laws of British Columbia, Canada (“</w:t>
      </w:r>
      <w:r>
        <w:rPr>
          <w:rFonts w:ascii="Arial" w:cs="Arial" w:eastAsia="Arial" w:hAnsi="Arial"/>
          <w:sz w:val="18"/>
          <w:szCs w:val="18"/>
          <w:i w:val="1"/>
          <w:iCs w:val="1"/>
          <w:color w:val="auto"/>
        </w:rPr>
        <w:t>NewCo Sub</w:t>
      </w:r>
      <w:r>
        <w:rPr>
          <w:rFonts w:ascii="Arial" w:cs="Arial" w:eastAsia="Arial" w:hAnsi="Arial"/>
          <w:sz w:val="18"/>
          <w:szCs w:val="18"/>
          <w:color w:val="auto"/>
        </w:rPr>
        <w:t>”), and DeepGreen Metals Inc., a company existing under the laws of British Columbia, Canada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DeepGreen</w:t>
      </w:r>
      <w:r>
        <w:rPr>
          <w:rFonts w:ascii="Arial" w:cs="Arial" w:eastAsia="Arial" w:hAnsi="Arial"/>
          <w:sz w:val="18"/>
          <w:szCs w:val="18"/>
          <w:color w:val="auto"/>
        </w:rPr>
        <w:t>”).</w:t>
      </w:r>
    </w:p>
    <w:p>
      <w:pPr>
        <w:spacing w:after="0" w:line="93"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Pursuant to the Business Combination Agreement, the Company will migrate to and be continued as a company in British Columbia, Canada (the “</w:t>
      </w:r>
      <w:r>
        <w:rPr>
          <w:rFonts w:ascii="Arial" w:cs="Arial" w:eastAsia="Arial" w:hAnsi="Arial"/>
          <w:sz w:val="16"/>
          <w:szCs w:val="16"/>
          <w:i w:val="1"/>
          <w:iCs w:val="1"/>
          <w:color w:val="auto"/>
        </w:rPr>
        <w:t>SOAC Continuance</w:t>
      </w:r>
      <w:r>
        <w:rPr>
          <w:rFonts w:ascii="Arial" w:cs="Arial" w:eastAsia="Arial" w:hAnsi="Arial"/>
          <w:sz w:val="16"/>
          <w:szCs w:val="16"/>
          <w:color w:val="auto"/>
        </w:rPr>
        <w:t>”). Following the SOAC Continuance, pursuant to a plan of arrangement (the “</w:t>
      </w:r>
      <w:r>
        <w:rPr>
          <w:rFonts w:ascii="Arial" w:cs="Arial" w:eastAsia="Arial" w:hAnsi="Arial"/>
          <w:sz w:val="16"/>
          <w:szCs w:val="16"/>
          <w:i w:val="1"/>
          <w:iCs w:val="1"/>
          <w:color w:val="auto"/>
        </w:rPr>
        <w:t>Plan of Arrangement</w:t>
      </w:r>
      <w:r>
        <w:rPr>
          <w:rFonts w:ascii="Arial" w:cs="Arial" w:eastAsia="Arial" w:hAnsi="Arial"/>
          <w:sz w:val="16"/>
          <w:szCs w:val="16"/>
          <w:color w:val="auto"/>
        </w:rPr>
        <w:t xml:space="preserve">”)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the Company will acquire all of the issued and outstanding shares in the capital of DeepGreen (the</w:t>
      </w:r>
    </w:p>
    <w:p>
      <w:pPr>
        <w:spacing w:after="0" w:line="9" w:lineRule="exact"/>
        <w:rPr>
          <w:sz w:val="20"/>
          <w:szCs w:val="20"/>
          <w:color w:val="auto"/>
        </w:rPr>
      </w:pPr>
    </w:p>
    <w:p>
      <w:pPr>
        <w:ind w:left="460" w:right="47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DeepGreen Shares</w:t>
      </w:r>
      <w:r>
        <w:rPr>
          <w:rFonts w:ascii="Arial" w:cs="Arial" w:eastAsia="Arial" w:hAnsi="Arial"/>
          <w:sz w:val="18"/>
          <w:szCs w:val="18"/>
          <w:color w:val="auto"/>
        </w:rPr>
        <w:t>”) from DeepGreen shareholders in exchange for the Company’s common shares (as defined below) and Company Earnout Shares (as defined in Note 9) (the “</w:t>
      </w:r>
      <w:r>
        <w:rPr>
          <w:rFonts w:ascii="Arial" w:cs="Arial" w:eastAsia="Arial" w:hAnsi="Arial"/>
          <w:sz w:val="18"/>
          <w:szCs w:val="18"/>
          <w:i w:val="1"/>
          <w:iCs w:val="1"/>
          <w:color w:val="auto"/>
        </w:rPr>
        <w:t>Share Exchange</w:t>
      </w:r>
      <w:r>
        <w:rPr>
          <w:rFonts w:ascii="Arial" w:cs="Arial" w:eastAsia="Arial" w:hAnsi="Arial"/>
          <w:sz w:val="18"/>
          <w:szCs w:val="18"/>
          <w:color w:val="auto"/>
        </w:rPr>
        <w:t>”),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w:t>
      </w:r>
    </w:p>
    <w:p>
      <w:pPr>
        <w:spacing w:after="0" w:line="113"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Concurrently with the execution of the Business Combination Agreement, the Company entered into subscription agreements (the “Subscription Agreements”) with certain institutional and accredited investors, pursuant to which such investors agreed to subscribe for and purchase, and the Company agreed to issue and sell to such investors, substantially concurrently with the Closing (as defined in the Business Combination Agreement), an aggregate of 33,030,000 shares of SOAC Ordinary shares for $10.00 per share, for aggregate gross proceeds of $330,300,000 (the “PIPE Financing”). The closing of the PIPE Financing is contingent upon, among other things, the substantially concurrent consummation of the Business Combination. The Subscription Agreements provide that the Company will grant the investors in the PIPE Financing certain customary registration rights. The PIPE Financing is contingent upon, among other things, the substantially concurrent closing of the Business Combination. See Note 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7" w:name="page188"/>
    <w:bookmarkEnd w:id="18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44"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As of December 31, 2020, the Company had approximately $1.3 million in cash and a working capital deficit of approximately $372,000.</w:t>
      </w:r>
    </w:p>
    <w:p>
      <w:pPr>
        <w:spacing w:after="0" w:line="103"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w:t>
      </w:r>
    </w:p>
    <w:p>
      <w:pPr>
        <w:spacing w:after="0" w:line="104"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The Company cannot provide any assurance that new financing will be available to it on commercially acceptable terms, if at all. These conditions raise substantial doubt about the Company’s ability to continue as a going concern through November 8, 2021. These financial statements do not include any adjustments relating to the recovery of the recorded assets or the classification of the liabilities that might be necessary should the Company be unable to continue as a going concern.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for financial information and pursuant to the rules and regulations of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58" w:lineRule="exact"/>
        <w:rPr>
          <w:sz w:val="20"/>
          <w:szCs w:val="20"/>
          <w:color w:val="auto"/>
        </w:rPr>
      </w:pPr>
    </w:p>
    <w:p>
      <w:pPr>
        <w:ind w:left="460" w:right="659" w:firstLine="432"/>
        <w:spacing w:after="0" w:line="271"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11"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other public companies difficult or impossible because of the potential differences in accounting standards used.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8" w:name="page189"/>
    <w:bookmarkEnd w:id="18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Restatement of Previously Issued Financial Statements</w:t>
      </w:r>
    </w:p>
    <w:p>
      <w:pPr>
        <w:spacing w:after="0" w:line="14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ordinary in warrants issued in connection with the initial public offerings of special purpose acquisition companies such as the Company. As a result of the Staff statement and in light of evolving views as to certain provisions ordinarily included in warrants issued by special purpose acquisition companies, the Company’s management re-evaluated the accounting for our Warrants under ASC 815-40, </w:t>
      </w:r>
      <w:r>
        <w:rPr>
          <w:rFonts w:ascii="Arial" w:cs="Arial" w:eastAsia="Arial" w:hAnsi="Arial"/>
          <w:sz w:val="16"/>
          <w:szCs w:val="16"/>
          <w:i w:val="1"/>
          <w:iCs w:val="1"/>
          <w:color w:val="auto"/>
        </w:rPr>
        <w:t>Derivatives and Hedging—Contracts in</w:t>
      </w:r>
      <w:r>
        <w:rPr>
          <w:rFonts w:ascii="Arial" w:cs="Arial" w:eastAsia="Arial" w:hAnsi="Arial"/>
          <w:sz w:val="16"/>
          <w:szCs w:val="16"/>
          <w:color w:val="auto"/>
        </w:rPr>
        <w:t xml:space="preserve"> </w:t>
      </w:r>
      <w:r>
        <w:rPr>
          <w:rFonts w:ascii="Arial" w:cs="Arial" w:eastAsia="Arial" w:hAnsi="Arial"/>
          <w:sz w:val="16"/>
          <w:szCs w:val="16"/>
          <w:i w:val="1"/>
          <w:iCs w:val="1"/>
          <w:color w:val="auto"/>
        </w:rPr>
        <w:t>Entity’s Own Equity</w:t>
      </w:r>
      <w:r>
        <w:rPr>
          <w:rFonts w:ascii="Arial" w:cs="Arial" w:eastAsia="Arial" w:hAnsi="Arial"/>
          <w:sz w:val="16"/>
          <w:szCs w:val="16"/>
          <w:color w:val="auto"/>
        </w:rPr>
        <w:t>, and concluded that they do not meet the criteria to be classified in shareholders’ equity.</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the Warrants meet the definition of a derivative under ASC 815-40, the Company has restated the financial statements to classify the Warrants as liabilities on the balance sheet at fair value, with subsequent changes in their respective fair values recognized in the statement of operations at each reporting date.</w:t>
      </w:r>
    </w:p>
    <w:p>
      <w:pPr>
        <w:spacing w:after="0" w:line="104"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Company’s prior accounting treatment for the Warrants was equity classification rather than as derivative liabilities. Accounting for the Warrants as liabilities pursuant to ASC 815-40 requires that the Company re-measure the Warrants to their fair value each reporting period and record the changes in such value in the statement of operations. Accordingly, the Company has restated the value and classification of the Warrants in our financial statements included herein (“Restatement”).</w:t>
      </w:r>
    </w:p>
    <w:p>
      <w:pPr>
        <w:spacing w:after="0" w:line="109"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In April 2021, the Company concluded that, because of a misapplication of the accounting guidance related to its warrants issued in connection with its initial public offering (“Public Warrants”), as well as warrants issued in a private sale simultaneous to the initial public offering (“Private Placement Warrants”) that the Company issued in May 2020, the Company’s previously issued financial statements as of May 8, 2020, as of and for the year ended December 31, 2020 as well as the interim periods ended June 30, 2020 and September 30, 2020 (the “Affected Periods”) should no longer be relied upon. As such, the Company is restating its financial statements for the Affected Periods in this Annual Report. The following summarizes the effect of the Restatement on each financial statement line item for each period presented herein.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9" w:name="page190"/>
    <w:bookmarkEnd w:id="18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Restatement of Previously Issued Financial Statements </w:t>
      </w:r>
      <w:r>
        <w:rPr>
          <w:rFonts w:ascii="Arial" w:cs="Arial" w:eastAsia="Arial" w:hAnsi="Arial"/>
          <w:sz w:val="18"/>
          <w:szCs w:val="18"/>
          <w:color w:val="auto"/>
        </w:rPr>
        <w:t>(cont.)</w:t>
      </w:r>
    </w:p>
    <w:p>
      <w:pPr>
        <w:spacing w:after="0" w:line="18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BALANCE SHEETS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6"/>
                <w:szCs w:val="16"/>
                <w:b w:val="1"/>
                <w:bCs w:val="1"/>
                <w:color w:val="auto"/>
              </w:rPr>
              <w:t>May 8,</w:t>
            </w: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r>
      <w:tr>
        <w:trPr>
          <w:trHeight w:val="46"/>
        </w:trPr>
        <w:tc>
          <w:tcPr>
            <w:tcW w:w="1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4"/>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24,200,000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23,030,000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45,050,000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56,930,000</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24,200,000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23,030,000</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45,050,000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56,930,000</w:t>
            </w:r>
          </w:p>
        </w:tc>
      </w:tr>
      <w:tr>
        <w:trPr>
          <w:trHeight w:val="283"/>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11,299,788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10,753,271</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11,443,090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12,381,002</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24,200,000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23,030,000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45,050,000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56,930,000</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35,499,788</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33,783,271</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56,493,090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69,311,002</w:t>
            </w:r>
          </w:p>
        </w:tc>
      </w:tr>
      <w:tr>
        <w:trPr>
          <w:trHeight w:val="283"/>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A ordinary shares</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possible</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7"/>
              </w:rPr>
              <w:t>287,041,190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7"/>
              </w:rPr>
              <w:t>286,786,990</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285,557,170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7"/>
              </w:rPr>
              <w:t>284,197,210</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(24,214,650)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(23,030,000)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(45,050,000)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(56,930,000)</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262,826,540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263,756,990</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240,507,170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227,267,210</w:t>
            </w:r>
          </w:p>
        </w:tc>
      </w:tr>
      <w:tr>
        <w:trPr>
          <w:trHeight w:val="283"/>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A ordinary shares</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possible</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shares</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28,704,119</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28,678,699</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28,555,717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28,419,721</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(2,421,465)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(2,303,000)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(5,693,000)</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26,282,654</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26,375,699</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24,050,717</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22,726,721</w:t>
            </w:r>
          </w:p>
        </w:tc>
      </w:tr>
      <w:tr>
        <w:trPr>
          <w:trHeight w:val="284"/>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A ordinary shares</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569</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w:t>
            </w:r>
          </w:p>
        </w:tc>
      </w:tr>
      <w:tr>
        <w:trPr>
          <w:trHeight w:val="283"/>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1,295,881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1,321,301</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1,444,283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1,580,279</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2,421,465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2,303,000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4,505,000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5,693,000</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3,717,346</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3,624,301</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5,949,283</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7,273,279</w:t>
            </w:r>
          </w:p>
        </w:tc>
      </w:tr>
      <w:tr>
        <w:trPr>
          <w:trHeight w:val="283"/>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paid-in</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5,113,134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5,352,792</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6,582,601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7,942,547</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877,413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(292,578)</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21,727,203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33,607,078</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5,990,547</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5,060,214</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28,309,804</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41,549,625</w:t>
            </w:r>
          </w:p>
        </w:tc>
      </w:tr>
      <w:tr>
        <w:trPr>
          <w:trHeight w:val="284"/>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(353,668)</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(1,583,490)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(2,943,447)</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292,353</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(21,727,647)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(33,607,647)</w:t>
            </w:r>
          </w:p>
        </w:tc>
      </w:tr>
      <w:tr>
        <w:trPr>
          <w:trHeight w:val="304"/>
        </w:trPr>
        <w:tc>
          <w:tcPr>
            <w:tcW w:w="1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(991,770)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(61,315)</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(23,311,137)</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(36,551,094)</w:t>
            </w:r>
          </w:p>
        </w:tc>
      </w:tr>
      <w:tr>
        <w:trPr>
          <w:trHeight w:val="283"/>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Shareholders’</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As Previously Reported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5,000,004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5,000,006</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5,000,008</w:t>
            </w:r>
          </w:p>
        </w:tc>
      </w:tr>
      <w:tr>
        <w:trPr>
          <w:trHeight w:val="283"/>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84"/>
        </w:trPr>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As Restated</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5,000,002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5,000,007</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5,000,008</w:t>
            </w:r>
          </w:p>
        </w:tc>
      </w:tr>
      <w:tr>
        <w:trPr>
          <w:trHeight w:val="41"/>
        </w:trPr>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0" w:name="page191"/>
    <w:bookmarkEnd w:id="19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Restatement of Previously Issued Financial Statements </w:t>
      </w:r>
      <w:r>
        <w:rPr>
          <w:rFonts w:ascii="Arial" w:cs="Arial" w:eastAsia="Arial" w:hAnsi="Arial"/>
          <w:sz w:val="18"/>
          <w:szCs w:val="18"/>
          <w:color w:val="auto"/>
        </w:rPr>
        <w:t>(cont.)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 YTD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Six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Nine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1"/>
              <w:spacing w:after="0"/>
              <w:rPr>
                <w:sz w:val="20"/>
                <w:szCs w:val="20"/>
                <w:color w:val="auto"/>
              </w:rPr>
            </w:pPr>
            <w:r>
              <w:rPr>
                <w:rFonts w:ascii="Arial" w:cs="Arial" w:eastAsia="Arial" w:hAnsi="Arial"/>
                <w:sz w:val="16"/>
                <w:szCs w:val="16"/>
                <w:b w:val="1"/>
                <w:bCs w:val="1"/>
                <w:color w:val="auto"/>
                <w:w w:val="93"/>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71"/>
              <w:spacing w:after="0"/>
              <w:rPr>
                <w:sz w:val="20"/>
                <w:szCs w:val="20"/>
                <w:color w:val="auto"/>
              </w:rPr>
            </w:pPr>
            <w:r>
              <w:rPr>
                <w:rFonts w:ascii="Arial" w:cs="Arial" w:eastAsia="Arial" w:hAnsi="Arial"/>
                <w:sz w:val="16"/>
                <w:szCs w:val="16"/>
                <w:b w:val="1"/>
                <w:bCs w:val="1"/>
                <w:color w:val="auto"/>
                <w:w w:val="90"/>
              </w:rPr>
              <w:t>Year Ended</w:t>
            </w:r>
          </w:p>
        </w:tc>
      </w:tr>
      <w:tr>
        <w:trPr>
          <w:trHeight w:val="203"/>
        </w:trPr>
        <w:tc>
          <w:tcPr>
            <w:tcW w:w="25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1"/>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1"/>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2020</w:t>
            </w:r>
          </w:p>
        </w:tc>
      </w:tr>
      <w:tr>
        <w:trPr>
          <w:trHeight w:val="46"/>
        </w:trPr>
        <w:tc>
          <w:tcPr>
            <w:tcW w:w="254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2"/>
        </w:trPr>
        <w:tc>
          <w:tcPr>
            <w:tcW w:w="2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1"/>
              </w:rPr>
              <w:t>Change in fair value of the warrant</w:t>
            </w: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1,170,000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(20,850,000)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(32,730,000)</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(20,850,000)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(32,730,000)</w:t>
            </w:r>
          </w:p>
        </w:tc>
      </w:tr>
      <w:tr>
        <w:trPr>
          <w:trHeight w:val="283"/>
        </w:trPr>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Offering costs allocated to</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warrant liabilities</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(877,647)</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(877,647)</w:t>
            </w:r>
          </w:p>
        </w:tc>
      </w:tr>
      <w:tr>
        <w:trPr>
          <w:trHeight w:val="283"/>
        </w:trPr>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(344,629)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(1,574,451)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(2,934,408)</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292,353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(21,727,647)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(33,607,647)</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(52,276)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(23,302,098)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(36,542,055)</w:t>
            </w:r>
          </w:p>
        </w:tc>
      </w:tr>
      <w:tr>
        <w:trPr>
          <w:trHeight w:val="284"/>
        </w:trPr>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outstanding subject to possible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redemption, basic and diluted</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28,635,732</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0"/>
              </w:rPr>
              <w:t>26,284,377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26,325,998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(3,194,817)</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26,284,377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26,325,998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7"/>
              </w:rPr>
              <w:t>25,440,915</w:t>
            </w:r>
          </w:p>
        </w:tc>
      </w:tr>
      <w:tr>
        <w:trPr>
          <w:trHeight w:val="284"/>
        </w:trPr>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Basic and diluted net income per</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shares subject to</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r>
      <w:tr>
        <w:trPr>
          <w:trHeight w:val="283"/>
        </w:trPr>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ordinary shares</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outstanding, basic and diluted</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8,675,841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8,724,681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8,387,147</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732,999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2,077,504</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8,602,438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9,457,680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7"/>
              </w:rPr>
              <w:t>10,464,651</w:t>
            </w:r>
          </w:p>
        </w:tc>
      </w:tr>
      <w:tr>
        <w:trPr>
          <w:trHeight w:val="284"/>
        </w:trPr>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share, Non-redeemable shares</w:t>
            </w: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As Previously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83"/>
        </w:trPr>
        <w:tc>
          <w:tcPr>
            <w:tcW w:w="2540" w:type="dxa"/>
            <w:vAlign w:val="bottom"/>
            <w:shd w:val="clear" w:color="auto" w:fill="CCEEFF"/>
          </w:tcPr>
          <w:p>
            <w:pPr>
              <w:spacing w:after="0"/>
              <w:rPr>
                <w:sz w:val="24"/>
                <w:szCs w:val="24"/>
                <w:color w:val="auto"/>
              </w:rPr>
            </w:pPr>
          </w:p>
        </w:tc>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304"/>
        </w:trPr>
        <w:tc>
          <w:tcPr>
            <w:tcW w:w="25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391"/>
        </w:trPr>
        <w:tc>
          <w:tcPr>
            <w:tcW w:w="25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F-13</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91" w:name="page192"/>
    <w:bookmarkEnd w:id="19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Restatement of Previously Issued Financial Statements </w:t>
      </w:r>
      <w:r>
        <w:rPr>
          <w:rFonts w:ascii="Arial" w:cs="Arial" w:eastAsia="Arial" w:hAnsi="Arial"/>
          <w:sz w:val="18"/>
          <w:szCs w:val="18"/>
          <w:color w:val="auto"/>
        </w:rPr>
        <w:t>(cont.)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 THREE MONTHS ENDED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1"/>
              <w:spacing w:after="0"/>
              <w:rPr>
                <w:sz w:val="20"/>
                <w:szCs w:val="20"/>
                <w:color w:val="auto"/>
              </w:rPr>
            </w:pPr>
            <w:r>
              <w:rPr>
                <w:rFonts w:ascii="Arial" w:cs="Arial" w:eastAsia="Arial" w:hAnsi="Arial"/>
                <w:sz w:val="16"/>
                <w:szCs w:val="16"/>
                <w:b w:val="1"/>
                <w:bCs w:val="1"/>
                <w:color w:val="auto"/>
                <w:w w:val="93"/>
              </w:rPr>
              <w:t>Three Months</w:t>
            </w:r>
          </w:p>
        </w:tc>
      </w:tr>
      <w:tr>
        <w:trPr>
          <w:trHeight w:val="203"/>
        </w:trPr>
        <w:tc>
          <w:tcPr>
            <w:tcW w:w="3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1"/>
              <w:spacing w:after="0"/>
              <w:rPr>
                <w:sz w:val="20"/>
                <w:szCs w:val="20"/>
                <w:color w:val="auto"/>
              </w:rPr>
            </w:pPr>
            <w:r>
              <w:rPr>
                <w:rFonts w:ascii="Arial" w:cs="Arial" w:eastAsia="Arial" w:hAnsi="Arial"/>
                <w:sz w:val="16"/>
                <w:szCs w:val="16"/>
                <w:b w:val="1"/>
                <w:bCs w:val="1"/>
                <w:color w:val="auto"/>
                <w:w w:val="93"/>
              </w:rPr>
              <w:t>Ended</w:t>
            </w:r>
          </w:p>
        </w:tc>
      </w:tr>
      <w:tr>
        <w:trPr>
          <w:trHeight w:val="203"/>
        </w:trPr>
        <w:tc>
          <w:tcPr>
            <w:tcW w:w="3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91"/>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3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2020</w:t>
            </w:r>
          </w:p>
        </w:tc>
      </w:tr>
      <w:tr>
        <w:trPr>
          <w:trHeight w:val="46"/>
        </w:trPr>
        <w:tc>
          <w:tcPr>
            <w:tcW w:w="380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2"/>
        </w:trPr>
        <w:tc>
          <w:tcPr>
            <w:tcW w:w="38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the warrant liability</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1,170,000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(22,020,000)</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1,170,000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(22,020,000)</w:t>
            </w:r>
          </w:p>
        </w:tc>
      </w:tr>
      <w:tr>
        <w:trPr>
          <w:trHeight w:val="283"/>
        </w:trPr>
        <w:tc>
          <w:tcPr>
            <w:tcW w:w="3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Offering costs allocated to derivative warrant</w:t>
            </w: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3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38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(1,229,822)</w:t>
            </w:r>
          </w:p>
        </w:tc>
      </w:tr>
      <w:tr>
        <w:trPr>
          <w:trHeight w:val="283"/>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292,353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(22,020,000)</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6,723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(23,249,822)</w:t>
            </w:r>
          </w:p>
        </w:tc>
      </w:tr>
      <w:tr>
        <w:trPr>
          <w:trHeight w:val="283"/>
        </w:trPr>
        <w:tc>
          <w:tcPr>
            <w:tcW w:w="3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 average shares outstanding subject to</w:t>
            </w: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 basic and diluted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N/A</w:t>
            </w:r>
          </w:p>
        </w:tc>
      </w:tr>
      <w:tr>
        <w:trPr>
          <w:trHeight w:val="283"/>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3"/>
              </w:rPr>
              <w:t>26,284,377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26,325,998</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3"/>
              </w:rPr>
              <w:t>26,284,377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26,325,998</w:t>
            </w:r>
          </w:p>
        </w:tc>
      </w:tr>
      <w:tr>
        <w:trPr>
          <w:trHeight w:val="284"/>
        </w:trPr>
        <w:tc>
          <w:tcPr>
            <w:tcW w:w="3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income per share, shares</w:t>
            </w: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redemption</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N/A</w:t>
            </w:r>
          </w:p>
        </w:tc>
      </w:tr>
      <w:tr>
        <w:trPr>
          <w:trHeight w:val="283"/>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0.00</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0.00</w:t>
            </w:r>
          </w:p>
        </w:tc>
      </w:tr>
      <w:tr>
        <w:trPr>
          <w:trHeight w:val="284"/>
        </w:trPr>
        <w:tc>
          <w:tcPr>
            <w:tcW w:w="3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ordinary shares outstanding,</w:t>
            </w: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8,726,681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8,821,301</w:t>
            </w:r>
          </w:p>
        </w:tc>
      </w:tr>
      <w:tr>
        <w:trPr>
          <w:trHeight w:val="283"/>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978,194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2,344,174</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9,704,875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11,165,475</w:t>
            </w:r>
          </w:p>
        </w:tc>
      </w:tr>
      <w:tr>
        <w:trPr>
          <w:trHeight w:val="284"/>
        </w:trPr>
        <w:tc>
          <w:tcPr>
            <w:tcW w:w="3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 Non-</w:t>
            </w: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Previously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shares</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r>
      <w:tr>
        <w:trPr>
          <w:trHeight w:val="283"/>
        </w:trPr>
        <w:tc>
          <w:tcPr>
            <w:tcW w:w="38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304"/>
        </w:trPr>
        <w:tc>
          <w:tcPr>
            <w:tcW w:w="3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391"/>
        </w:trPr>
        <w:tc>
          <w:tcPr>
            <w:tcW w:w="3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F-14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92" w:name="page193"/>
    <w:bookmarkEnd w:id="19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Restatement of Previously Issued Financial Statements </w:t>
      </w:r>
      <w:r>
        <w:rPr>
          <w:rFonts w:ascii="Arial" w:cs="Arial" w:eastAsia="Arial" w:hAnsi="Arial"/>
          <w:sz w:val="18"/>
          <w:szCs w:val="18"/>
          <w:color w:val="auto"/>
        </w:rPr>
        <w:t>(cont.)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w w:val="99"/>
              </w:rPr>
              <w:t>June 30,</w:t>
            </w:r>
          </w:p>
        </w:tc>
        <w:tc>
          <w:tcPr>
            <w:tcW w:w="12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280" w:type="dxa"/>
            <w:vAlign w:val="bottom"/>
            <w:gridSpan w:val="3"/>
          </w:tcPr>
          <w:p>
            <w:pPr>
              <w:jc w:val="right"/>
              <w:ind w:right="394"/>
              <w:spacing w:after="0"/>
              <w:rPr>
                <w:sz w:val="20"/>
                <w:szCs w:val="20"/>
                <w:color w:val="auto"/>
              </w:rPr>
            </w:pPr>
            <w:r>
              <w:rPr>
                <w:rFonts w:ascii="Arial" w:cs="Arial" w:eastAsia="Arial" w:hAnsi="Arial"/>
                <w:sz w:val="16"/>
                <w:szCs w:val="16"/>
                <w:b w:val="1"/>
                <w:bCs w:val="1"/>
                <w:color w:val="auto"/>
              </w:rPr>
              <w:t>2020</w:t>
            </w:r>
          </w:p>
        </w:tc>
      </w:tr>
      <w:tr>
        <w:trPr>
          <w:trHeight w:val="46"/>
        </w:trPr>
        <w:tc>
          <w:tcPr>
            <w:tcW w:w="2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24"/>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Previously Reported</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158</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569</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 Restated</w:t>
            </w:r>
          </w:p>
        </w:tc>
        <w:tc>
          <w:tcPr>
            <w:tcW w:w="9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595</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727</w:t>
            </w:r>
          </w:p>
        </w:tc>
      </w:tr>
      <w:tr>
        <w:trPr>
          <w:trHeight w:val="283"/>
        </w:trPr>
        <w:tc>
          <w:tcPr>
            <w:tcW w:w="2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21"/>
                <w:szCs w:val="21"/>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Previously Reported</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5,352,793</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6,582,601</w:t>
            </w:r>
          </w:p>
        </w:tc>
        <w:tc>
          <w:tcPr>
            <w:tcW w:w="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7,942,547</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(292,579)</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21,727,203</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33,607,078</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 Restated</w:t>
            </w:r>
          </w:p>
        </w:tc>
        <w:tc>
          <w:tcPr>
            <w:tcW w:w="9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5,060,214</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28,309,804</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41,549,625</w:t>
            </w:r>
          </w:p>
        </w:tc>
      </w:tr>
      <w:tr>
        <w:trPr>
          <w:trHeight w:val="283"/>
        </w:trPr>
        <w:tc>
          <w:tcPr>
            <w:tcW w:w="2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Previously Reported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(353,668)</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(1,583,490)</w:t>
            </w:r>
          </w:p>
        </w:tc>
        <w:tc>
          <w:tcPr>
            <w:tcW w:w="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(2,943,447)</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292,353</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(21,727,647)</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(33,607,647)</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 Restated</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(61,315)</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(23,311,137)</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(36,551,094)</w:t>
            </w:r>
          </w:p>
        </w:tc>
      </w:tr>
      <w:tr>
        <w:trPr>
          <w:trHeight w:val="283"/>
        </w:trPr>
        <w:tc>
          <w:tcPr>
            <w:tcW w:w="2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21"/>
                <w:szCs w:val="21"/>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Previously Reported</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5,000,006</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5,000,005</w:t>
            </w:r>
          </w:p>
        </w:tc>
        <w:tc>
          <w:tcPr>
            <w:tcW w:w="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5,000,008</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 Restated</w:t>
            </w:r>
          </w:p>
        </w:tc>
        <w:tc>
          <w:tcPr>
            <w:tcW w:w="9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5,000,007</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5,000,005</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5,000,008</w:t>
            </w:r>
          </w:p>
        </w:tc>
      </w:tr>
      <w:tr>
        <w:trPr>
          <w:trHeight w:val="432"/>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6"/>
          </w:tcPr>
          <w:p>
            <w:pPr>
              <w:ind w:left="60"/>
              <w:spacing w:after="0"/>
              <w:rPr>
                <w:sz w:val="20"/>
                <w:szCs w:val="20"/>
                <w:color w:val="auto"/>
              </w:rPr>
            </w:pPr>
            <w:r>
              <w:rPr>
                <w:rFonts w:ascii="Arial" w:cs="Arial" w:eastAsia="Arial" w:hAnsi="Arial"/>
                <w:sz w:val="18"/>
                <w:szCs w:val="18"/>
                <w:b w:val="1"/>
                <w:bCs w:val="1"/>
                <w:color w:val="auto"/>
              </w:rPr>
              <w:t>STATEMENTS OF CASH FLOWS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4"/>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Six Months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3"/>
              </w:rPr>
              <w:t>Nine Months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3"/>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left="25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center"/>
              <w:ind w:left="191"/>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8"/>
                <w:szCs w:val="18"/>
                <w:color w:val="auto"/>
              </w:rPr>
            </w:pPr>
          </w:p>
        </w:tc>
        <w:tc>
          <w:tcPr>
            <w:tcW w:w="1280" w:type="dxa"/>
            <w:vAlign w:val="bottom"/>
            <w:gridSpan w:val="3"/>
          </w:tcPr>
          <w:p>
            <w:pPr>
              <w:jc w:val="center"/>
              <w:ind w:left="31"/>
              <w:spacing w:after="0"/>
              <w:rPr>
                <w:sz w:val="20"/>
                <w:szCs w:val="20"/>
                <w:color w:val="auto"/>
              </w:rPr>
            </w:pPr>
            <w:r>
              <w:rPr>
                <w:rFonts w:ascii="Arial" w:cs="Arial" w:eastAsia="Arial" w:hAnsi="Arial"/>
                <w:sz w:val="16"/>
                <w:szCs w:val="16"/>
                <w:b w:val="1"/>
                <w:bCs w:val="1"/>
                <w:color w:val="auto"/>
                <w:w w:val="89"/>
              </w:rPr>
              <w:t>2020</w:t>
            </w:r>
          </w:p>
        </w:tc>
      </w:tr>
      <w:tr>
        <w:trPr>
          <w:trHeight w:val="46"/>
        </w:trPr>
        <w:tc>
          <w:tcPr>
            <w:tcW w:w="234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24"/>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As Previously Reported</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(344,629)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(1,574,451)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(2,934,408)</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292,353</w:t>
            </w:r>
          </w:p>
        </w:tc>
        <w:tc>
          <w:tcPr>
            <w:tcW w:w="4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(21,727,647)</w:t>
            </w: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(33,607,647)</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(52,276)</w:t>
            </w:r>
          </w:p>
        </w:tc>
        <w:tc>
          <w:tcPr>
            <w:tcW w:w="12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(23,302,098)</w:t>
            </w:r>
          </w:p>
        </w:tc>
        <w:tc>
          <w:tcPr>
            <w:tcW w:w="128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(36,542,055)</w:t>
            </w:r>
          </w:p>
        </w:tc>
      </w:tr>
      <w:tr>
        <w:trPr>
          <w:trHeight w:val="284"/>
        </w:trPr>
        <w:tc>
          <w:tcPr>
            <w:tcW w:w="2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Change in fair value of warrant</w:t>
            </w: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liability</w:t>
            </w:r>
          </w:p>
        </w:tc>
        <w:tc>
          <w:tcPr>
            <w:tcW w:w="2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As Previously Reported</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(1,170,000)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20,850,000</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32,730,000</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(1,170,000)</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20,850,000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32,730,000</w:t>
            </w:r>
          </w:p>
        </w:tc>
      </w:tr>
      <w:tr>
        <w:trPr>
          <w:trHeight w:val="284"/>
        </w:trPr>
        <w:tc>
          <w:tcPr>
            <w:tcW w:w="2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Offering costs allocated to</w:t>
            </w: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derivative warrant liabilities</w:t>
            </w:r>
          </w:p>
        </w:tc>
        <w:tc>
          <w:tcPr>
            <w:tcW w:w="2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As Previously Reported</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877,647</w:t>
            </w:r>
          </w:p>
        </w:tc>
        <w:tc>
          <w:tcPr>
            <w:tcW w:w="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877,647</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877,647</w:t>
            </w: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877,647</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877,647</w:t>
            </w:r>
          </w:p>
        </w:tc>
      </w:tr>
      <w:tr>
        <w:trPr>
          <w:trHeight w:val="284"/>
        </w:trPr>
        <w:tc>
          <w:tcPr>
            <w:tcW w:w="2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Initial value of Class A ordinary</w:t>
            </w: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subject to possible</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2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As Previously Reported</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287,041,190</w:t>
            </w:r>
          </w:p>
        </w:tc>
        <w:tc>
          <w:tcPr>
            <w:tcW w:w="4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287,041,190</w:t>
            </w: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287,041,190</w:t>
            </w:r>
          </w:p>
        </w:tc>
      </w:tr>
      <w:tr>
        <w:trPr>
          <w:trHeight w:val="284"/>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(24,214,650)</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(24,214,650)</w:t>
            </w: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(24,214,650)</w:t>
            </w:r>
          </w:p>
        </w:tc>
      </w:tr>
      <w:tr>
        <w:trPr>
          <w:trHeight w:val="304"/>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262,826,540</w:t>
            </w: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262,826,540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74"/>
              <w:spacing w:after="0"/>
              <w:rPr>
                <w:sz w:val="20"/>
                <w:szCs w:val="20"/>
                <w:color w:val="auto"/>
              </w:rPr>
            </w:pPr>
            <w:r>
              <w:rPr>
                <w:rFonts w:ascii="Arial" w:cs="Arial" w:eastAsia="Arial" w:hAnsi="Arial"/>
                <w:sz w:val="18"/>
                <w:szCs w:val="18"/>
                <w:color w:val="auto"/>
              </w:rPr>
              <w:t>262,826,540</w:t>
            </w:r>
          </w:p>
        </w:tc>
      </w:tr>
      <w:tr>
        <w:trPr>
          <w:trHeight w:val="284"/>
        </w:trPr>
        <w:tc>
          <w:tcPr>
            <w:tcW w:w="452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2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0"/>
              </w:rPr>
              <w:t>Change in value of Class A ordinary</w:t>
            </w:r>
          </w:p>
        </w:tc>
        <w:tc>
          <w:tcPr>
            <w:tcW w:w="190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subject to possible</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2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As Previously Reported</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(254,200)</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(1,229,820)</w:t>
            </w: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(2,843,980)</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1,184,650</w:t>
            </w:r>
          </w:p>
        </w:tc>
        <w:tc>
          <w:tcPr>
            <w:tcW w:w="4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(22,020,000)</w:t>
            </w: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(32,715,350)</w:t>
            </w:r>
          </w:p>
        </w:tc>
      </w:tr>
      <w:tr>
        <w:trPr>
          <w:trHeight w:val="283"/>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As Restated</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930,450</w:t>
            </w:r>
          </w:p>
        </w:tc>
        <w:tc>
          <w:tcPr>
            <w:tcW w:w="4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(23,249,820)</w:t>
            </w: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(35,559,330)</w:t>
            </w:r>
          </w:p>
        </w:tc>
      </w:tr>
      <w:tr>
        <w:trPr>
          <w:trHeight w:val="41"/>
        </w:trPr>
        <w:tc>
          <w:tcPr>
            <w:tcW w:w="2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sectPr>
          <w:pgSz w:w="11900" w:h="16838" w:orient="portrait"/>
          <w:cols w:equalWidth="0" w:num="1">
            <w:col w:w="9019"/>
          </w:cols>
          <w:pgMar w:left="1440" w:top="274" w:right="1440" w:bottom="993" w:gutter="0" w:footer="0" w:header="0"/>
        </w:sect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93" w:gutter="0" w:footer="0" w:header="0"/>
          <w:type w:val="continuous"/>
        </w:sectPr>
      </w:pPr>
    </w:p>
    <w:bookmarkStart w:id="193" w:name="page194"/>
    <w:bookmarkEnd w:id="19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left="460" w:right="759" w:firstLine="432"/>
        <w:spacing w:after="0" w:line="301" w:lineRule="auto"/>
        <w:rPr>
          <w:sz w:val="20"/>
          <w:szCs w:val="20"/>
          <w:color w:val="auto"/>
        </w:rPr>
      </w:pPr>
      <w:r>
        <w:rPr>
          <w:rFonts w:ascii="Arial" w:cs="Arial" w:eastAsia="Arial" w:hAnsi="Arial"/>
          <w:sz w:val="16"/>
          <w:szCs w:val="16"/>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the financial statements and the reported amounts of expenses during the reporting periods. Actual results could differ from those estimates.</w:t>
      </w:r>
    </w:p>
    <w:p>
      <w:pPr>
        <w:spacing w:after="0" w:line="9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20"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The Company has not experienced losses on these accounts.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December 31, 2020 and 2019,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15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Company’s portfolio of marketable securities is comprised solely of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Upon the closing of the Initial Public Offering and the Private Placement, $300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Gains and losses resulting from the change in fair value of investments held in Trust Account are included in net gain on investments held in Trust Account in the accompanying statement of operations. The estimated fair values of investments held in Trust Account are determined using available market information.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8"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84"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1320" w:right="999" w:hanging="434"/>
        <w:spacing w:after="0" w:line="277" w:lineRule="auto"/>
        <w:tabs>
          <w:tab w:leader="none" w:pos="131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02" w:lineRule="exact"/>
        <w:rPr>
          <w:rFonts w:ascii="Arial" w:cs="Arial" w:eastAsia="Arial" w:hAnsi="Arial"/>
          <w:sz w:val="18"/>
          <w:szCs w:val="18"/>
          <w:color w:val="auto"/>
        </w:rPr>
      </w:pPr>
    </w:p>
    <w:p>
      <w:pPr>
        <w:jc w:val="both"/>
        <w:ind w:left="1320" w:right="919" w:hanging="434"/>
        <w:spacing w:after="0" w:line="311" w:lineRule="auto"/>
        <w:tabs>
          <w:tab w:leader="none" w:pos="131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Arial" w:cs="Arial" w:eastAsia="Arial" w:hAnsi="Arial"/>
          <w:sz w:val="16"/>
          <w:szCs w:val="16"/>
          <w:color w:val="auto"/>
        </w:rPr>
      </w:pPr>
    </w:p>
    <w:p>
      <w:pPr>
        <w:ind w:left="1320" w:right="599" w:hanging="434"/>
        <w:spacing w:after="0" w:line="311" w:lineRule="auto"/>
        <w:tabs>
          <w:tab w:leader="none" w:pos="131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4" w:name="page195"/>
    <w:bookmarkEnd w:id="19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519" w:firstLine="432"/>
        <w:spacing w:after="0" w:line="311" w:lineRule="auto"/>
        <w:rPr>
          <w:sz w:val="20"/>
          <w:szCs w:val="20"/>
          <w:color w:val="auto"/>
        </w:rPr>
      </w:pPr>
      <w:r>
        <w:rPr>
          <w:rFonts w:ascii="Arial" w:cs="Arial" w:eastAsia="Arial" w:hAnsi="Arial"/>
          <w:sz w:val="16"/>
          <w:szCs w:val="16"/>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15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Company complies with the requirements of ASC 340-10-S99 and SEC Staff Accounting Bulletin (“SAB”) Topic 5A — “Expenses of Offering”. Offering costs consist of legal, accounting, underwriting fees and other costs that were directly related to the Initial Public Offering. Upon the completion of the Initial Public Offering on May 8, 2020, the offering costs were allocated to the separable financial instruments based on their relative fair value compared to the proceeds received, with $877,647 being expensed on fair value of warrant liabilities relative to Initial Public Offering proceeds.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 Liabilities</w:t>
      </w:r>
    </w:p>
    <w:p>
      <w:pPr>
        <w:spacing w:after="0" w:line="148" w:lineRule="exact"/>
        <w:rPr>
          <w:sz w:val="20"/>
          <w:szCs w:val="20"/>
          <w:color w:val="auto"/>
        </w:rPr>
      </w:pPr>
    </w:p>
    <w:p>
      <w:pPr>
        <w:ind w:left="460" w:right="799" w:firstLine="432"/>
        <w:spacing w:after="0" w:line="255"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2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Company issued 15,000,000 warrants as part of the units offered in its Initial Public Offering and, simultaneously with the closing of Initial Public Offering, the Company issued in a private placement an aggregate of 9,500,000 private placement warrants. The Company accounts for the Warrants in accordance with the guidance contained in ASC 815-40-15-7D and 7F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statement of operations. The fair value of the Public Warrants was initially measured using a Modified Black Scholes Option Pricing Model and has subsequently been estimated using the Public Warrants’ quoted market price. The Private Placement Warrants are valued using a Modified Black Scholes Option Pricing Model.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5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occurrence of uncertain future events. Accordingly, as of December 31, 2020, 22,726,721 Class A ordinary shares subject to possible redemption were presented at redemption value as temporary equity, outside of the shareholders’ equity section of the Company’s balance sheet.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144"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Company applies the two-class method in calculating earnings per share. Net loss per share is computed by dividing net loss by the weighted-average number of ordinary shares outstanding during the periods. An aggregate of 22,726,721 and 0 Class A ordinary shares subject to possible redemption at December 31, 2020 and 2019, respectively has been excluded from the calculation of basic loss per ordinary share, since such shares, if redeemed, only participate in their pro rata share of the Trust earnings. The Company has not considered the effect of the warrants sold in the Initial Public Offering and Private Placement to purchase an aggregate of 24,500,000 Class A</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5" w:name="page196"/>
    <w:bookmarkEnd w:id="19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99"/>
        <w:spacing w:after="0" w:line="263" w:lineRule="auto"/>
        <w:rPr>
          <w:sz w:val="20"/>
          <w:szCs w:val="20"/>
          <w:color w:val="auto"/>
        </w:rPr>
      </w:pPr>
      <w:r>
        <w:rPr>
          <w:rFonts w:ascii="Arial" w:cs="Arial" w:eastAsia="Arial" w:hAnsi="Arial"/>
          <w:sz w:val="18"/>
          <w:szCs w:val="18"/>
          <w:color w:val="auto"/>
        </w:rPr>
        <w:t>ordinary shares in the calculation of diluted loss per ordinary share, since the exercise of the warrants are contingent upon the occurrence of future events. As a result, diluted net loss per ordinary share is the same as basic net loss per ordinary share for the periods presented.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Reconciliation of Net Loss per Ordinary Share</w:t>
      </w:r>
    </w:p>
    <w:p>
      <w:pPr>
        <w:spacing w:after="0" w:line="158" w:lineRule="exact"/>
        <w:rPr>
          <w:sz w:val="20"/>
          <w:szCs w:val="20"/>
          <w:color w:val="auto"/>
        </w:rPr>
      </w:pPr>
    </w:p>
    <w:p>
      <w:pPr>
        <w:jc w:val="both"/>
        <w:ind w:left="460" w:right="619" w:firstLine="432"/>
        <w:spacing w:after="0" w:line="311" w:lineRule="auto"/>
        <w:rPr>
          <w:sz w:val="20"/>
          <w:szCs w:val="20"/>
          <w:color w:val="auto"/>
        </w:rPr>
      </w:pPr>
      <w:r>
        <w:rPr>
          <w:rFonts w:ascii="Arial" w:cs="Arial" w:eastAsia="Arial" w:hAnsi="Arial"/>
          <w:sz w:val="16"/>
          <w:szCs w:val="16"/>
          <w:color w:val="auto"/>
        </w:rPr>
        <w:t>The Company’s net loss is adjusted for the portion of income (loss) that is attributable to ordinary shares subject to redemption, as these shares only participate in the earnings of the Trust Account and not the income or losses of the Company. Accordingly, basic and diluted loss per ordinary share is calculated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0"/>
              </w:rPr>
              <w:t>December 18,</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For the Year</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1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0"/>
              </w:rPr>
              <w:t>(inception) to</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Class A Ordinary Shares subject to possible redemption</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rPr>
              <w:t>Numerator: Earnings allocable to Ordinary Shares subject to possible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investments held in Trust Account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65,492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Less: Company’s portion available to be withdrawn to pay taxes</w:t>
            </w:r>
          </w:p>
        </w:tc>
        <w:tc>
          <w:tcPr>
            <w:tcW w:w="12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65,492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w w:val="91"/>
              </w:rPr>
              <w:t>Denominator: Weighted average Class A ordinary shares subject to possible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 average shares outstanding of shares subject to redemption,</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7"/>
              </w:rPr>
              <w:t>25,440,915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and diluted net income per share, shares subject to redemption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Numerator: Net Loss minus Net Earnings attributable to redeemable shares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w w:val="92"/>
              </w:rPr>
              <w:t>(36,542,055)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Less: Income attributable to Class A ordinary shares subject to possible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65,492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Non-redeemable 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(36,607,546</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600" w:type="dxa"/>
            <w:vAlign w:val="bottom"/>
          </w:tcPr>
          <w:p>
            <w:pPr>
              <w:spacing w:after="0"/>
              <w:rPr>
                <w:sz w:val="20"/>
                <w:szCs w:val="20"/>
                <w:color w:val="auto"/>
              </w:rPr>
            </w:pPr>
            <w:r>
              <w:rPr>
                <w:rFonts w:ascii="Arial" w:cs="Arial" w:eastAsia="Arial" w:hAnsi="Arial"/>
                <w:sz w:val="18"/>
                <w:szCs w:val="18"/>
                <w:color w:val="auto"/>
              </w:rPr>
              <w:t>Weighted average ordinary shares outstanding, basic and diluted</w:t>
            </w:r>
          </w:p>
        </w:tc>
        <w:tc>
          <w:tcPr>
            <w:tcW w:w="120" w:type="dxa"/>
            <w:vAlign w:val="bottom"/>
          </w:tcPr>
          <w:p>
            <w:pPr>
              <w:spacing w:after="0"/>
              <w:rPr>
                <w:sz w:val="24"/>
                <w:szCs w:val="24"/>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10,464,651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Basic and diluted net loss per share, Non-redeemable shares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460" w:right="639" w:firstLine="432"/>
        <w:spacing w:after="0" w:line="288" w:lineRule="auto"/>
        <w:rPr>
          <w:sz w:val="20"/>
          <w:szCs w:val="20"/>
          <w:color w:val="auto"/>
        </w:rPr>
      </w:pPr>
      <w:r>
        <w:rPr>
          <w:rFonts w:ascii="Arial" w:cs="Arial" w:eastAsia="Arial" w:hAnsi="Arial"/>
          <w:sz w:val="16"/>
          <w:szCs w:val="16"/>
          <w:color w:val="auto"/>
        </w:rPr>
        <w:t>FASB ASC Topic 740, “Income Taxes,”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2020 and December 31, 2019.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December 31,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6" w:name="page197"/>
    <w:bookmarkEnd w:id="19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There is currently no taxation imposed on income by the Government of the Cayman Islands. In accordance with Cayman Islands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58"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Management does not believe that any recently issued, but not yet effective, accounting pronouncements, if currently adopted, would have a material effect on the Company’s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Initial Public Offering</w:t>
      </w:r>
    </w:p>
    <w:p>
      <w:pPr>
        <w:spacing w:after="0" w:line="14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On May 8, 2020, the Company consummated its Initial Public Offering of 30,000,000 Units at $10.00 per Unit, generating gross proceeds of $300.0 million, and incurring offering costs of approximately $17.4 million, inclusive of $10.5 million in deferred underwriting commissions. Each Unit consists of one Class A ordinary share and one-half of one redeemable warrant (each, a “Public Warrant”). Each Public Warrant entitles the holder to purchase one Class A ordinary share at a price of $11.50 per share, subject to adjustment (see Note 8).</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On December 31, 2019, the Sponsor purchased 8,625,000 shares (the “Founder Shares”) of the Company’s Class B ordinary shares, par value $0.0001 for an aggregate price of $25,000. In March 2020, the Sponsor transferred 30,000 Founder Shares to each of the Company’s independent directors. The Founder Shares will automatically convert into Class A ordinary shares at the time of the Company’s initial Business Combination and are subject to certain transfer restrictions, as described in Note 9. The Sponsor had agreed to forfeit up to 1,125,000 Founder Shares to the extent that the over-allotment option was not exercised in full by the underwriter so that the Founder Shares will represent 20.0% of the Company’s issued and outstanding shares after the Initial Public Offering. The over-allotment option expired in June 2020; thus, these Founder Shares were forfeited accordingly.</w:t>
      </w:r>
    </w:p>
    <w:p>
      <w:pPr>
        <w:spacing w:after="0" w:line="113"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44" w:lineRule="exact"/>
        <w:rPr>
          <w:sz w:val="20"/>
          <w:szCs w:val="20"/>
          <w:color w:val="auto"/>
        </w:rPr>
      </w:pPr>
    </w:p>
    <w:p>
      <w:pPr>
        <w:ind w:left="460" w:right="779" w:firstLine="432"/>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9,500,000 Private Placement Warrants at a price of $1.00 per Private Placement Warrant to the Sponsor, generating gross proceeds of $9.5 million. Each Private Placement Warrant is exercisable for one whole Class A ordinary share at a price of $11.50 per share.</w:t>
      </w:r>
    </w:p>
    <w:p>
      <w:pPr>
        <w:spacing w:after="0" w:line="10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7" w:name="page198"/>
    <w:bookmarkEnd w:id="19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On December 31, 2019,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approximately $163,000 under the Note and fully repaid this amount on May 8, 2020.</w:t>
      </w:r>
    </w:p>
    <w:p>
      <w:pPr>
        <w:spacing w:after="0" w:line="90"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As of December 31, 2020, the Company had no borrowings under the Working Capital Loans.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ind w:left="460" w:right="719" w:firstLine="432"/>
        <w:spacing w:after="0" w:line="273" w:lineRule="auto"/>
        <w:rPr>
          <w:sz w:val="20"/>
          <w:szCs w:val="20"/>
          <w:color w:val="auto"/>
        </w:rPr>
      </w:pPr>
      <w:r>
        <w:rPr>
          <w:rFonts w:ascii="Arial" w:cs="Arial" w:eastAsia="Arial" w:hAnsi="Arial"/>
          <w:sz w:val="17"/>
          <w:szCs w:val="17"/>
          <w:color w:val="auto"/>
        </w:rPr>
        <w:t>The Company entered into an agreement, commencing on May 8, 2020 through the earlier of the Company’s consummation of a Business Combination and its liquidation, to reimburse the Sponsor a total of $10,000 per month for office space, secretarial and administrative services. The Company incurred and paid $80,000 and $0 in expenses in connection with such services and recorded in general and administrative expenses in the statements of operations for year ended December 31, 2020 and for the period December 18, 2019 (inception) to December 31, 2019, respectively.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58" w:lineRule="exact"/>
        <w:rPr>
          <w:sz w:val="20"/>
          <w:szCs w:val="20"/>
          <w:color w:val="auto"/>
        </w:rPr>
      </w:pPr>
    </w:p>
    <w:p>
      <w:pPr>
        <w:ind w:left="460" w:right="699" w:firstLine="432"/>
        <w:spacing w:after="0" w:line="271" w:lineRule="auto"/>
        <w:rPr>
          <w:sz w:val="20"/>
          <w:szCs w:val="20"/>
          <w:color w:val="auto"/>
        </w:rPr>
      </w:pPr>
      <w:r>
        <w:rPr>
          <w:rFonts w:ascii="Arial" w:cs="Arial" w:eastAsia="Arial" w:hAnsi="Arial"/>
          <w:sz w:val="17"/>
          <w:szCs w:val="17"/>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44"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The Company granted the underwriter a 45-day option from the date of the final prospectus relating to the Initial Public Offering to purchase up to 4,500,000 additional Units to cover over-allotments, if any, at $10.00 per Unit, less the underwriting discounts and commissions. The over-allotment option expired in June 2020.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8" w:name="page199"/>
    <w:bookmarkEnd w:id="19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and Contingencies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158"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Company is receiving consulting services in connection with identification of potential targets for a Business Combination and due diligence on such targets. As compensation for such services, the Company paid a nonrefundable fixed fee of $350,000 and agreed to pay the consulting firm $2,650,000 solely in the event that the Company completes a Business Combination. The consulting agreement may be terminated early by either party to the agreement provided that the Company pays a termination fee to the consulting firm determined based on a monthly increasing amount through November 2021. As of December 31, 2020, the termination fee is $1,115,800, which has been accrued and recognized in general and administrative expenses within the statements of operations.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Fair Value Measurements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16"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As of December 31, 2020 and 2019, the carrying values of cash, prepaid expenses, and accounts payable approximate their fair values due to the short-term nature of the instruments. As of December 31, 2020, the Company’s portfolio of investments held in Trust Account is comprised entirely of investments in money market funds that invest in U.S. government securities.</w:t>
      </w:r>
    </w:p>
    <w:p>
      <w:pPr>
        <w:spacing w:after="0" w:line="119"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The Warrants are accounted for as liabilities pursuant to ASC 815-40 and are measured at fair value as of each reporting period. Changes in the fair value of the Warrants are recorded in the statement of operations each period.</w:t>
      </w:r>
    </w:p>
    <w:p>
      <w:pPr>
        <w:spacing w:after="0" w:line="103"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following table presents our fair value hierarchy for liabilities measured at fair value on a recurring basis for each reporting period:</w:t>
      </w:r>
    </w:p>
    <w:p>
      <w:pPr>
        <w:spacing w:after="0" w:line="184" w:lineRule="exact"/>
        <w:rPr>
          <w:sz w:val="20"/>
          <w:szCs w:val="20"/>
          <w:color w:val="auto"/>
        </w:rPr>
      </w:pPr>
    </w:p>
    <w:p>
      <w:pPr>
        <w:ind w:left="460"/>
        <w:spacing w:after="0"/>
        <w:tabs>
          <w:tab w:leader="none" w:pos="3860" w:val="left"/>
          <w:tab w:leader="none" w:pos="5100" w:val="left"/>
          <w:tab w:leader="none" w:pos="6340" w:val="left"/>
          <w:tab w:leader="none" w:pos="7720" w:val="left"/>
        </w:tabs>
        <w:rPr>
          <w:sz w:val="20"/>
          <w:szCs w:val="20"/>
          <w:color w:val="auto"/>
        </w:rPr>
      </w:pPr>
      <w:r>
        <w:rPr>
          <w:rFonts w:ascii="Arial" w:cs="Arial" w:eastAsia="Arial" w:hAnsi="Arial"/>
          <w:sz w:val="16"/>
          <w:szCs w:val="16"/>
          <w:b w:val="1"/>
          <w:bCs w:val="1"/>
          <w:color w:val="auto"/>
        </w:rPr>
        <w:t>December 31, 2020 (As Restated)</w:t>
      </w:r>
      <w:r>
        <w:rPr>
          <w:sz w:val="20"/>
          <w:szCs w:val="20"/>
          <w:color w:val="auto"/>
        </w:rPr>
        <w:tab/>
      </w:r>
      <w:r>
        <w:rPr>
          <w:rFonts w:ascii="Arial" w:cs="Arial" w:eastAsia="Arial" w:hAnsi="Arial"/>
          <w:sz w:val="16"/>
          <w:szCs w:val="16"/>
          <w:b w:val="1"/>
          <w:bCs w:val="1"/>
          <w:color w:val="auto"/>
        </w:rPr>
        <w:t>Level 1</w:t>
      </w:r>
      <w:r>
        <w:rPr>
          <w:sz w:val="20"/>
          <w:szCs w:val="20"/>
          <w:color w:val="auto"/>
        </w:rPr>
        <w:tab/>
      </w:r>
      <w:r>
        <w:rPr>
          <w:rFonts w:ascii="Arial" w:cs="Arial" w:eastAsia="Arial" w:hAnsi="Arial"/>
          <w:sz w:val="16"/>
          <w:szCs w:val="16"/>
          <w:b w:val="1"/>
          <w:bCs w:val="1"/>
          <w:color w:val="auto"/>
        </w:rPr>
        <w:t>Level 2</w:t>
      </w:r>
      <w:r>
        <w:rPr>
          <w:sz w:val="20"/>
          <w:szCs w:val="20"/>
          <w:color w:val="auto"/>
        </w:rPr>
        <w:tab/>
      </w:r>
      <w:r>
        <w:rPr>
          <w:rFonts w:ascii="Arial" w:cs="Arial" w:eastAsia="Arial" w:hAnsi="Arial"/>
          <w:sz w:val="16"/>
          <w:szCs w:val="16"/>
          <w:b w:val="1"/>
          <w:bCs w:val="1"/>
          <w:color w:val="auto"/>
        </w:rPr>
        <w:t>Level 3</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 liabilities: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Public Warrants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33,750,000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30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23,180,000</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23,180,000</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180"/>
              <w:spacing w:after="0"/>
              <w:rPr>
                <w:sz w:val="20"/>
                <w:szCs w:val="20"/>
                <w:color w:val="auto"/>
              </w:rPr>
            </w:pPr>
            <w:r>
              <w:rPr>
                <w:rFonts w:ascii="Arial" w:cs="Arial" w:eastAsia="Arial" w:hAnsi="Arial"/>
                <w:sz w:val="18"/>
                <w:szCs w:val="18"/>
                <w:color w:val="auto"/>
              </w:rPr>
              <w:t>Total warrant liabilities</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020" w:type="dxa"/>
            <w:vAlign w:val="bottom"/>
            <w:vMerge w:val="continue"/>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33,750,000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23,180,000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56,930,000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20" w:type="dxa"/>
            <w:vAlign w:val="bottom"/>
          </w:tcPr>
          <w:p>
            <w:pPr>
              <w:spacing w:after="0"/>
              <w:rPr>
                <w:sz w:val="20"/>
                <w:szCs w:val="20"/>
                <w:color w:val="auto"/>
              </w:rPr>
            </w:pPr>
            <w:r>
              <w:rPr>
                <w:rFonts w:ascii="Arial" w:cs="Arial" w:eastAsia="Arial" w:hAnsi="Arial"/>
                <w:sz w:val="16"/>
                <w:szCs w:val="16"/>
                <w:b w:val="1"/>
                <w:bCs w:val="1"/>
                <w:color w:val="auto"/>
              </w:rPr>
              <w:t>September 30, 2020 (As Restated)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020" w:type="dxa"/>
            <w:vAlign w:val="bottom"/>
          </w:tcPr>
          <w:p>
            <w:pPr>
              <w:spacing w:after="0"/>
              <w:rPr>
                <w:sz w:val="20"/>
                <w:szCs w:val="20"/>
                <w:color w:val="auto"/>
              </w:rPr>
            </w:pPr>
            <w:r>
              <w:rPr>
                <w:rFonts w:ascii="Arial" w:cs="Arial" w:eastAsia="Arial" w:hAnsi="Arial"/>
                <w:sz w:val="18"/>
                <w:szCs w:val="18"/>
                <w:color w:val="auto"/>
              </w:rPr>
              <w:t>Public Warrants</w:t>
            </w:r>
            <w:r>
              <w:rPr>
                <w:rFonts w:ascii="Arial" w:cs="Arial" w:eastAsia="Arial" w:hAnsi="Arial"/>
                <w:sz w:val="20"/>
                <w:szCs w:val="20"/>
                <w:color w:val="auto"/>
                <w:vertAlign w:val="superscript"/>
              </w:rPr>
              <w:t>(1)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27,000,000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30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6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18,050,000</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18,050,000</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180"/>
              <w:spacing w:after="0"/>
              <w:rPr>
                <w:sz w:val="20"/>
                <w:szCs w:val="20"/>
                <w:color w:val="auto"/>
              </w:rPr>
            </w:pPr>
            <w:r>
              <w:rPr>
                <w:rFonts w:ascii="Arial" w:cs="Arial" w:eastAsia="Arial" w:hAnsi="Arial"/>
                <w:sz w:val="18"/>
                <w:szCs w:val="18"/>
                <w:color w:val="auto"/>
              </w:rPr>
              <w:t>Total warrant liabilities</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020" w:type="dxa"/>
            <w:vAlign w:val="bottom"/>
            <w:vMerge w:val="continue"/>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27,000,000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18,050,000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45,050,000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20" w:type="dxa"/>
            <w:vAlign w:val="bottom"/>
          </w:tcPr>
          <w:p>
            <w:pPr>
              <w:spacing w:after="0"/>
              <w:rPr>
                <w:sz w:val="20"/>
                <w:szCs w:val="20"/>
                <w:color w:val="auto"/>
              </w:rPr>
            </w:pPr>
            <w:r>
              <w:rPr>
                <w:rFonts w:ascii="Arial" w:cs="Arial" w:eastAsia="Arial" w:hAnsi="Arial"/>
                <w:sz w:val="16"/>
                <w:szCs w:val="16"/>
                <w:b w:val="1"/>
                <w:bCs w:val="1"/>
                <w:color w:val="auto"/>
              </w:rPr>
              <w:t>June 30, 2020 (As Restated)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Public Warrants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14,100,000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30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14,100,000</w:t>
            </w:r>
          </w:p>
        </w:tc>
        <w:tc>
          <w:tcPr>
            <w:tcW w:w="0" w:type="dxa"/>
            <w:vAlign w:val="bottom"/>
          </w:tcPr>
          <w:p>
            <w:pPr>
              <w:spacing w:after="0"/>
              <w:rPr>
                <w:sz w:val="1"/>
                <w:szCs w:val="1"/>
                <w:color w:val="auto"/>
              </w:rPr>
            </w:pP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8,930,000</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8,930,000</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180"/>
              <w:spacing w:after="0"/>
              <w:rPr>
                <w:sz w:val="20"/>
                <w:szCs w:val="20"/>
                <w:color w:val="auto"/>
              </w:rPr>
            </w:pPr>
            <w:r>
              <w:rPr>
                <w:rFonts w:ascii="Arial" w:cs="Arial" w:eastAsia="Arial" w:hAnsi="Arial"/>
                <w:sz w:val="18"/>
                <w:szCs w:val="18"/>
                <w:color w:val="auto"/>
              </w:rPr>
              <w:t>Total warrant liabilities</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020" w:type="dxa"/>
            <w:vAlign w:val="bottom"/>
            <w:vMerge w:val="continue"/>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14,100,000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8,930,000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23,030,000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F-21</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99" w:name="page200"/>
    <w:bookmarkEnd w:id="19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Fair Value Measurements </w:t>
      </w:r>
      <w:r>
        <w:rPr>
          <w:rFonts w:ascii="Arial" w:cs="Arial" w:eastAsia="Arial" w:hAnsi="Arial"/>
          <w:sz w:val="18"/>
          <w:szCs w:val="18"/>
          <w:color w:val="auto"/>
        </w:rPr>
        <w:t>(cont.)</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20" w:type="dxa"/>
            <w:vAlign w:val="bottom"/>
          </w:tcPr>
          <w:p>
            <w:pPr>
              <w:spacing w:after="0"/>
              <w:rPr>
                <w:sz w:val="20"/>
                <w:szCs w:val="20"/>
                <w:color w:val="auto"/>
              </w:rPr>
            </w:pPr>
            <w:r>
              <w:rPr>
                <w:rFonts w:ascii="Arial" w:cs="Arial" w:eastAsia="Arial" w:hAnsi="Arial"/>
                <w:sz w:val="16"/>
                <w:szCs w:val="16"/>
                <w:b w:val="1"/>
                <w:bCs w:val="1"/>
                <w:color w:val="auto"/>
              </w:rPr>
              <w:t>May 8, 2020 (As Restated)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Public Warrants</w:t>
            </w:r>
          </w:p>
        </w:tc>
        <w:tc>
          <w:tcPr>
            <w:tcW w:w="98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5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14,700,000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14,700,000</w:t>
            </w: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9,500,000</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180"/>
              <w:spacing w:after="0"/>
              <w:rPr>
                <w:sz w:val="20"/>
                <w:szCs w:val="20"/>
                <w:color w:val="auto"/>
              </w:rPr>
            </w:pPr>
            <w:r>
              <w:rPr>
                <w:rFonts w:ascii="Arial" w:cs="Arial" w:eastAsia="Arial" w:hAnsi="Arial"/>
                <w:sz w:val="18"/>
                <w:szCs w:val="18"/>
                <w:color w:val="auto"/>
              </w:rPr>
              <w:t>Total warrant liabilities</w:t>
            </w: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020" w:type="dxa"/>
            <w:vAlign w:val="bottom"/>
            <w:vMerge w:val="continue"/>
          </w:tcPr>
          <w:p>
            <w:pPr>
              <w:spacing w:after="0"/>
              <w:rPr>
                <w:sz w:val="21"/>
                <w:szCs w:val="21"/>
                <w:color w:val="auto"/>
              </w:rPr>
            </w:pPr>
          </w:p>
        </w:tc>
        <w:tc>
          <w:tcPr>
            <w:tcW w:w="98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24,200,000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24,200,000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99" w:hanging="426"/>
        <w:spacing w:after="0" w:line="278" w:lineRule="auto"/>
        <w:tabs>
          <w:tab w:leader="none" w:pos="8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Due to the use of quoted prices in an active market (Level 1) to measure the fair value of the Public Warrants, subsequent to initial measurement, the Company had transfers out of Level 3 totaling $14,700,000 during the period May 8, 2020 through December 31, 2020.</w:t>
      </w:r>
    </w:p>
    <w:p>
      <w:pPr>
        <w:spacing w:after="0" w:line="99"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The Private Placement Warrants were valued using a modified Black Scholes Model including inputs from a Monte Carlo simulation, which is considered to be a Level 3 fair value measurement. The Monte Carlo simulation’s primary unobservable input utilized in determining the fair value of the Warrants is the probability of consummation of the Business Combination. The probability assigned to the consummation of the Business Combination was 88% which was estimated based on the observed success rates of business combinations for special purpose acquisition companies.</w:t>
      </w:r>
    </w:p>
    <w:p>
      <w:pPr>
        <w:spacing w:after="0" w:line="125"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As of May 8,</w:t>
            </w:r>
          </w:p>
        </w:tc>
        <w:tc>
          <w:tcPr>
            <w:tcW w:w="8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of June 30,</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December</w:t>
            </w: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2020 (As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2020 (As</w:t>
            </w:r>
          </w:p>
        </w:tc>
        <w:tc>
          <w:tcPr>
            <w:tcW w:w="180" w:type="dxa"/>
            <w:vAlign w:val="bottom"/>
          </w:tcPr>
          <w:p>
            <w:pPr>
              <w:spacing w:after="0"/>
              <w:rPr>
                <w:sz w:val="17"/>
                <w:szCs w:val="17"/>
                <w:color w:val="auto"/>
              </w:rPr>
            </w:pPr>
          </w:p>
        </w:tc>
        <w:tc>
          <w:tcPr>
            <w:tcW w:w="980" w:type="dxa"/>
            <w:vAlign w:val="bottom"/>
          </w:tcPr>
          <w:p>
            <w:pPr>
              <w:jc w:val="center"/>
              <w:ind w:right="133"/>
              <w:spacing w:after="0"/>
              <w:rPr>
                <w:sz w:val="20"/>
                <w:szCs w:val="20"/>
                <w:color w:val="auto"/>
              </w:rPr>
            </w:pPr>
            <w:r>
              <w:rPr>
                <w:rFonts w:ascii="Arial" w:cs="Arial" w:eastAsia="Arial" w:hAnsi="Arial"/>
                <w:sz w:val="16"/>
                <w:szCs w:val="16"/>
                <w:b w:val="1"/>
                <w:bCs w:val="1"/>
                <w:color w:val="auto"/>
                <w:w w:val="91"/>
              </w:rPr>
              <w:t>2020 (As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31, 2020 (As</w:t>
            </w:r>
          </w:p>
        </w:tc>
      </w:tr>
      <w:tr>
        <w:trPr>
          <w:trHeight w:val="210"/>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Restated)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Restated)</w:t>
            </w:r>
          </w:p>
        </w:tc>
        <w:tc>
          <w:tcPr>
            <w:tcW w:w="18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Restated)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Restated)</w:t>
            </w:r>
          </w:p>
        </w:tc>
      </w:tr>
      <w:tr>
        <w:trPr>
          <w:trHeight w:val="46"/>
        </w:trPr>
        <w:tc>
          <w:tcPr>
            <w:tcW w:w="30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11.50</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IPO price</w:t>
            </w:r>
          </w:p>
        </w:tc>
        <w:tc>
          <w:tcPr>
            <w:tcW w:w="10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10.00</w:t>
            </w:r>
          </w:p>
        </w:tc>
      </w:tr>
      <w:tr>
        <w:trPr>
          <w:trHeight w:val="40"/>
        </w:trPr>
        <w:tc>
          <w:tcPr>
            <w:tcW w:w="3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Implied stock price range (or underlying</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51"/>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price at December 31, 2020)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10.76</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Volatility</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40"/>
        </w:trPr>
        <w:tc>
          <w:tcPr>
            <w:tcW w:w="3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5.25</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Risk-free rate</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40"/>
        </w:trPr>
        <w:tc>
          <w:tcPr>
            <w:tcW w:w="3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40"/>
        </w:trPr>
        <w:tc>
          <w:tcPr>
            <w:tcW w:w="3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Private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4"/>
              </w:rPr>
              <w:t>Total Warrant</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7"/>
              </w:rPr>
              <w:t>Placement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Public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measurement on May 8, 2020 (As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14,700,000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24,200,000</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(570,000)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(1,170,000)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June 30, 2020 (As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14,100,000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23,030,000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9,120,000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12,900,000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22,020,000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September 30, 2020 (As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18,050,000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27,000,000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45,050,000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5,130,000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6,750,000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11,880,000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Fair value, December 31, 2020 (As Restated)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23,180,000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33,750,000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56,930,000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Shareholders’ Equity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158"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The Company is authorized to issue 1,000,000 preference shares with such designations, voting and other rights and preferences as may be determined from time to time by the Company’s board of directors. As of December 31, 2020 and December 31, 2019, there were no preference shares issued or outstanding.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0" w:name="page201"/>
    <w:bookmarkEnd w:id="20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 Shareholders’ Equity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44"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b w:val="1"/>
          <w:bCs w:val="1"/>
          <w:i w:val="1"/>
          <w:iCs w:val="1"/>
          <w:color w:val="auto"/>
        </w:rPr>
        <w:t xml:space="preserve">Class A Ordinary Shares </w:t>
      </w:r>
      <w:r>
        <w:rPr>
          <w:rFonts w:ascii="Arial" w:cs="Arial" w:eastAsia="Arial" w:hAnsi="Arial"/>
          <w:sz w:val="16"/>
          <w:szCs w:val="16"/>
          <w:color w:val="auto"/>
        </w:rPr>
        <w:t>— The Company is authorized to issue 300,000,000 Class A ordinary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par value of $0.0001 per share. As of December 31, 2020 and December 31, 2019, there were 30,000,000 and no Class A ordinary shares outstanding, including 28,419,721 and no Class A ordinary shares subject to possible redemption classified as temporary equity in the accompanying balance sheets, respectively.</w:t>
      </w:r>
    </w:p>
    <w:p>
      <w:pPr>
        <w:spacing w:after="0" w:line="9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b w:val="1"/>
          <w:bCs w:val="1"/>
          <w:i w:val="1"/>
          <w:iCs w:val="1"/>
          <w:color w:val="auto"/>
        </w:rPr>
        <w:t xml:space="preserve">Class B Ordinary Shares </w:t>
      </w:r>
      <w:r>
        <w:rPr>
          <w:rFonts w:ascii="Arial" w:cs="Arial" w:eastAsia="Arial" w:hAnsi="Arial"/>
          <w:sz w:val="17"/>
          <w:szCs w:val="17"/>
          <w:color w:val="auto"/>
        </w:rPr>
        <w:t>— The Company is authorized to issue 30,000,000 Class B ordinary shares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 value of $0.0001 per share. Holders of Class B ordinary shares are entitled to one vote for each share. As of December 31, 2019, there were 8,625,000 Class B ordinary shares outstanding. Of these, an aggregate of up to 1,125,000 shares were subject to forfeiture to the Company by the Sponsor for no consideration to the extent that the underwriter’s over-allotment option was not exercised in full or in part, so that the Initial Shareholders will collectively own 20% of the Company’s issued and outstanding ordinary shares after the Initial Public Offering. The over-allotment option expired in June 2020; thus, an aggregate of 1,125,000 Class B ordinary shares was forfeited accordingly. As of December 31, 2020, there were 7,500,000 Class B ordinary shares outstanding.</w:t>
      </w:r>
    </w:p>
    <w:p>
      <w:pPr>
        <w:spacing w:after="0" w:line="113"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Holders of the Class A ordinary shares and holders of the Class B ordinary shares will vote together as a single class on all matters submitted to a vote of the Company’s shareholders except as required by law.</w:t>
      </w:r>
    </w:p>
    <w:p>
      <w:pPr>
        <w:spacing w:after="0" w:line="43" w:lineRule="exact"/>
        <w:rPr>
          <w:sz w:val="20"/>
          <w:szCs w:val="20"/>
          <w:color w:val="auto"/>
        </w:rPr>
      </w:pPr>
    </w:p>
    <w:p>
      <w:pPr>
        <w:ind w:left="460" w:right="839" w:firstLine="432"/>
        <w:spacing w:after="0" w:line="287"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w:t>
      </w:r>
    </w:p>
    <w:p>
      <w:pPr>
        <w:spacing w:after="0" w:line="2" w:lineRule="exact"/>
        <w:rPr>
          <w:sz w:val="20"/>
          <w:szCs w:val="20"/>
          <w:color w:val="auto"/>
        </w:rPr>
      </w:pPr>
    </w:p>
    <w:p>
      <w:pPr>
        <w:ind w:left="460" w:right="599" w:hanging="6"/>
        <w:spacing w:after="0" w:line="268" w:lineRule="auto"/>
        <w:tabs>
          <w:tab w:leader="none" w:pos="67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ind w:left="460" w:right="519" w:firstLine="432"/>
        <w:spacing w:after="0" w:line="283"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 the Class A ordinary shares issuable upon exercise of the warrants is not effective by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1" w:name="page202"/>
    <w:bookmarkEnd w:id="20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 Shareholders’ Equity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122"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89" w:lineRule="exact"/>
        <w:rPr>
          <w:sz w:val="20"/>
          <w:szCs w:val="20"/>
          <w:color w:val="auto"/>
        </w:rPr>
      </w:pPr>
    </w:p>
    <w:p>
      <w:pPr>
        <w:ind w:left="1300" w:hanging="41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44" w:lineRule="exact"/>
        <w:rPr>
          <w:rFonts w:ascii="Arial" w:cs="Arial" w:eastAsia="Arial" w:hAnsi="Arial"/>
          <w:sz w:val="18"/>
          <w:szCs w:val="18"/>
          <w:color w:val="auto"/>
        </w:rPr>
      </w:pPr>
    </w:p>
    <w:p>
      <w:pPr>
        <w:ind w:left="1320" w:right="499" w:hanging="434"/>
        <w:spacing w:after="0" w:line="301" w:lineRule="auto"/>
        <w:tabs>
          <w:tab w:leader="none" w:pos="131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90"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16"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97"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2" w:name="page203"/>
    <w:bookmarkEnd w:id="20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Proposed Business Combination and Related Transactions</w:t>
      </w:r>
    </w:p>
    <w:p>
      <w:pPr>
        <w:spacing w:after="0" w:line="144" w:lineRule="exact"/>
        <w:rPr>
          <w:sz w:val="20"/>
          <w:szCs w:val="20"/>
          <w:color w:val="auto"/>
        </w:rPr>
      </w:pPr>
    </w:p>
    <w:p>
      <w:pPr>
        <w:ind w:left="460" w:right="779" w:firstLine="432"/>
        <w:spacing w:after="0" w:line="257" w:lineRule="auto"/>
        <w:rPr>
          <w:sz w:val="20"/>
          <w:szCs w:val="20"/>
          <w:color w:val="auto"/>
        </w:rPr>
      </w:pPr>
      <w:r>
        <w:rPr>
          <w:rFonts w:ascii="Arial" w:cs="Arial" w:eastAsia="Arial" w:hAnsi="Arial"/>
          <w:sz w:val="18"/>
          <w:szCs w:val="18"/>
          <w:color w:val="auto"/>
        </w:rPr>
        <w:t>On March 4, 2021, the Company entered into a Business Combination Agreement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Agreement</w:t>
      </w:r>
      <w:r>
        <w:rPr>
          <w:rFonts w:ascii="Arial" w:cs="Arial" w:eastAsia="Arial" w:hAnsi="Arial"/>
          <w:sz w:val="18"/>
          <w:szCs w:val="18"/>
          <w:color w:val="auto"/>
        </w:rPr>
        <w:t>”), by and among the Company, 1291924 B.C. Unlimited Liability Company, an</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liability company existing under the laws of British Columbia, Canada (“</w:t>
      </w:r>
      <w:r>
        <w:rPr>
          <w:rFonts w:ascii="Arial" w:cs="Arial" w:eastAsia="Arial" w:hAnsi="Arial"/>
          <w:sz w:val="18"/>
          <w:szCs w:val="18"/>
          <w:i w:val="1"/>
          <w:iCs w:val="1"/>
          <w:color w:val="auto"/>
        </w:rPr>
        <w:t>NewCo Sub</w:t>
      </w:r>
      <w:r>
        <w:rPr>
          <w:rFonts w:ascii="Arial" w:cs="Arial" w:eastAsia="Arial" w:hAnsi="Arial"/>
          <w:sz w:val="18"/>
          <w:szCs w:val="18"/>
          <w:color w:val="auto"/>
        </w:rPr>
        <w:t>”), and DeepGreen Metals Inc., a company existing under the laws of British Columbia, Canada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DeepGreen</w:t>
      </w:r>
      <w:r>
        <w:rPr>
          <w:rFonts w:ascii="Arial" w:cs="Arial" w:eastAsia="Arial" w:hAnsi="Arial"/>
          <w:sz w:val="18"/>
          <w:szCs w:val="18"/>
          <w:color w:val="auto"/>
        </w:rPr>
        <w:t>”).</w:t>
      </w:r>
    </w:p>
    <w:p>
      <w:pPr>
        <w:spacing w:after="0" w:line="120"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Pursuant to the Business Combination Agreement, the Company will migrate to and be continued as a company in British Columbia, Canada (the “</w:t>
      </w:r>
      <w:r>
        <w:rPr>
          <w:rFonts w:ascii="Arial" w:cs="Arial" w:eastAsia="Arial" w:hAnsi="Arial"/>
          <w:sz w:val="16"/>
          <w:szCs w:val="16"/>
          <w:i w:val="1"/>
          <w:iCs w:val="1"/>
          <w:color w:val="auto"/>
        </w:rPr>
        <w:t>SOAC Continuance</w:t>
      </w:r>
      <w:r>
        <w:rPr>
          <w:rFonts w:ascii="Arial" w:cs="Arial" w:eastAsia="Arial" w:hAnsi="Arial"/>
          <w:sz w:val="16"/>
          <w:szCs w:val="16"/>
          <w:color w:val="auto"/>
        </w:rPr>
        <w:t>”). Following the SOAC Continuance, pursuant to a plan of arrangement (the “</w:t>
      </w:r>
      <w:r>
        <w:rPr>
          <w:rFonts w:ascii="Arial" w:cs="Arial" w:eastAsia="Arial" w:hAnsi="Arial"/>
          <w:sz w:val="16"/>
          <w:szCs w:val="16"/>
          <w:i w:val="1"/>
          <w:iCs w:val="1"/>
          <w:color w:val="auto"/>
        </w:rPr>
        <w:t>Plan of Arrangement</w:t>
      </w:r>
      <w:r>
        <w:rPr>
          <w:rFonts w:ascii="Arial" w:cs="Arial" w:eastAsia="Arial" w:hAnsi="Arial"/>
          <w:sz w:val="16"/>
          <w:szCs w:val="16"/>
          <w:color w:val="auto"/>
        </w:rPr>
        <w:t xml:space="preserve">”)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the Company will acquire all of the issued and outstanding shares in the capital of DeepGreen (the</w:t>
      </w:r>
    </w:p>
    <w:p>
      <w:pPr>
        <w:spacing w:after="0" w:line="9" w:lineRule="exact"/>
        <w:rPr>
          <w:sz w:val="20"/>
          <w:szCs w:val="20"/>
          <w:color w:val="auto"/>
        </w:rPr>
      </w:pPr>
    </w:p>
    <w:p>
      <w:pPr>
        <w:ind w:left="460" w:right="47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DeepGreen Shares</w:t>
      </w:r>
      <w:r>
        <w:rPr>
          <w:rFonts w:ascii="Arial" w:cs="Arial" w:eastAsia="Arial" w:hAnsi="Arial"/>
          <w:sz w:val="18"/>
          <w:szCs w:val="18"/>
          <w:color w:val="auto"/>
        </w:rPr>
        <w:t>”) from DeepGreen shareholders in exchange for the Company’s common shares (as defined below) and Company Earnout Shares (as defined below) (the “</w:t>
      </w:r>
      <w:r>
        <w:rPr>
          <w:rFonts w:ascii="Arial" w:cs="Arial" w:eastAsia="Arial" w:hAnsi="Arial"/>
          <w:sz w:val="18"/>
          <w:szCs w:val="18"/>
          <w:i w:val="1"/>
          <w:iCs w:val="1"/>
          <w:color w:val="auto"/>
        </w:rPr>
        <w:t>Share Exchange</w:t>
      </w:r>
      <w:r>
        <w:rPr>
          <w:rFonts w:ascii="Arial" w:cs="Arial" w:eastAsia="Arial" w:hAnsi="Arial"/>
          <w:sz w:val="18"/>
          <w:szCs w:val="18"/>
          <w:color w:val="auto"/>
        </w:rPr>
        <w:t>”),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w:t>
      </w:r>
    </w:p>
    <w:p>
      <w:pPr>
        <w:spacing w:after="0" w:line="126"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Each option to purchase common shares in the capital of the Company (the “</w:t>
      </w:r>
      <w:r>
        <w:rPr>
          <w:rFonts w:ascii="Arial" w:cs="Arial" w:eastAsia="Arial" w:hAnsi="Arial"/>
          <w:sz w:val="17"/>
          <w:szCs w:val="17"/>
          <w:i w:val="1"/>
          <w:iCs w:val="1"/>
          <w:color w:val="auto"/>
        </w:rPr>
        <w:t>DeepGreen Options</w:t>
      </w:r>
      <w:r>
        <w:rPr>
          <w:rFonts w:ascii="Arial" w:cs="Arial" w:eastAsia="Arial" w:hAnsi="Arial"/>
          <w:sz w:val="17"/>
          <w:szCs w:val="17"/>
          <w:color w:val="auto"/>
        </w:rPr>
        <w:t>”) will become an option to purchase SOAC Common Shares and Company Earnout Shares on the same terms and conditions (including applicable vesting, expiration and forfeiture provisions) that applied to the corresponding DeepGreen Options immediately prior to closing of the Business Combination.</w:t>
      </w:r>
    </w:p>
    <w:p>
      <w:pPr>
        <w:spacing w:after="0" w:line="90" w:lineRule="exact"/>
        <w:rPr>
          <w:sz w:val="20"/>
          <w:szCs w:val="20"/>
          <w:color w:val="auto"/>
        </w:rPr>
      </w:pPr>
    </w:p>
    <w:p>
      <w:pPr>
        <w:ind w:left="460" w:right="819" w:firstLine="432"/>
        <w:spacing w:after="0" w:line="342" w:lineRule="auto"/>
        <w:rPr>
          <w:sz w:val="20"/>
          <w:szCs w:val="20"/>
          <w:color w:val="auto"/>
        </w:rPr>
      </w:pPr>
      <w:r>
        <w:rPr>
          <w:rFonts w:ascii="Arial" w:cs="Arial" w:eastAsia="Arial" w:hAnsi="Arial"/>
          <w:sz w:val="16"/>
          <w:szCs w:val="16"/>
          <w:color w:val="auto"/>
        </w:rPr>
        <w:t>The Proposed Business Combination is expected to close in the second quarter of 2021, following the receipt of the required approval by the Company’s shareholders and the fulfillment of other conditions.</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shareholders and the optionholders of DeepGreen will be entitled to receive, in exchange for their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DeepGreen Shares or DeepGreen Options, as applicable, an aggregate of (i) will receive shares in the capital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or comparable equity awards that are settled or are exercisable for shares in the capital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Company, as applicable, based on an implied DeepGreen equity value of $2.25 billion after giving effect to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SOAC Continuance (the “</w:t>
      </w:r>
      <w:r>
        <w:rPr>
          <w:rFonts w:ascii="Arial" w:cs="Arial" w:eastAsia="Arial" w:hAnsi="Arial"/>
          <w:sz w:val="17"/>
          <w:szCs w:val="17"/>
          <w:i w:val="1"/>
          <w:iCs w:val="1"/>
          <w:color w:val="auto"/>
        </w:rPr>
        <w:t>SOAC Common Shares</w:t>
      </w:r>
      <w:r>
        <w:rPr>
          <w:rFonts w:ascii="Arial" w:cs="Arial" w:eastAsia="Arial" w:hAnsi="Arial"/>
          <w:sz w:val="17"/>
          <w:szCs w:val="17"/>
          <w:color w:val="auto"/>
        </w:rPr>
        <w:t>”), (ii) 5,000,000 Class A Special Shares, (iii) 10,000,000</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Class B Special Shares, (iv) 10,000,000 Class C Special Shares, (v) 20,000,000 Class D Special Shares, (vi)</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20,000,000 Class E Special Shares, (vii) 20,000,000 Class F Special Shares, (viii) 25,000,000 Class G Special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Shares and (ix) 25,000,000 Class H Special Shares, in each case, in the capital of SOAC (collectively,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Earnout Shares</w:t>
      </w:r>
      <w:r>
        <w:rPr>
          <w:rFonts w:ascii="Arial" w:cs="Arial" w:eastAsia="Arial" w:hAnsi="Arial"/>
          <w:sz w:val="16"/>
          <w:szCs w:val="16"/>
          <w:color w:val="auto"/>
        </w:rPr>
        <w:t>”), or, as applicable, options to purchase such SOAC Common Shares and Company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Earnout Shares.</w:t>
      </w:r>
    </w:p>
    <w:p>
      <w:pPr>
        <w:spacing w:after="0" w:line="14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Concurrently with the execution of the Business Combination Agreement, the Company entered into subscription agreements (the “</w:t>
      </w:r>
      <w:r>
        <w:rPr>
          <w:rFonts w:ascii="Arial" w:cs="Arial" w:eastAsia="Arial" w:hAnsi="Arial"/>
          <w:sz w:val="17"/>
          <w:szCs w:val="17"/>
          <w:i w:val="1"/>
          <w:iCs w:val="1"/>
          <w:color w:val="auto"/>
        </w:rPr>
        <w:t>Subscription Agreements</w:t>
      </w:r>
      <w:r>
        <w:rPr>
          <w:rFonts w:ascii="Arial" w:cs="Arial" w:eastAsia="Arial" w:hAnsi="Arial"/>
          <w:sz w:val="17"/>
          <w:szCs w:val="17"/>
          <w:color w:val="auto"/>
        </w:rPr>
        <w:t>”) with certain institutional and accredited investors, pursuant to which such investors agreed to subscribe for and purchase, and the Company agreed to issue and sell to such investors, substantially concurrently with the Closing (as defined in the Business Combination Agreement), an aggregate of 33,030,000 shares of SOAC Common Shares for $10.00 per share, for aggregate gross proceeds of $330,300,000 (the “</w:t>
      </w:r>
      <w:r>
        <w:rPr>
          <w:rFonts w:ascii="Arial" w:cs="Arial" w:eastAsia="Arial" w:hAnsi="Arial"/>
          <w:sz w:val="17"/>
          <w:szCs w:val="17"/>
          <w:i w:val="1"/>
          <w:iCs w:val="1"/>
          <w:color w:val="auto"/>
        </w:rPr>
        <w:t>PIPE Financing</w:t>
      </w:r>
      <w:r>
        <w:rPr>
          <w:rFonts w:ascii="Arial" w:cs="Arial" w:eastAsia="Arial" w:hAnsi="Arial"/>
          <w:sz w:val="17"/>
          <w:szCs w:val="17"/>
          <w:color w:val="auto"/>
        </w:rPr>
        <w:t>”). The closing of the PIPE Financing is contingent upon, among other things, the substantially concurrent consummation of the Business Combination. The Subscription Agreements provide that the Company will grant the investors in the PIPE Financing certain customary registration rights. The PIPE Financing is contingent upon, among other things, the substantially concurrent closing of the Business Combination.</w:t>
      </w:r>
    </w:p>
    <w:p>
      <w:pPr>
        <w:spacing w:after="0" w:line="10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the financial statements were issued. Based upon this review, the Company did not identify any subsequent events that would have required adjustment or disclosure in the financial statements which have not previously been disclosed within the financial statements.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3" w:name="page204"/>
    <w:bookmarkEnd w:id="20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5"/>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293,323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1,299,301</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133,778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209,784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427,101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1,509,085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2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300,078,204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300,069,135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9"/>
              </w:rPr>
              <w:t>300,505,305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301,578,220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476,646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34,298</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6,812,376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1,846,704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7,289,022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1,881,002</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Long term liabilities: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35,755,000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56,930,000</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Deferred underwriting commissions</w:t>
            </w:r>
          </w:p>
        </w:tc>
        <w:tc>
          <w:tcPr>
            <w:tcW w:w="12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10,500,000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53,544,022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69,311,002</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6"/>
              </w:rPr>
              <w:t>Class A ordinary shares, $0.0001 par value; 30,000,000 and 22,726,721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0"/>
              </w:rPr>
              <w:t>shares subject to possible redemption at June 30, 2021 and December 31,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2020, respectively</w:t>
            </w: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300,078,204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227,267,210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Shareholders’ Equity (Deficit):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Preference shares, $0.0001 par value; 1,000,000 shares authorized; none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issued and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1"/>
              </w:rPr>
              <w:t>Class A ordinary shares, $0.0001 par value; 300,000,000 shares authorized;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3"/>
              </w:rPr>
              <w:t>-0- and 7,273,279 shares issued and outstanding (excluding 30,000,000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3"/>
              </w:rPr>
              <w:t>and 22,726,721 shares subject to possible redemption) at June 30, 2021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and December 31, 2020, respectively</w:t>
            </w:r>
          </w:p>
        </w:tc>
        <w:tc>
          <w:tcPr>
            <w:tcW w:w="12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B ordinary shares, $0.0001 par value; 30,000,000 shares authorized;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7,500,000 shares issued and outstanding at June 30, 2021 and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41,549,625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4"/>
              </w:rPr>
              <w:t>(53,117,671)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(36,551,094)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 (deficit)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(53,116,921</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5,000,008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9"/>
              </w:rPr>
              <w:t>300,505,305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301,578,220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4" w:name="page205"/>
    <w:bookmarkEnd w:id="20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5"/>
              </w:rPr>
              <w:t>For the</w:t>
            </w:r>
          </w:p>
        </w:tc>
        <w:tc>
          <w:tcPr>
            <w:tcW w:w="12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For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5"/>
              </w:rPr>
              <w:t>For the</w:t>
            </w:r>
          </w:p>
        </w:tc>
        <w:tc>
          <w:tcPr>
            <w:tcW w:w="100" w:type="dxa"/>
            <w:vAlign w:val="bottom"/>
          </w:tcPr>
          <w:p>
            <w:pPr>
              <w:spacing w:after="0"/>
              <w:rPr>
                <w:sz w:val="17"/>
                <w:szCs w:val="17"/>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three months</w:t>
            </w:r>
          </w:p>
        </w:tc>
        <w:tc>
          <w:tcPr>
            <w:tcW w:w="10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three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six months</w:t>
            </w:r>
          </w:p>
        </w:tc>
        <w:tc>
          <w:tcPr>
            <w:tcW w:w="100" w:type="dxa"/>
            <w:vAlign w:val="bottom"/>
          </w:tcPr>
          <w:p>
            <w:pPr>
              <w:spacing w:after="0"/>
              <w:rPr>
                <w:sz w:val="17"/>
                <w:szCs w:val="17"/>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six months</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4"/>
              </w:rPr>
              <w:t>ended</w:t>
            </w:r>
          </w:p>
        </w:tc>
        <w:tc>
          <w:tcPr>
            <w:tcW w:w="10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4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3,445,137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307,417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6,430,059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366,416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w w:val="91"/>
              </w:rPr>
              <w:t>General and administrative expenses – related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20" w:type="dxa"/>
            <w:vAlign w:val="bottom"/>
          </w:tcPr>
          <w:p>
            <w:pPr>
              <w:ind w:left="180"/>
              <w:spacing w:after="0"/>
              <w:rPr>
                <w:sz w:val="20"/>
                <w:szCs w:val="20"/>
                <w:color w:val="auto"/>
              </w:rPr>
            </w:pPr>
            <w:r>
              <w:rPr>
                <w:rFonts w:ascii="Arial" w:cs="Arial" w:eastAsia="Arial" w:hAnsi="Arial"/>
                <w:sz w:val="18"/>
                <w:szCs w:val="18"/>
                <w:color w:val="auto"/>
              </w:rPr>
              <w:t>party</w:t>
            </w:r>
          </w:p>
        </w:tc>
        <w:tc>
          <w:tcPr>
            <w:tcW w:w="10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(3,475,137)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(327,417)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(6,490,059)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(386,416)</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4"/>
              </w:rPr>
              <w:t>(13,705,000)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21,175,000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1,170,000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420" w:type="dxa"/>
            <w:vAlign w:val="bottom"/>
          </w:tcPr>
          <w:p>
            <w:pPr>
              <w:ind w:left="180"/>
              <w:spacing w:after="0" w:line="201" w:lineRule="exact"/>
              <w:rPr>
                <w:sz w:val="20"/>
                <w:szCs w:val="20"/>
                <w:color w:val="auto"/>
              </w:rPr>
            </w:pPr>
            <w:r>
              <w:rPr>
                <w:rFonts w:ascii="Arial" w:cs="Arial" w:eastAsia="Arial" w:hAnsi="Arial"/>
                <w:sz w:val="18"/>
                <w:szCs w:val="18"/>
                <w:color w:val="auto"/>
              </w:rPr>
              <w:t>Net gain on investments held in Trust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360"/>
              <w:spacing w:after="0"/>
              <w:rPr>
                <w:sz w:val="20"/>
                <w:szCs w:val="20"/>
                <w:color w:val="auto"/>
              </w:rPr>
            </w:pPr>
            <w:r>
              <w:rPr>
                <w:rFonts w:ascii="Arial" w:cs="Arial" w:eastAsia="Arial" w:hAnsi="Arial"/>
                <w:sz w:val="18"/>
                <w:szCs w:val="18"/>
                <w:color w:val="auto"/>
              </w:rPr>
              <w:t>Account</w:t>
            </w: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4,560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41,768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41,768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Offering costs allocated to derivative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(877,647)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(877,647)</w:t>
            </w:r>
          </w:p>
        </w:tc>
        <w:tc>
          <w:tcPr>
            <w:tcW w:w="0" w:type="dxa"/>
            <w:vAlign w:val="bottom"/>
          </w:tcPr>
          <w:p>
            <w:pPr>
              <w:spacing w:after="0"/>
              <w:rPr>
                <w:sz w:val="1"/>
                <w:szCs w:val="1"/>
                <w:color w:val="auto"/>
              </w:rPr>
            </w:pPr>
          </w:p>
        </w:tc>
      </w:tr>
      <w:tr>
        <w:trPr>
          <w:trHeight w:val="257"/>
        </w:trPr>
        <w:tc>
          <w:tcPr>
            <w:tcW w:w="3420" w:type="dxa"/>
            <w:vAlign w:val="bottom"/>
          </w:tcPr>
          <w:p>
            <w:pPr>
              <w:ind w:left="180"/>
              <w:spacing w:after="0"/>
              <w:rPr>
                <w:sz w:val="20"/>
                <w:szCs w:val="20"/>
                <w:color w:val="auto"/>
              </w:rPr>
            </w:pPr>
            <w:r>
              <w:rPr>
                <w:rFonts w:ascii="Arial" w:cs="Arial" w:eastAsia="Arial" w:hAnsi="Arial"/>
                <w:sz w:val="18"/>
                <w:szCs w:val="18"/>
                <w:color w:val="auto"/>
              </w:rPr>
              <w:t>Interest earned</w:t>
            </w:r>
          </w:p>
        </w:tc>
        <w:tc>
          <w:tcPr>
            <w:tcW w:w="10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(17,175,554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14,694,066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(52,276</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Weighted average shares outstanding of</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3"/>
              </w:rPr>
              <w:t>shares subject to redemption, basic and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30,000,000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26,284,377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27,468,417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26,284,377</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spacing w:after="0" w:line="198" w:lineRule="exact"/>
              <w:rPr>
                <w:sz w:val="20"/>
                <w:szCs w:val="20"/>
                <w:color w:val="auto"/>
              </w:rPr>
            </w:pPr>
            <w:r>
              <w:rPr>
                <w:rFonts w:ascii="Arial" w:cs="Arial" w:eastAsia="Arial" w:hAnsi="Arial"/>
                <w:sz w:val="18"/>
                <w:szCs w:val="18"/>
                <w:b w:val="1"/>
                <w:bCs w:val="1"/>
                <w:color w:val="auto"/>
                <w:w w:val="99"/>
              </w:rPr>
              <w:t>Basic and 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180"/>
              <w:spacing w:after="0"/>
              <w:rPr>
                <w:sz w:val="20"/>
                <w:szCs w:val="20"/>
                <w:color w:val="auto"/>
              </w:rPr>
            </w:pPr>
            <w:r>
              <w:rPr>
                <w:rFonts w:ascii="Arial" w:cs="Arial" w:eastAsia="Arial" w:hAnsi="Arial"/>
                <w:sz w:val="18"/>
                <w:szCs w:val="18"/>
                <w:b w:val="1"/>
                <w:bCs w:val="1"/>
                <w:color w:val="auto"/>
              </w:rPr>
              <w:t>shares subject to redemption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4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Weighted average ordinary shares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outstanding, basic and diluted</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7,500,000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9,649,510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10,031,583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8,602,438</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spacing w:after="0" w:line="198" w:lineRule="exact"/>
              <w:rPr>
                <w:sz w:val="20"/>
                <w:szCs w:val="20"/>
                <w:color w:val="auto"/>
              </w:rPr>
            </w:pPr>
            <w:r>
              <w:rPr>
                <w:rFonts w:ascii="Arial" w:cs="Arial" w:eastAsia="Arial" w:hAnsi="Arial"/>
                <w:sz w:val="18"/>
                <w:szCs w:val="18"/>
                <w:b w:val="1"/>
                <w:bCs w:val="1"/>
                <w:color w:val="auto"/>
              </w:rPr>
              <w:t>Basic and diluted net income (loss) per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3420" w:type="dxa"/>
            <w:vAlign w:val="bottom"/>
          </w:tcPr>
          <w:p>
            <w:pPr>
              <w:ind w:left="180"/>
              <w:spacing w:after="0"/>
              <w:rPr>
                <w:sz w:val="20"/>
                <w:szCs w:val="20"/>
                <w:color w:val="auto"/>
              </w:rPr>
            </w:pPr>
            <w:r>
              <w:rPr>
                <w:rFonts w:ascii="Arial" w:cs="Arial" w:eastAsia="Arial" w:hAnsi="Arial"/>
                <w:sz w:val="18"/>
                <w:szCs w:val="18"/>
                <w:b w:val="1"/>
                <w:bCs w:val="1"/>
                <w:color w:val="auto"/>
              </w:rPr>
              <w:t>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5" w:name="page206"/>
    <w:bookmarkEnd w:id="20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CONDENSED CONSOLIDATED STATEMENTS OF CHANGES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IN SHAREHOLDERS’ EQUITY (DEFICIT) (Unaudited)</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60" w:type="dxa"/>
            <w:vAlign w:val="bottom"/>
            <w:gridSpan w:val="21"/>
          </w:tcPr>
          <w:p>
            <w:pPr>
              <w:jc w:val="center"/>
              <w:ind w:right="480"/>
              <w:spacing w:after="0"/>
              <w:rPr>
                <w:sz w:val="20"/>
                <w:szCs w:val="20"/>
                <w:color w:val="auto"/>
              </w:rPr>
            </w:pPr>
            <w:r>
              <w:rPr>
                <w:rFonts w:ascii="Arial" w:cs="Arial" w:eastAsia="Arial" w:hAnsi="Arial"/>
                <w:sz w:val="14"/>
                <w:szCs w:val="14"/>
                <w:b w:val="1"/>
                <w:bCs w:val="1"/>
                <w:color w:val="auto"/>
                <w:w w:val="91"/>
              </w:rPr>
              <w:t>For the three and six months ended June 30, 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10"/>
          </w:tcPr>
          <w:p>
            <w:pPr>
              <w:ind w:left="4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6"/>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Class A</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3"/>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4"/>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vMerge w:val="restart"/>
          </w:tcPr>
          <w:p>
            <w:pPr>
              <w:spacing w:after="0"/>
              <w:rPr>
                <w:sz w:val="5"/>
                <w:szCs w:val="5"/>
                <w:color w:val="auto"/>
              </w:rPr>
            </w:pPr>
          </w:p>
        </w:tc>
        <w:tc>
          <w:tcPr>
            <w:tcW w:w="980" w:type="dxa"/>
            <w:vAlign w:val="bottom"/>
            <w:gridSpan w:val="5"/>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5"/>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5"/>
                <w:szCs w:val="5"/>
                <w:color w:val="auto"/>
              </w:rPr>
            </w:pPr>
          </w:p>
        </w:tc>
        <w:tc>
          <w:tcPr>
            <w:tcW w:w="8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98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20" w:type="dxa"/>
            <w:vAlign w:val="bottom"/>
            <w:gridSpan w:val="6"/>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6"/>
        </w:trPr>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6"/>
              </w:rPr>
              <w:t>Balance – December 31,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7,273,279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7,500,000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41,549,625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0"/>
              </w:rPr>
              <w:t>$ (36,551,094)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5,000,008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780" w:type="dxa"/>
            <w:vAlign w:val="bottom"/>
          </w:tcPr>
          <w:p>
            <w:pPr>
              <w:spacing w:after="0"/>
              <w:rPr>
                <w:sz w:val="20"/>
                <w:szCs w:val="20"/>
                <w:color w:val="auto"/>
              </w:rPr>
            </w:pPr>
            <w:r>
              <w:rPr>
                <w:rFonts w:ascii="Arial" w:cs="Arial" w:eastAsia="Arial" w:hAnsi="Arial"/>
                <w:sz w:val="16"/>
                <w:szCs w:val="16"/>
                <w:color w:val="auto"/>
                <w:w w:val="97"/>
              </w:rPr>
              <w:t>Measurement adjustment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tcPr>
          <w:p>
            <w:pPr>
              <w:ind w:left="180"/>
              <w:spacing w:after="0"/>
              <w:rPr>
                <w:sz w:val="20"/>
                <w:szCs w:val="20"/>
                <w:color w:val="auto"/>
              </w:rPr>
            </w:pPr>
            <w:r>
              <w:rPr>
                <w:rFonts w:ascii="Arial" w:cs="Arial" w:eastAsia="Arial" w:hAnsi="Arial"/>
                <w:sz w:val="16"/>
                <w:szCs w:val="16"/>
                <w:color w:val="auto"/>
                <w:w w:val="93"/>
              </w:rPr>
              <w:t>on redeemable ordinary</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180"/>
              <w:spacing w:after="0"/>
              <w:rPr>
                <w:sz w:val="20"/>
                <w:szCs w:val="20"/>
                <w:color w:val="auto"/>
              </w:rPr>
            </w:pPr>
            <w:r>
              <w:rPr>
                <w:rFonts w:ascii="Arial" w:cs="Arial" w:eastAsia="Arial" w:hAnsi="Arial"/>
                <w:sz w:val="16"/>
                <w:szCs w:val="16"/>
                <w:color w:val="auto"/>
              </w:rPr>
              <w:t>shares</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(7,273,279)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(727)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w w:val="90"/>
              </w:rPr>
              <w:t>$ (41,549,625)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6"/>
          </w:tcPr>
          <w:p>
            <w:pPr>
              <w:jc w:val="right"/>
              <w:ind w:right="40"/>
              <w:spacing w:after="0"/>
              <w:rPr>
                <w:sz w:val="20"/>
                <w:szCs w:val="20"/>
                <w:color w:val="auto"/>
              </w:rPr>
            </w:pPr>
            <w:r>
              <w:rPr>
                <w:rFonts w:ascii="Arial" w:cs="Arial" w:eastAsia="Arial" w:hAnsi="Arial"/>
                <w:sz w:val="16"/>
                <w:szCs w:val="16"/>
                <w:color w:val="auto"/>
                <w:w w:val="90"/>
              </w:rPr>
              <w:t>$ (31,256,083)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w w:val="96"/>
              </w:rPr>
              <w:t>(72,806,435)</w:t>
            </w:r>
          </w:p>
        </w:tc>
        <w:tc>
          <w:tcPr>
            <w:tcW w:w="0" w:type="dxa"/>
            <w:vAlign w:val="bottom"/>
          </w:tcPr>
          <w:p>
            <w:pPr>
              <w:spacing w:after="0"/>
              <w:rPr>
                <w:sz w:val="1"/>
                <w:szCs w:val="1"/>
                <w:color w:val="auto"/>
              </w:rPr>
            </w:pPr>
          </w:p>
        </w:tc>
      </w:tr>
      <w:tr>
        <w:trPr>
          <w:trHeight w:val="47"/>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31,869,620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31,869,620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80" w:type="dxa"/>
            <w:vAlign w:val="bottom"/>
          </w:tcPr>
          <w:p>
            <w:pPr>
              <w:spacing w:after="0" w:line="169" w:lineRule="exact"/>
              <w:rPr>
                <w:sz w:val="20"/>
                <w:szCs w:val="20"/>
                <w:color w:val="auto"/>
              </w:rPr>
            </w:pPr>
            <w:r>
              <w:rPr>
                <w:rFonts w:ascii="Arial" w:cs="Arial" w:eastAsia="Arial" w:hAnsi="Arial"/>
                <w:sz w:val="16"/>
                <w:szCs w:val="16"/>
                <w:b w:val="1"/>
                <w:bCs w:val="1"/>
                <w:color w:val="auto"/>
              </w:rPr>
              <w:t>Balance – March 31,</w:t>
            </w: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780" w:type="dxa"/>
            <w:vAlign w:val="bottom"/>
          </w:tcPr>
          <w:p>
            <w:pPr>
              <w:ind w:left="18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5"/>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7,500,000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6"/>
          </w:tcPr>
          <w:p>
            <w:pPr>
              <w:jc w:val="right"/>
              <w:ind w:right="40"/>
              <w:spacing w:after="0"/>
              <w:rPr>
                <w:sz w:val="20"/>
                <w:szCs w:val="20"/>
                <w:color w:val="auto"/>
              </w:rPr>
            </w:pPr>
            <w:r>
              <w:rPr>
                <w:rFonts w:ascii="Arial" w:cs="Arial" w:eastAsia="Arial" w:hAnsi="Arial"/>
                <w:sz w:val="16"/>
                <w:szCs w:val="16"/>
                <w:color w:val="auto"/>
              </w:rPr>
              <w:t>(35,937,557)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w w:val="96"/>
              </w:rPr>
              <w:t>(35,936,807)</w:t>
            </w:r>
          </w:p>
        </w:tc>
        <w:tc>
          <w:tcPr>
            <w:tcW w:w="0" w:type="dxa"/>
            <w:vAlign w:val="bottom"/>
          </w:tcPr>
          <w:p>
            <w:pPr>
              <w:spacing w:after="0"/>
              <w:rPr>
                <w:sz w:val="1"/>
                <w:szCs w:val="1"/>
                <w:color w:val="auto"/>
              </w:rPr>
            </w:pPr>
          </w:p>
        </w:tc>
      </w:tr>
      <w:tr>
        <w:trPr>
          <w:trHeight w:val="153"/>
        </w:trPr>
        <w:tc>
          <w:tcPr>
            <w:tcW w:w="178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6"/>
                <w:szCs w:val="16"/>
                <w:color w:val="auto"/>
                <w:w w:val="97"/>
              </w:rPr>
              <w:t>Measurement adjustment</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on redeemable ordinary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(4,560)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(4,560)</w:t>
            </w:r>
          </w:p>
        </w:tc>
        <w:tc>
          <w:tcPr>
            <w:tcW w:w="0" w:type="dxa"/>
            <w:vAlign w:val="bottom"/>
          </w:tcPr>
          <w:p>
            <w:pPr>
              <w:spacing w:after="0"/>
              <w:rPr>
                <w:sz w:val="1"/>
                <w:szCs w:val="1"/>
                <w:color w:val="auto"/>
              </w:rPr>
            </w:pPr>
          </w:p>
        </w:tc>
      </w:tr>
      <w:tr>
        <w:trPr>
          <w:trHeight w:val="251"/>
        </w:trPr>
        <w:tc>
          <w:tcPr>
            <w:tcW w:w="178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5"/>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6"/>
          </w:tcPr>
          <w:p>
            <w:pPr>
              <w:jc w:val="right"/>
              <w:ind w:right="40"/>
              <w:spacing w:after="0"/>
              <w:rPr>
                <w:sz w:val="20"/>
                <w:szCs w:val="20"/>
                <w:color w:val="auto"/>
              </w:rPr>
            </w:pPr>
            <w:r>
              <w:rPr>
                <w:rFonts w:ascii="Arial" w:cs="Arial" w:eastAsia="Arial" w:hAnsi="Arial"/>
                <w:sz w:val="16"/>
                <w:szCs w:val="16"/>
                <w:color w:val="auto"/>
              </w:rPr>
              <w:t>(17,175,554)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w w:val="96"/>
              </w:rPr>
              <w:t>(17,175,554)</w:t>
            </w:r>
          </w:p>
        </w:tc>
        <w:tc>
          <w:tcPr>
            <w:tcW w:w="0" w:type="dxa"/>
            <w:vAlign w:val="bottom"/>
          </w:tcPr>
          <w:p>
            <w:pPr>
              <w:spacing w:after="0"/>
              <w:rPr>
                <w:sz w:val="1"/>
                <w:szCs w:val="1"/>
                <w:color w:val="auto"/>
              </w:rPr>
            </w:pPr>
          </w:p>
        </w:tc>
      </w:tr>
      <w:tr>
        <w:trPr>
          <w:trHeight w:val="33"/>
        </w:trPr>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Balance – June 30, 2021</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gridSpan w:val="2"/>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gridSpan w:val="4"/>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7,500,000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6"/>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(53,117,671)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6"/>
              </w:rPr>
              <w:t>(53,116,921)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22"/>
          </w:tcPr>
          <w:p>
            <w:pPr>
              <w:jc w:val="center"/>
              <w:ind w:right="520"/>
              <w:spacing w:after="0"/>
              <w:rPr>
                <w:sz w:val="20"/>
                <w:szCs w:val="20"/>
                <w:color w:val="auto"/>
              </w:rPr>
            </w:pPr>
            <w:r>
              <w:rPr>
                <w:rFonts w:ascii="Arial" w:cs="Arial" w:eastAsia="Arial" w:hAnsi="Arial"/>
                <w:sz w:val="14"/>
                <w:szCs w:val="14"/>
                <w:b w:val="1"/>
                <w:bCs w:val="1"/>
                <w:color w:val="auto"/>
                <w:w w:val="91"/>
              </w:rPr>
              <w:t>For the three and six months ended June 30, 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10"/>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6"/>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10"/>
          </w:tcPr>
          <w:p>
            <w:pPr>
              <w:ind w:left="4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5"/>
        </w:trPr>
        <w:tc>
          <w:tcPr>
            <w:tcW w:w="1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Class A</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w w:val="97"/>
              </w:rPr>
              <w:t>Class B</w:t>
            </w: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3"/>
        </w:trPr>
        <w:tc>
          <w:tcPr>
            <w:tcW w:w="17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5"/>
            <w:vMerge w:val="restart"/>
          </w:tcPr>
          <w:p>
            <w:pPr>
              <w:jc w:val="right"/>
              <w:spacing w:after="0" w:line="149" w:lineRule="exact"/>
              <w:rPr>
                <w:sz w:val="20"/>
                <w:szCs w:val="20"/>
                <w:color w:val="auto"/>
              </w:rPr>
            </w:pPr>
            <w:r>
              <w:rPr>
                <w:rFonts w:ascii="Arial" w:cs="Arial" w:eastAsia="Arial" w:hAnsi="Arial"/>
                <w:sz w:val="14"/>
                <w:szCs w:val="14"/>
                <w:b w:val="1"/>
                <w:bCs w:val="1"/>
                <w:color w:val="auto"/>
                <w:w w:val="97"/>
              </w:rPr>
              <w:t>Additional Paid-</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4"/>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5"/>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5"/>
                <w:szCs w:val="5"/>
                <w:color w:val="auto"/>
              </w:rPr>
            </w:pPr>
          </w:p>
        </w:tc>
        <w:tc>
          <w:tcPr>
            <w:tcW w:w="8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5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5"/>
                <w:szCs w:val="5"/>
                <w:color w:val="auto"/>
              </w:rPr>
            </w:pPr>
          </w:p>
        </w:tc>
        <w:tc>
          <w:tcPr>
            <w:tcW w:w="106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in 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5"/>
        </w:trPr>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December 31,2019</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8,625,000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863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24,137</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   (9,039)</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15,961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5"/>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6"/>
                <w:szCs w:val="16"/>
                <w:color w:val="auto"/>
              </w:rPr>
              <w:t>(58,999)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(58,999)</w:t>
            </w:r>
          </w:p>
        </w:tc>
        <w:tc>
          <w:tcPr>
            <w:tcW w:w="0" w:type="dxa"/>
            <w:vAlign w:val="bottom"/>
          </w:tcPr>
          <w:p>
            <w:pPr>
              <w:spacing w:after="0"/>
              <w:rPr>
                <w:sz w:val="1"/>
                <w:szCs w:val="1"/>
                <w:color w:val="auto"/>
              </w:rPr>
            </w:pPr>
          </w:p>
        </w:tc>
      </w:tr>
      <w:tr>
        <w:trPr>
          <w:trHeight w:val="33"/>
        </w:trPr>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 March 31,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8,625,000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863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24,137</w:t>
            </w:r>
          </w:p>
        </w:tc>
        <w:tc>
          <w:tcPr>
            <w:tcW w:w="8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(68,038)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(43,038)</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Sale of units in initial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4"/>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180"/>
              <w:spacing w:after="0"/>
              <w:rPr>
                <w:sz w:val="20"/>
                <w:szCs w:val="20"/>
                <w:color w:val="auto"/>
              </w:rPr>
            </w:pPr>
            <w:r>
              <w:rPr>
                <w:rFonts w:ascii="Arial" w:cs="Arial" w:eastAsia="Arial" w:hAnsi="Arial"/>
                <w:sz w:val="16"/>
                <w:szCs w:val="16"/>
                <w:color w:val="auto"/>
              </w:rPr>
              <w:t>public offering, gross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w w:val="97"/>
              </w:rPr>
              <w:t>30,000,000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w w:val="99"/>
              </w:rPr>
              <w:t>3,000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6"/>
              </w:rPr>
              <w:t>285,297,000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6"/>
              </w:rPr>
              <w:t>285,300,000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Offering costs</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(16,506,689)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(16,506,689)</w:t>
            </w:r>
          </w:p>
        </w:tc>
        <w:tc>
          <w:tcPr>
            <w:tcW w:w="0" w:type="dxa"/>
            <w:vAlign w:val="bottom"/>
          </w:tcPr>
          <w:p>
            <w:pPr>
              <w:spacing w:after="0"/>
              <w:rPr>
                <w:sz w:val="1"/>
                <w:szCs w:val="1"/>
                <w:color w:val="auto"/>
              </w:rPr>
            </w:pPr>
          </w:p>
        </w:tc>
      </w:tr>
      <w:tr>
        <w:trPr>
          <w:trHeight w:val="193"/>
        </w:trPr>
        <w:tc>
          <w:tcPr>
            <w:tcW w:w="1780" w:type="dxa"/>
            <w:vAlign w:val="bottom"/>
          </w:tcPr>
          <w:p>
            <w:pPr>
              <w:spacing w:after="0"/>
              <w:rPr>
                <w:sz w:val="20"/>
                <w:szCs w:val="20"/>
                <w:color w:val="auto"/>
              </w:rPr>
            </w:pPr>
            <w:r>
              <w:rPr>
                <w:rFonts w:ascii="Arial" w:cs="Arial" w:eastAsia="Arial" w:hAnsi="Arial"/>
                <w:sz w:val="16"/>
                <w:szCs w:val="16"/>
                <w:color w:val="auto"/>
              </w:rPr>
              <w:t>Forfeiture of Class B</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180"/>
              <w:spacing w:after="0"/>
              <w:rPr>
                <w:sz w:val="20"/>
                <w:szCs w:val="20"/>
                <w:color w:val="auto"/>
              </w:rPr>
            </w:pPr>
            <w:r>
              <w:rPr>
                <w:rFonts w:ascii="Arial" w:cs="Arial" w:eastAsia="Arial" w:hAnsi="Arial"/>
                <w:sz w:val="16"/>
                <w:szCs w:val="16"/>
                <w:color w:val="auto"/>
              </w:rPr>
              <w:t>ordinary shares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w w:val="95"/>
              </w:rPr>
              <w:t>(1,125,000)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w w:val="90"/>
              </w:rPr>
              <w:t>(113)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w w:val="94"/>
              </w:rPr>
              <w:t>Ordinary shares subject to</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possible redemption</w:t>
            </w: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0"/>
              </w:rPr>
              <w:t>(26,375,699)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86"/>
              </w:rPr>
              <w:t>(2,638)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4"/>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w w:val="92"/>
              </w:rPr>
              <w:t>(263,754,351)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2"/>
              </w:rPr>
              <w:t>(263,756,989)</w:t>
            </w: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4"/>
          </w:tcPr>
          <w:p>
            <w:pPr>
              <w:jc w:val="right"/>
              <w:ind w:right="80"/>
              <w:spacing w:after="0"/>
              <w:rPr>
                <w:sz w:val="20"/>
                <w:szCs w:val="20"/>
                <w:color w:val="auto"/>
              </w:rPr>
            </w:pPr>
            <w:r>
              <w:rPr>
                <w:rFonts w:ascii="Arial" w:cs="Arial" w:eastAsia="Arial" w:hAnsi="Arial"/>
                <w:sz w:val="16"/>
                <w:szCs w:val="16"/>
                <w:color w:val="auto"/>
              </w:rPr>
              <w:t>6,723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6,723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Balance – June 30, 2020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3,624,301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362</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7,500,000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750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5,060,210</w:t>
            </w:r>
          </w:p>
        </w:tc>
        <w:tc>
          <w:tcPr>
            <w:tcW w:w="8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(61,315)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5,000,007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6" w:name="page207"/>
    <w:bookmarkEnd w:id="20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2"/>
              </w:rPr>
              <w:t>For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7"/>
              </w:rPr>
              <w:t>six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6"/>
                <w:szCs w:val="16"/>
                <w:b w:val="1"/>
                <w:bCs w:val="1"/>
                <w:color w:val="auto"/>
                <w:w w:val="91"/>
              </w:rPr>
              <w:t>six months ended</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5"/>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4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14,694,066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(52,276)</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Adjustments to reconcile net income (loss) to net cash used in operating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w w:val="90"/>
              </w:rPr>
              <w:t>(21,175,000)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(1,170,000)</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allocated to derivative warrant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877,647</w:t>
            </w:r>
          </w:p>
        </w:tc>
        <w:tc>
          <w:tcPr>
            <w:tcW w:w="0" w:type="dxa"/>
            <w:vAlign w:val="bottom"/>
          </w:tcPr>
          <w:p>
            <w:pPr>
              <w:spacing w:after="0"/>
              <w:rPr>
                <w:sz w:val="1"/>
                <w:szCs w:val="1"/>
                <w:color w:val="auto"/>
              </w:rPr>
            </w:pPr>
          </w:p>
        </w:tc>
      </w:tr>
      <w:tr>
        <w:trPr>
          <w:trHeight w:val="202"/>
        </w:trPr>
        <w:tc>
          <w:tcPr>
            <w:tcW w:w="5480" w:type="dxa"/>
            <w:vAlign w:val="bottom"/>
          </w:tcPr>
          <w:p>
            <w:pPr>
              <w:ind w:left="180"/>
              <w:spacing w:after="0" w:line="201" w:lineRule="exact"/>
              <w:rPr>
                <w:sz w:val="20"/>
                <w:szCs w:val="20"/>
                <w:color w:val="auto"/>
              </w:rPr>
            </w:pPr>
            <w:r>
              <w:rPr>
                <w:rFonts w:ascii="Arial" w:cs="Arial" w:eastAsia="Arial" w:hAnsi="Arial"/>
                <w:sz w:val="18"/>
                <w:szCs w:val="18"/>
                <w:color w:val="auto"/>
                <w:w w:val="94"/>
              </w:rPr>
              <w:t>General and administrative expenses paid by related party under note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agreement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70,123</w:t>
            </w:r>
          </w:p>
        </w:tc>
        <w:tc>
          <w:tcPr>
            <w:tcW w:w="0" w:type="dxa"/>
            <w:vAlign w:val="bottom"/>
          </w:tcPr>
          <w:p>
            <w:pPr>
              <w:spacing w:after="0"/>
              <w:rPr>
                <w:sz w:val="1"/>
                <w:szCs w:val="1"/>
                <w:color w:val="auto"/>
              </w:rPr>
            </w:pPr>
          </w:p>
        </w:tc>
      </w:tr>
      <w:tr>
        <w:trPr>
          <w:trHeight w:val="41"/>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on investments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(9,070)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(41,768)</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76,006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(79,318)</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442,348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(94,294)</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4,965,672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37"/>
        </w:trPr>
        <w:tc>
          <w:tcPr>
            <w:tcW w:w="548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(1,005,978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(472,886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deposited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0"/>
              </w:rPr>
              <w:t>(300,000,000)</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300,000,000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received from initial public offering, gross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300,000,000</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Proceeds from private placement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9,500,000</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costs paid</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(6,702,088)</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Repayment of note payable from related party</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(162,979)</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302,634,933</w:t>
            </w:r>
          </w:p>
        </w:tc>
        <w:tc>
          <w:tcPr>
            <w:tcW w:w="0" w:type="dxa"/>
            <w:vAlign w:val="bottom"/>
          </w:tcPr>
          <w:p>
            <w:pPr>
              <w:spacing w:after="0"/>
              <w:rPr>
                <w:sz w:val="1"/>
                <w:szCs w:val="1"/>
                <w:color w:val="auto"/>
              </w:rPr>
            </w:pPr>
          </w:p>
        </w:tc>
      </w:tr>
      <w:tr>
        <w:trPr>
          <w:trHeight w:val="277"/>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9"/>
              </w:rPr>
              <w:t>(1,005,978)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2,162,047</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0"/>
                <w:szCs w:val="20"/>
                <w:color w:val="auto"/>
              </w:rPr>
            </w:pPr>
            <w:r>
              <w:rPr>
                <w:rFonts w:ascii="Arial" w:cs="Arial" w:eastAsia="Arial" w:hAnsi="Arial"/>
                <w:sz w:val="18"/>
                <w:szCs w:val="18"/>
                <w:b w:val="1"/>
                <w:bCs w:val="1"/>
                <w:color w:val="auto"/>
              </w:rPr>
              <w:t>Cash – beginning of the period</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1,299,301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the period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293,323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2,162,047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9"/>
              </w:rPr>
              <w:t>Supplemental disclosure of noncash investing and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Offering costs included in accounts payable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244,444</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included in accrued expenses</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Offering costs included in note payable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92,856</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 of retainer for offering costs</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02"/>
        </w:trPr>
        <w:tc>
          <w:tcPr>
            <w:tcW w:w="5480" w:type="dxa"/>
            <w:vAlign w:val="bottom"/>
          </w:tcPr>
          <w:p>
            <w:pPr>
              <w:ind w:left="180"/>
              <w:spacing w:after="0" w:line="201" w:lineRule="exact"/>
              <w:rPr>
                <w:sz w:val="20"/>
                <w:szCs w:val="20"/>
                <w:color w:val="auto"/>
              </w:rPr>
            </w:pPr>
            <w:r>
              <w:rPr>
                <w:rFonts w:ascii="Arial" w:cs="Arial" w:eastAsia="Arial" w:hAnsi="Arial"/>
                <w:sz w:val="18"/>
                <w:szCs w:val="18"/>
                <w:color w:val="auto"/>
                <w:w w:val="94"/>
              </w:rPr>
              <w:t>Deferred underwriting commissions in connection with the initial public</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offering</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41"/>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Forfeiture of Class B ordinary shares</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w w:val="95"/>
              </w:rPr>
              <w:t>Initial value of Class A ordinary shares subject to possible redemption</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262,826,540</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Measurement adjustment on redeemable ordinary shares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72,810,995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930,449</w:t>
            </w:r>
          </w:p>
        </w:tc>
        <w:tc>
          <w:tcPr>
            <w:tcW w:w="0" w:type="dxa"/>
            <w:vAlign w:val="bottom"/>
          </w:tcPr>
          <w:p>
            <w:pPr>
              <w:spacing w:after="0"/>
              <w:rPr>
                <w:sz w:val="1"/>
                <w:szCs w:val="1"/>
                <w:color w:val="auto"/>
              </w:rPr>
            </w:pPr>
          </w:p>
        </w:tc>
      </w:tr>
      <w:tr>
        <w:trPr>
          <w:trHeight w:val="41"/>
        </w:trPr>
        <w:tc>
          <w:tcPr>
            <w:tcW w:w="5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7" w:name="page208"/>
    <w:bookmarkEnd w:id="20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4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w:t>
      </w:r>
    </w:p>
    <w:p>
      <w:pPr>
        <w:spacing w:after="0" w:line="125"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As of June 30, 2021, the Company had not commenced any operations. All activity for the period from December 18, 2019 (inception) through June 30, 2021 relates to the Company’s formation, the initial public offering (the “Initial Public Offering”), and, since the closing of the Initial Public Offering, a search for a business combination candidate. The Company will not generate any operating revenues until after the completion of its initial Business Combination, at the earliest. The Company generates non-operating income in the form of interest income on cash from the proceeds derived from the Initial Public Offering and interest income earned on investments held in Trust Account.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Proposed Business Combination and Related Transactions</w:t>
      </w:r>
    </w:p>
    <w:p>
      <w:pPr>
        <w:spacing w:after="0" w:line="158" w:lineRule="exact"/>
        <w:rPr>
          <w:sz w:val="20"/>
          <w:szCs w:val="20"/>
          <w:color w:val="auto"/>
        </w:rPr>
      </w:pPr>
    </w:p>
    <w:p>
      <w:pPr>
        <w:ind w:left="460" w:right="999" w:firstLine="432"/>
        <w:spacing w:after="0" w:line="301" w:lineRule="auto"/>
        <w:rPr>
          <w:sz w:val="20"/>
          <w:szCs w:val="20"/>
          <w:color w:val="auto"/>
        </w:rPr>
      </w:pPr>
      <w:r>
        <w:rPr>
          <w:rFonts w:ascii="Arial" w:cs="Arial" w:eastAsia="Arial" w:hAnsi="Arial"/>
          <w:sz w:val="16"/>
          <w:szCs w:val="16"/>
          <w:color w:val="auto"/>
        </w:rPr>
        <w:t>On March 4, 2021, the Company entered into a Business Combination Agreement (the “Business Combination Agreement”), by and among the Company, 1291924 B.C. Unlimited Liability Company, an unlimited liability company existing under the laws of British Columbia, Canada (“NewCo Sub”), and DeepGreen Metals Inc., a company existing under the laws of British Columbia, Canada (“DeepGreen”).</w:t>
      </w:r>
    </w:p>
    <w:p>
      <w:pPr>
        <w:spacing w:after="0" w:line="76"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Pursuant to the Business Combination Agreement, the Company will migrate to and be continued as a company in British Columbia, Canada (the “SOAC Continuance”). Following the SOAC Continuance, pursuant to a plan of arrangement (the “Plan of Arrangement”) under the Business Corporations Act (British Columbia),</w:t>
      </w:r>
    </w:p>
    <w:p>
      <w:pPr>
        <w:spacing w:after="0" w:line="2" w:lineRule="exact"/>
        <w:rPr>
          <w:sz w:val="20"/>
          <w:szCs w:val="20"/>
          <w:color w:val="auto"/>
        </w:rPr>
      </w:pPr>
    </w:p>
    <w:p>
      <w:pPr>
        <w:ind w:left="460" w:right="499" w:hanging="6"/>
        <w:spacing w:after="0" w:line="252" w:lineRule="auto"/>
        <w:tabs>
          <w:tab w:leader="none" w:pos="6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will acquire all of the issued and outstanding shares in the capital of DeepGreen (the “DeepGreen Shares”) from DeepGreen shareholders in exchange for the Company’s ordinary shares (as defined below) and Company Earnout Shares (as defined below) (the “Share Exchange”),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w:t>
      </w:r>
    </w:p>
    <w:p>
      <w:pPr>
        <w:spacing w:after="0" w:line="125"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Each option to purchase ordinary shares in the capital of the Company (the “DeepGreen Options”) will become an option to purchase SOAC ordinary shares and Company Earnout Shares on the same terms and conditions (including applicable vesting, expiration and forfeiture provisions) that applied to the corresponding DeepGreen Options immediately prior to closing of the Business Combination.</w:t>
      </w:r>
    </w:p>
    <w:p>
      <w:pPr>
        <w:spacing w:after="0" w:line="104" w:lineRule="exact"/>
        <w:rPr>
          <w:sz w:val="20"/>
          <w:szCs w:val="20"/>
          <w:color w:val="auto"/>
        </w:rPr>
      </w:pPr>
    </w:p>
    <w:p>
      <w:pPr>
        <w:ind w:left="460" w:right="979" w:firstLine="432"/>
        <w:spacing w:after="0" w:line="342" w:lineRule="auto"/>
        <w:rPr>
          <w:sz w:val="20"/>
          <w:szCs w:val="20"/>
          <w:color w:val="auto"/>
        </w:rPr>
      </w:pPr>
      <w:r>
        <w:rPr>
          <w:rFonts w:ascii="Arial" w:cs="Arial" w:eastAsia="Arial" w:hAnsi="Arial"/>
          <w:sz w:val="16"/>
          <w:szCs w:val="16"/>
          <w:color w:val="auto"/>
        </w:rPr>
        <w:t>The Proposed Business Combination is expected to close in the third quarter of 2021, following the receipt of the required approval by the Company’s shareholders and the fulfillment of other conditions.</w:t>
      </w:r>
    </w:p>
    <w:p>
      <w:pPr>
        <w:spacing w:after="0" w:line="43" w:lineRule="exact"/>
        <w:rPr>
          <w:sz w:val="20"/>
          <w:szCs w:val="20"/>
          <w:color w:val="auto"/>
        </w:rPr>
      </w:pPr>
    </w:p>
    <w:p>
      <w:pPr>
        <w:ind w:left="460" w:right="539" w:firstLine="432"/>
        <w:spacing w:after="0" w:line="284" w:lineRule="auto"/>
        <w:rPr>
          <w:sz w:val="20"/>
          <w:szCs w:val="20"/>
          <w:color w:val="auto"/>
        </w:rPr>
      </w:pPr>
      <w:r>
        <w:rPr>
          <w:rFonts w:ascii="Arial" w:cs="Arial" w:eastAsia="Arial" w:hAnsi="Arial"/>
          <w:sz w:val="16"/>
          <w:szCs w:val="16"/>
          <w:color w:val="auto"/>
        </w:rPr>
        <w:t>The shareholders and the optionholders of DeepGreen will be entitled to receive, in exchange for their DeepGreen Shares or DeepGreen Options, as applicable, an aggregate of (i) a number of shares in the capital of the Company or comparable equity awards that are settled or are exercisable for shares in the capital of the Company, as applicable, based on an implied DeepGreen equity value of $2.25 billion after giving effect to the SOAC Continuance (the “SOAC Ordinary shares”), (ii) 5,000,000 Class A Special Shares, (iii) 10,000,000 Class B Special Shares, (iv) 10,000,000 Class C Special Shares, (v) 20,000,000 Class D Special Shares,</w:t>
      </w:r>
    </w:p>
    <w:p>
      <w:pPr>
        <w:spacing w:after="0" w:line="4" w:lineRule="exact"/>
        <w:rPr>
          <w:sz w:val="20"/>
          <w:szCs w:val="20"/>
          <w:color w:val="auto"/>
        </w:rPr>
      </w:pPr>
    </w:p>
    <w:p>
      <w:pPr>
        <w:ind w:left="460" w:right="919" w:hanging="6"/>
        <w:spacing w:after="0" w:line="253" w:lineRule="auto"/>
        <w:tabs>
          <w:tab w:leader="none" w:pos="76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20,000,000 Class E Special Shares, (vii) 20,000,000 Class F Special Shares, (viii) 25,000,000 Class G Special Shares and (ix) 25,000,000 Class H Special Shares, in each case, in the capital of the Company (collectively, the “Company Earnout Shares”), or, as applicable, options to purchase such SOAC Ordinary shares and Company Earnout Shares.</w:t>
      </w:r>
    </w:p>
    <w:p>
      <w:pPr>
        <w:spacing w:after="0" w:line="125"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entered into subscription agreements (the “Subscription Agreements”) with certain institutional and accredited investors, pursuant to which such investors agreed to subscribe for and purchase, and the Company agreed to issue and sell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8" w:name="page209"/>
    <w:bookmarkEnd w:id="20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ind w:left="460" w:right="539"/>
        <w:spacing w:after="0" w:line="272" w:lineRule="auto"/>
        <w:rPr>
          <w:sz w:val="20"/>
          <w:szCs w:val="20"/>
          <w:color w:val="auto"/>
        </w:rPr>
      </w:pPr>
      <w:r>
        <w:rPr>
          <w:rFonts w:ascii="Arial" w:cs="Arial" w:eastAsia="Arial" w:hAnsi="Arial"/>
          <w:sz w:val="17"/>
          <w:szCs w:val="17"/>
          <w:color w:val="auto"/>
        </w:rPr>
        <w:t>such investors, substantially concurrently with the Closing (as defined in the Business Combination Agreement), an aggregate of 33,030,000 shares of SOAC Ordinary shares for $10.00 per share, for aggregate gross proceeds of $330,300,000 (the “PIPE Financing”). The closing of the PIPE Financing is contingent upon, among other things, the substantially concurrent consummation of the Business Combination. The Subscription Agreements provide that the Company will grant the investors in the PIPE Financing certain customary registration rights. The PIPE Financing is contingent upon, among other things, the substantially concurrent closing of the Business Combination.</w:t>
      </w:r>
    </w:p>
    <w:p>
      <w:pPr>
        <w:spacing w:after="0" w:line="11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the financial statements were issued. Based upon this review, the Company did not identify any subsequent events that would have required adjustment or disclosure in the financial statements which have not previously been disclosed within the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Sponsor, Initial Public Offering and Private Placement</w:t>
      </w:r>
    </w:p>
    <w:p>
      <w:pPr>
        <w:spacing w:after="0" w:line="14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The Company’s sponsor is Sustainable Opportunities Holdings LLC, a Delaware limited liability company (the “Sponsor”). The registration statement for the Company’s Initial Public Offering was declared effective on May 5, 2020. On May 8, 2020, the Company consummated its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(Note 5).</w:t>
      </w:r>
    </w:p>
    <w:p>
      <w:pPr>
        <w:spacing w:after="0" w:line="127" w:lineRule="exact"/>
        <w:rPr>
          <w:sz w:val="20"/>
          <w:szCs w:val="20"/>
          <w:color w:val="auto"/>
        </w:rPr>
      </w:pPr>
    </w:p>
    <w:p>
      <w:pPr>
        <w:ind w:left="460" w:right="619" w:firstLine="432"/>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(“Private Placement”) of 9,500,000 warrants (each, a “Private Placement Warrant” and collectively, the “Private Placement Warrants”) at a price of $1.00 per Private Placement Warrant in a private placement to the Sponsor, generating gross proceeds of $9.5 million (Note 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Trust Account</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44"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9" w:name="page210"/>
    <w:bookmarkEnd w:id="20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The Company will provide the holders (the “Public Shareholders”) of its Class A ordinary shares, par value $0.0001 per share sold in the Initial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adopted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337" w:lineRule="exact"/>
        <w:rPr>
          <w:sz w:val="20"/>
          <w:szCs w:val="20"/>
          <w:color w:val="auto"/>
        </w:rPr>
      </w:pPr>
    </w:p>
    <w:p>
      <w:pPr>
        <w:ind w:left="460" w:right="799" w:firstLine="432"/>
        <w:spacing w:after="0" w:line="273" w:lineRule="auto"/>
        <w:rPr>
          <w:sz w:val="20"/>
          <w:szCs w:val="20"/>
          <w:color w:val="auto"/>
        </w:rPr>
      </w:pPr>
      <w:r>
        <w:rPr>
          <w:rFonts w:ascii="Arial" w:cs="Arial" w:eastAsia="Arial" w:hAnsi="Arial"/>
          <w:sz w:val="17"/>
          <w:szCs w:val="17"/>
          <w:color w:val="auto"/>
        </w:rPr>
        <w:t>Notwithstanding the foregoing, the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97"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its Public Shares the right to have their shares redeemed in connection with its initial business combination or to redeem 100% of its Public Shares if the Company does not complete a Business Combination within 18 months from the closing of the Initial Public Offering, or November 8, 2021 (the “Combination Period”) unless the Company provides the Public Shareholders with the opportunity to redeem their Class A ordinary shares in conjunction with any such amendment.</w:t>
      </w:r>
    </w:p>
    <w:p>
      <w:pPr>
        <w:spacing w:after="0" w:line="12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0" w:name="page211"/>
    <w:bookmarkEnd w:id="2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75" w:lineRule="auto"/>
        <w:rPr>
          <w:sz w:val="20"/>
          <w:szCs w:val="20"/>
          <w:color w:val="auto"/>
        </w:rPr>
      </w:pPr>
      <w:r>
        <w:rPr>
          <w:rFonts w:ascii="Arial" w:cs="Arial" w:eastAsia="Arial" w:hAnsi="Arial"/>
          <w:sz w:val="17"/>
          <w:szCs w:val="17"/>
          <w:color w:val="auto"/>
        </w:rPr>
        <w:t>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10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4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As of June 30, 2021, the Company had approximately $293 thousand in cash and a working capital deficit of approximately $6.8 million.</w:t>
      </w:r>
    </w:p>
    <w:p>
      <w:pPr>
        <w:spacing w:after="0" w:line="103"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w:t>
      </w:r>
    </w:p>
    <w:p>
      <w:pPr>
        <w:spacing w:after="0" w:line="104"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The Company cannot provide any assurance that new financing will be available to it on commercially acceptable terms, if at all. These conditions raise substantial doubt about the Company’s ability to continue as a going concern through November 8, 2021. These financial statements do not include any adjustments relating to the recovery of the recorded assets or the classification of the liabilities that might be necessary should the Company be unable to continue as a going concern.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1" w:name="page212"/>
    <w:bookmarkEnd w:id="21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accompanying unaudited condensed consolidated financial statements are presented in U.S. dollars in conformity with accounting principles generally accepted in the United States of America (“U.S. GAAP”) for interim financial information and pursuant to the rules and regulations of the SEC. Accordingly, they do not include all of the information and footnotes required by GAAP. In the opinion of management, the unaudited consolidated financial statements reflect all adjustments, which include only normal recurring adjustments necessary for the fair statement of the balances and results for the periods presented. Operating results for the three and six months ended June 30, 2021 are not necessarily indicative of the results that may be expected for the year ending December 31, 2021 or for any future interim periods.</w:t>
      </w:r>
    </w:p>
    <w:p>
      <w:pPr>
        <w:spacing w:after="0" w:line="111"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The accompanying unaudited consolidated financial statements should be read in conjunction the financial statements and notes thereto included in with the Company’s Annual Report as amended on Form 10-K/A for the year ended December 31, 2020 as filed with the SEC on May 24, 2021.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subsidiary.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58" w:lineRule="exact"/>
        <w:rPr>
          <w:sz w:val="20"/>
          <w:szCs w:val="20"/>
          <w:color w:val="auto"/>
        </w:rPr>
      </w:pPr>
    </w:p>
    <w:p>
      <w:pPr>
        <w:ind w:left="460" w:right="659" w:firstLine="432"/>
        <w:spacing w:after="0" w:line="271"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11"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Further, 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87"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This may make comparison of the Company’s financial statements with other public companies difficult or impossible because of the potential differences in accounting standards used.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left="460" w:right="759" w:firstLine="432"/>
        <w:spacing w:after="0" w:line="301" w:lineRule="auto"/>
        <w:rPr>
          <w:sz w:val="20"/>
          <w:szCs w:val="20"/>
          <w:color w:val="auto"/>
        </w:rPr>
      </w:pPr>
      <w:r>
        <w:rPr>
          <w:rFonts w:ascii="Arial" w:cs="Arial" w:eastAsia="Arial" w:hAnsi="Arial"/>
          <w:sz w:val="16"/>
          <w:szCs w:val="16"/>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the financial statements and the reported amounts of expenses during the reporting periods. Actual results could differ from those estimates.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2" w:name="page213"/>
    <w:bookmarkEnd w:id="2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8"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The Company has not experienced losses on these accounts.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June 30, 2021 and December 31, 2020,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15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Company’s portfolio of marketable securities is comprised solely of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Upon the closing of the Initial Public Offering and the Private Placement, $300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Gains and losses resulting from the change in fair value of investments held in Trust Account are included in net gain on investments held in Trust Account in the accompanying statement of operations. The estimated fair values of investments held in Trust Account are determined using available market information.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8"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84"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1320" w:right="999" w:hanging="434"/>
        <w:spacing w:after="0" w:line="277" w:lineRule="auto"/>
        <w:tabs>
          <w:tab w:leader="none" w:pos="13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02" w:lineRule="exact"/>
        <w:rPr>
          <w:rFonts w:ascii="Arial" w:cs="Arial" w:eastAsia="Arial" w:hAnsi="Arial"/>
          <w:sz w:val="18"/>
          <w:szCs w:val="18"/>
          <w:color w:val="auto"/>
        </w:rPr>
      </w:pPr>
    </w:p>
    <w:p>
      <w:pPr>
        <w:jc w:val="both"/>
        <w:ind w:left="1320" w:right="919" w:hanging="434"/>
        <w:spacing w:after="0" w:line="311" w:lineRule="auto"/>
        <w:tabs>
          <w:tab w:leader="none" w:pos="131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Arial" w:cs="Arial" w:eastAsia="Arial" w:hAnsi="Arial"/>
          <w:sz w:val="16"/>
          <w:szCs w:val="16"/>
          <w:color w:val="auto"/>
        </w:rPr>
      </w:pPr>
    </w:p>
    <w:p>
      <w:pPr>
        <w:ind w:left="1320" w:right="599" w:hanging="434"/>
        <w:spacing w:after="0" w:line="311" w:lineRule="auto"/>
        <w:tabs>
          <w:tab w:leader="none" w:pos="131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81" w:lineRule="exact"/>
        <w:rPr>
          <w:sz w:val="20"/>
          <w:szCs w:val="20"/>
          <w:color w:val="auto"/>
        </w:rPr>
      </w:pPr>
    </w:p>
    <w:p>
      <w:pPr>
        <w:jc w:val="both"/>
        <w:ind w:left="460" w:right="519" w:firstLine="432"/>
        <w:spacing w:after="0" w:line="311" w:lineRule="auto"/>
        <w:rPr>
          <w:sz w:val="20"/>
          <w:szCs w:val="20"/>
          <w:color w:val="auto"/>
        </w:rPr>
      </w:pPr>
      <w:r>
        <w:rPr>
          <w:rFonts w:ascii="Arial" w:cs="Arial" w:eastAsia="Arial" w:hAnsi="Arial"/>
          <w:sz w:val="16"/>
          <w:szCs w:val="16"/>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3" w:name="page214"/>
    <w:bookmarkEnd w:id="2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44"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As of June 30, 2021 and December 31, 2020, the carrying values of cash, prepaid expenses, and accounts payable approximate their fair values due to the short-term nature of the instruments. As of June 30, 2021, the Company’s portfolio of investments held in Trust Account is comprised entirely of investments in money market funds that invest in U.S. government securities.</w:t>
      </w:r>
    </w:p>
    <w:p>
      <w:pPr>
        <w:spacing w:after="0" w:line="119"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The Warrants are accounted for as liabilities pursuant to ASC 815-40 and are measured at fair value as of each reporting period. Changes in the fair value of the Warrants are recorded in the statement of operations each period.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58" w:lineRule="exact"/>
        <w:rPr>
          <w:sz w:val="20"/>
          <w:szCs w:val="20"/>
          <w:color w:val="auto"/>
        </w:rPr>
      </w:pPr>
    </w:p>
    <w:p>
      <w:pPr>
        <w:ind w:left="460" w:right="799" w:firstLine="432"/>
        <w:spacing w:after="0" w:line="255"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11"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The Company issued 15,000,000 warrants as part of the units offered in its Initial Public Offering and, simultaneously with the closing of Initial Public Offering, the Company issued in a private placement an aggregate of 9,500,000 private placement warrants. The Company accounts for the Warrants in accordance with the guidance contained in ASC 815-40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statement of operations. The fair value of the Public Warrants has been estimated using the Public Warrants’ quoted market price. The Private Placement Warrants are valued using a Modified Black Scholes Option Pricing Model.</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occurrence of uncertain future events. Accordingly, as of June 30, 2021, 30,000,000 Class A ordinary shares subject to possible redemption were presented at redemption value as temporary equity, outside of the shareholders’ equity section of the Company’s balance sheet.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58"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The Company applies the two-class method in calculating earnings per share. Net income (loss) per share is computed by dividing net income (loss) by the weighted-average number of ordinary shares outstanding during the periods. An aggregate of 30,000,000 and 22,726,721 Class A ordinary shares subject to possible redemption at June 30, 2021 and December 31, 2020, respectively have been excluded from the calculation of basic loss per ordinary share, since such shares, if redeemed, only participate in their pro rata share of the Trust earnings. The Company has not considered the effect of the warrants sold in the Initial Public Offering and Private Placement to purchase an aggregate of 24,500,000 Class A ordinary shares in the calculation of diluted loss per ordinary share, since the inclusion of such warrants would be anti-dilutive. As a result, diluted net income (loss) per ordinary share is the same as basic net income (loss) per ordinary share for the periods presented.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4" w:name="page215"/>
    <w:bookmarkEnd w:id="21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Reconciliation of Net Income (Loss) per Ordinary Share</w:t>
      </w:r>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Company’s net income (loss) is adjusted for the portion of income (loss) that is attributable to ordinary shares subject to redemption, as these shares only participate in the earnings of the Trust Account and not the income or losses of the Company. Accordingly, basic and diluted loss per ordinary share is calculated as follows: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2"/>
              </w:rPr>
              <w:t>For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5"/>
              </w:rPr>
              <w:t>For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For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5"/>
              </w:rPr>
              <w:t>For the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88"/>
              </w:rPr>
              <w:t>three months</w:t>
            </w:r>
          </w:p>
        </w:tc>
        <w:tc>
          <w:tcPr>
            <w:tcW w:w="8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three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six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89"/>
              </w:rPr>
              <w:t>six months</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4"/>
              </w:rPr>
              <w:t>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4"/>
              </w:rPr>
              <w:t>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4"/>
              </w:rPr>
              <w:t>ended</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0"/>
              </w:rPr>
              <w:t>June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7"/>
              </w:rPr>
              <w:t>June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June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4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440" w:type="dxa"/>
            <w:vAlign w:val="bottom"/>
            <w:shd w:val="clear" w:color="auto" w:fill="CCEEFF"/>
          </w:tcPr>
          <w:p>
            <w:pPr>
              <w:spacing w:after="0" w:line="182" w:lineRule="exact"/>
              <w:rPr>
                <w:sz w:val="20"/>
                <w:szCs w:val="20"/>
                <w:color w:val="auto"/>
              </w:rPr>
            </w:pPr>
            <w:r>
              <w:rPr>
                <w:rFonts w:ascii="Arial" w:cs="Arial" w:eastAsia="Arial" w:hAnsi="Arial"/>
                <w:sz w:val="18"/>
                <w:szCs w:val="18"/>
                <w:i w:val="1"/>
                <w:iCs w:val="1"/>
                <w:color w:val="auto"/>
                <w:w w:val="97"/>
              </w:rPr>
              <w:t>Class A Ordinary Shares subject to possible</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redemption</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Numerator: Earnings allocable to Ordinary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Shares subject to possible redemption</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Income from investments held in Trust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4,560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36,722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36,722</w:t>
            </w:r>
          </w:p>
        </w:tc>
        <w:tc>
          <w:tcPr>
            <w:tcW w:w="0" w:type="dxa"/>
            <w:vAlign w:val="bottom"/>
          </w:tcPr>
          <w:p>
            <w:pPr>
              <w:spacing w:after="0"/>
              <w:rPr>
                <w:sz w:val="1"/>
                <w:szCs w:val="1"/>
                <w:color w:val="auto"/>
              </w:rPr>
            </w:pPr>
          </w:p>
        </w:tc>
      </w:tr>
      <w:tr>
        <w:trPr>
          <w:trHeight w:val="202"/>
        </w:trPr>
        <w:tc>
          <w:tcPr>
            <w:tcW w:w="3440" w:type="dxa"/>
            <w:vAlign w:val="bottom"/>
          </w:tcPr>
          <w:p>
            <w:pPr>
              <w:ind w:left="180"/>
              <w:spacing w:after="0" w:line="201" w:lineRule="exact"/>
              <w:rPr>
                <w:sz w:val="20"/>
                <w:szCs w:val="20"/>
                <w:color w:val="auto"/>
              </w:rPr>
            </w:pPr>
            <w:r>
              <w:rPr>
                <w:rFonts w:ascii="Arial" w:cs="Arial" w:eastAsia="Arial" w:hAnsi="Arial"/>
                <w:sz w:val="18"/>
                <w:szCs w:val="18"/>
                <w:color w:val="auto"/>
              </w:rPr>
              <w:t>Less: Company’s portion available to be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40" w:type="dxa"/>
            <w:vAlign w:val="bottom"/>
          </w:tcPr>
          <w:p>
            <w:pPr>
              <w:ind w:left="360"/>
              <w:spacing w:after="0"/>
              <w:rPr>
                <w:sz w:val="20"/>
                <w:szCs w:val="20"/>
                <w:color w:val="auto"/>
              </w:rPr>
            </w:pPr>
            <w:r>
              <w:rPr>
                <w:rFonts w:ascii="Arial" w:cs="Arial" w:eastAsia="Arial" w:hAnsi="Arial"/>
                <w:sz w:val="18"/>
                <w:szCs w:val="18"/>
                <w:color w:val="auto"/>
              </w:rPr>
              <w:t>withdrawn to pay taxes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44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w w:val="91"/>
              </w:rPr>
              <w:t>Net income attributable to ordinary shares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subject to possible redemption</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36,722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36,722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rPr>
              <w:t>Denominator: Weighted average Class A</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ordinary shares subject to possible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Weighted average shares outstanding subject to</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basic and diluted</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30,000,000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0"/>
              </w:rPr>
              <w:t>26,284,337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27,468,417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0"/>
              </w:rPr>
              <w:t>26,284,337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w w:val="91"/>
              </w:rPr>
              <w:t>Basic and diluted net income per share, shares</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440" w:type="dxa"/>
            <w:vAlign w:val="bottom"/>
          </w:tcPr>
          <w:p>
            <w:pPr>
              <w:ind w:left="180"/>
              <w:spacing w:after="0"/>
              <w:rPr>
                <w:sz w:val="20"/>
                <w:szCs w:val="20"/>
                <w:color w:val="auto"/>
              </w:rPr>
            </w:pPr>
            <w:r>
              <w:rPr>
                <w:rFonts w:ascii="Arial" w:cs="Arial" w:eastAsia="Arial" w:hAnsi="Arial"/>
                <w:sz w:val="18"/>
                <w:szCs w:val="18"/>
                <w:color w:val="auto"/>
              </w:rPr>
              <w:t>subject to redemption</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0"/>
        </w:trPr>
        <w:tc>
          <w:tcPr>
            <w:tcW w:w="34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Numerator: Net Income (Loss) minus Net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Earnings attributable to redeemable shares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w w:val="92"/>
              </w:rPr>
              <w:t>(17,175,554)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6,723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14,694,066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(52,276)</w:t>
            </w: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Less: Income attributable to Class A ordinary</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subject to possible redemption</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(4,560)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(36,722)</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Non-redeemable net income (loss)</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3440" w:type="dxa"/>
            <w:vAlign w:val="bottom"/>
            <w:vMerge w:val="continue"/>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(17,180,114</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(29,998</w:t>
            </w:r>
          </w:p>
        </w:tc>
        <w:tc>
          <w:tcPr>
            <w:tcW w:w="120" w:type="dxa"/>
            <w:vAlign w:val="bottom"/>
            <w:vMerge w:val="continue"/>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14,684,996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(88,997</w:t>
            </w:r>
          </w:p>
        </w:tc>
        <w:tc>
          <w:tcPr>
            <w:tcW w:w="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rPr>
              <w:t>Denominator: weighted average Non-</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ordinary shares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180"/>
              <w:spacing w:after="0" w:line="201" w:lineRule="exact"/>
              <w:rPr>
                <w:sz w:val="20"/>
                <w:szCs w:val="20"/>
                <w:color w:val="auto"/>
              </w:rPr>
            </w:pPr>
            <w:r>
              <w:rPr>
                <w:rFonts w:ascii="Arial" w:cs="Arial" w:eastAsia="Arial" w:hAnsi="Arial"/>
                <w:sz w:val="18"/>
                <w:szCs w:val="18"/>
                <w:color w:val="auto"/>
              </w:rPr>
              <w:t>Weighted average ordinary shares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4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7,500,000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9,649,510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10,031,583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8,602,438</w:t>
            </w:r>
          </w:p>
        </w:tc>
        <w:tc>
          <w:tcPr>
            <w:tcW w:w="0" w:type="dxa"/>
            <w:vAlign w:val="bottom"/>
          </w:tcPr>
          <w:p>
            <w:pPr>
              <w:spacing w:after="0"/>
              <w:rPr>
                <w:sz w:val="1"/>
                <w:szCs w:val="1"/>
                <w:color w:val="auto"/>
              </w:rPr>
            </w:pPr>
          </w:p>
        </w:tc>
      </w:tr>
      <w:tr>
        <w:trPr>
          <w:trHeight w:val="162"/>
        </w:trPr>
        <w:tc>
          <w:tcPr>
            <w:tcW w:w="34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w w:val="93"/>
              </w:rPr>
              <w:t>Basic and diluted net income (loss) per share,</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shares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FASB ASC Topic 740, “Income Taxes,”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2021 and December 31, 2020.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June 30,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145" w:gutter="0" w:footer="0" w:header="0"/>
        </w:sectPr>
      </w:pPr>
    </w:p>
    <w:bookmarkStart w:id="215" w:name="page216"/>
    <w:bookmarkEnd w:id="21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There is currently no taxation imposed on income by the Government of the Cayman Islands. In accordance with Cayman Islands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58"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The Company’s management does not believe that any recently issued, but not yet effective, accounting pronouncements, if currently adopted, would have a material effect on the Company’s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Initial Public Offering</w:t>
      </w:r>
    </w:p>
    <w:p>
      <w:pPr>
        <w:spacing w:after="0" w:line="14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On May 8, 2020, the Company consummated its Initial Public Offering of 30,000,000 Units at $10.00 per Unit, generating gross proceeds of $300 million, and incurring offering costs of approximately $17.4 million, inclusive of $10.5 million in deferred underwriting commissions. Each Unit consists of one Class A ordinary share and one-half of one redeemable warrant (each, a “Public Warrant”). Each Public Warrant entitles the holder to purchase one Class A ordinary share at a price of $11.50 per share, subject to adjustment (see Note 6).</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On December 31, 2019, the Sponsor purchased 8,625,000 shares (the “Founder Shares”) of the Company’s Class B ordinary shares, par value $0.0001 for an aggregate price of $25,000. In March 2020, the Sponsor transferred 30,000 Founder Shares to each of the Company’s independent directors. The Founder Shares will automatically convert into Class A ordinary shares at the time of the Company’s initial Business Combination and are subject to certain transfer restrictions, as described in Note 6. The Sponsor had agreed to forfeit up to 1,125,000 Founder Shares to the extent that the over-allotment option was not exercised in full by the underwriter so that the Founder Shares will represent 20.0% of the Company’s issued and outstanding shares after the Initial Public Offering. The over-allotment option expired in June 2020; thus, these Founder Shares were forfeited accordingly.</w:t>
      </w:r>
    </w:p>
    <w:p>
      <w:pPr>
        <w:spacing w:after="0" w:line="113"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44" w:lineRule="exact"/>
        <w:rPr>
          <w:sz w:val="20"/>
          <w:szCs w:val="20"/>
          <w:color w:val="auto"/>
        </w:rPr>
      </w:pPr>
    </w:p>
    <w:p>
      <w:pPr>
        <w:ind w:left="460" w:right="779" w:firstLine="432"/>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9,500,000 Private Placement Warrants at a price of $1.00 per Private Placement Warrant to the Sponsor, generating gross proceeds of $9.5 million. Each Private Placement Warrant is exercisable for one whole Class A ordinary share at a price of $11.50 per share.</w:t>
      </w:r>
    </w:p>
    <w:p>
      <w:pPr>
        <w:spacing w:after="0" w:line="10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6" w:name="page217"/>
    <w:bookmarkEnd w:id="2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On December 31, 2019,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approximately $163,000 under the Note and fully repaid this amount on May 8, 2020.</w:t>
      </w:r>
    </w:p>
    <w:p>
      <w:pPr>
        <w:spacing w:after="0" w:line="90"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As of June 30, 2021, the Company had no borrowings under the Working Capital Loans.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entered into an agreement, commencing on May 8, 2020 through the earlier of the Company’s consummation of a Business Combination and its liquidation, to reimburse the Sponsor a total of $10,000 per month for office space, secretarial and administrative services. The Company incurred and paid $30,000 and $60,000 for the three and six months ended June 30, 2021, respectively, and $20,000 for the three and six months ended June 30, 2020 respectively, in expenses in connection with such services and recorded in general and administrative expenses in the condensed statements of operations.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58" w:lineRule="exact"/>
        <w:rPr>
          <w:sz w:val="20"/>
          <w:szCs w:val="20"/>
          <w:color w:val="auto"/>
        </w:rPr>
      </w:pPr>
    </w:p>
    <w:p>
      <w:pPr>
        <w:ind w:left="460" w:right="699" w:firstLine="432"/>
        <w:spacing w:after="0" w:line="271" w:lineRule="auto"/>
        <w:rPr>
          <w:sz w:val="20"/>
          <w:szCs w:val="20"/>
          <w:color w:val="auto"/>
        </w:rPr>
      </w:pPr>
      <w:r>
        <w:rPr>
          <w:rFonts w:ascii="Arial" w:cs="Arial" w:eastAsia="Arial" w:hAnsi="Arial"/>
          <w:sz w:val="17"/>
          <w:szCs w:val="17"/>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44"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The Company granted the underwriter a 45-day option from the date of the final prospectus relating to the Initial Public Offering to purchase up to 4,500,000 additional Units to cover over-allotments, if any, at $10.00 per Unit, less the underwriting discounts and commissions. The over-allotment option expired in June 2020.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7" w:name="page218"/>
    <w:bookmarkEnd w:id="21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Commitments &amp; Contingencies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is receiving consulting services in connection with identification of potential targets for a</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Business Combination and due diligence on such targets. As compensation for such services, the Company paid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nonrefundable fixed fee of $350,000 and agreed to pay the consulting firm $2,650,000 solely in the event that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completes a Business Combination. The consulting agreement may be terminated early by either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party to the agreement provided that the Company pays a termination fee to the consulting firm determined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based on a monthly increasing amount through November 2021. The Company recognized $418,400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$836,800 in general and administrative expenses within the condensed statements of operations for the three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six months ended June 30, 2021, respectively. The Company recognized $0 for the same fee in the three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six months ended June 30, 2020, respectively. The termination fee accrued was $1,952,600 and $1,115,800 as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30, 2021 and December 31, 2020, respectively.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Shareholders’ Equity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144"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The Company is authorized to issue 1,000,000 preference shares with such designations, voting and other rights and preferences as may be determined from time to time by the Company’s board of directors. As of June 30, 2021 and December 31, 2020, there were no preference shares issued or outstanding.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58" w:lineRule="exact"/>
        <w:rPr>
          <w:sz w:val="20"/>
          <w:szCs w:val="20"/>
          <w:color w:val="auto"/>
        </w:rPr>
      </w:pPr>
    </w:p>
    <w:p>
      <w:pPr>
        <w:ind w:left="460" w:right="699" w:firstLine="432"/>
        <w:spacing w:after="0" w:line="301" w:lineRule="auto"/>
        <w:rPr>
          <w:sz w:val="20"/>
          <w:szCs w:val="20"/>
          <w:color w:val="auto"/>
        </w:rPr>
      </w:pPr>
      <w:r>
        <w:rPr>
          <w:rFonts w:ascii="Arial" w:cs="Arial" w:eastAsia="Arial" w:hAnsi="Arial"/>
          <w:sz w:val="16"/>
          <w:szCs w:val="16"/>
          <w:b w:val="1"/>
          <w:bCs w:val="1"/>
          <w:i w:val="1"/>
          <w:iCs w:val="1"/>
          <w:color w:val="auto"/>
        </w:rPr>
        <w:t xml:space="preserve">Class A Ordinary Shares </w:t>
      </w:r>
      <w:r>
        <w:rPr>
          <w:rFonts w:ascii="Arial" w:cs="Arial" w:eastAsia="Arial" w:hAnsi="Arial"/>
          <w:sz w:val="16"/>
          <w:szCs w:val="16"/>
          <w:color w:val="auto"/>
        </w:rPr>
        <w:t>— The Company is authorized to issue 300,000,000 Class A ordinary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par value of $0.0001 per share. As of June 30, 2021 and December 31, 2020, there were 30,000,000 Class A ordinary shares outstanding, including 30,000,000 and 22,726,721 Class A ordinary shares subject to possible redemption classified as temporary equity in the accompanying balance sheets, respectively.</w:t>
      </w:r>
    </w:p>
    <w:p>
      <w:pPr>
        <w:spacing w:after="0" w:line="90"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30,000,000 Class B ordinary shares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 value of $0.0001 per share. Holders of Class B ordinary shares are entitled to one vote for each share. As of June 30, 2021 and December 31, 2020, there were 7,500,000 Class B ordinary shares outstanding.</w:t>
      </w:r>
    </w:p>
    <w:p>
      <w:pPr>
        <w:spacing w:after="0" w:line="68"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Holders of the Class A ordinary shares and holders of the Class B ordinary shares will vote together as a single class on all matters submitted to a vote of the Company’s shareholders except as required by law.</w:t>
      </w:r>
    </w:p>
    <w:p>
      <w:pPr>
        <w:spacing w:after="0" w:line="56" w:lineRule="exact"/>
        <w:rPr>
          <w:sz w:val="20"/>
          <w:szCs w:val="20"/>
          <w:color w:val="auto"/>
        </w:rPr>
      </w:pPr>
    </w:p>
    <w:p>
      <w:pPr>
        <w:ind w:left="460" w:right="839" w:firstLine="432"/>
        <w:spacing w:after="0" w:line="287"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w:t>
      </w:r>
    </w:p>
    <w:p>
      <w:pPr>
        <w:spacing w:after="0" w:line="2" w:lineRule="exact"/>
        <w:rPr>
          <w:sz w:val="20"/>
          <w:szCs w:val="20"/>
          <w:color w:val="auto"/>
        </w:rPr>
      </w:pPr>
    </w:p>
    <w:p>
      <w:pPr>
        <w:ind w:left="460" w:right="599" w:hanging="6"/>
        <w:spacing w:after="0" w:line="268" w:lineRule="auto"/>
        <w:tabs>
          <w:tab w:leader="none" w:pos="67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8" w:name="page219"/>
    <w:bookmarkEnd w:id="21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Fair Value Measurements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16"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following table presents our fair value hierarchy for liabilities measured at fair value on a recurring basis as of June 30, 2021: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26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2</w:t>
            </w: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26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4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21,600,000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30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21,600,000</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Placement Warrants</w:t>
            </w:r>
          </w:p>
        </w:tc>
        <w:tc>
          <w:tcPr>
            <w:tcW w:w="4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7"/>
              </w:rPr>
              <w:t>14,155,000</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rPr>
              <w:t>14,155,000</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360"/>
              <w:spacing w:after="0"/>
              <w:rPr>
                <w:sz w:val="20"/>
                <w:szCs w:val="20"/>
                <w:color w:val="auto"/>
              </w:rPr>
            </w:pPr>
            <w:r>
              <w:rPr>
                <w:rFonts w:ascii="Arial" w:cs="Arial" w:eastAsia="Arial" w:hAnsi="Arial"/>
                <w:sz w:val="18"/>
                <w:szCs w:val="18"/>
                <w:color w:val="auto"/>
              </w:rPr>
              <w:t>Total warrant liabilities</w:t>
            </w: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40" w:type="dxa"/>
            <w:vAlign w:val="bottom"/>
            <w:vMerge w:val="continue"/>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21,600,000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w w:val="97"/>
              </w:rPr>
              <w:t>14,155,000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35,755,000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The Private Placement Warrants were valued using a modified Black Scholes Model including inputs from a Monte Carlo simulation, which is considered to be a Level 3 fair value measurement. The Monte Carlo simulation’s primary unobservable input utilized in determining the fair value of the Warrants is the probability of consummation of the Business Combination. The probability assigned to the consummation of the Business Combination was 88% which was estimated based on the observed success rates of business combinations for special purpose acquisition companies.</w:t>
      </w:r>
    </w:p>
    <w:p>
      <w:pPr>
        <w:spacing w:after="0" w:line="111"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2020</w:t>
            </w:r>
          </w:p>
        </w:tc>
      </w:tr>
      <w:tr>
        <w:trPr>
          <w:trHeight w:val="47"/>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w w:val="93"/>
              </w:rPr>
              <w:t>Implied stock price range (or underlying asset price at December 31,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9.95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10.76</w:t>
            </w: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Term</w:t>
            </w:r>
          </w:p>
        </w:tc>
        <w:tc>
          <w:tcPr>
            <w:tcW w:w="18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5.25</w:t>
            </w: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Dividend yield</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Private</w:t>
            </w:r>
          </w:p>
        </w:tc>
      </w:tr>
      <w:tr>
        <w:trPr>
          <w:trHeight w:val="203"/>
        </w:trPr>
        <w:tc>
          <w:tcPr>
            <w:tcW w:w="30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Placement</w:t>
            </w:r>
          </w:p>
        </w:tc>
      </w:tr>
      <w:tr>
        <w:trPr>
          <w:trHeight w:val="210"/>
        </w:trPr>
        <w:tc>
          <w:tcPr>
            <w:tcW w:w="30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Warrants</w:t>
            </w:r>
          </w:p>
        </w:tc>
      </w:tr>
      <w:tr>
        <w:trPr>
          <w:trHeight w:val="47"/>
        </w:trPr>
        <w:tc>
          <w:tcPr>
            <w:tcW w:w="3040" w:type="dxa"/>
            <w:vAlign w:val="bottom"/>
            <w:tcBorders>
              <w:bottom w:val="single" w:sz="8" w:color="CCEEFF"/>
            </w:tcBorders>
          </w:tcPr>
          <w:p>
            <w:pPr>
              <w:spacing w:after="0"/>
              <w:rPr>
                <w:sz w:val="4"/>
                <w:szCs w:val="4"/>
                <w:color w:val="auto"/>
              </w:rPr>
            </w:pPr>
          </w:p>
        </w:tc>
        <w:tc>
          <w:tcPr>
            <w:tcW w:w="38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December 31, 2020</w:t>
            </w:r>
          </w:p>
        </w:tc>
        <w:tc>
          <w:tcPr>
            <w:tcW w:w="3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23,180,000</w:t>
            </w:r>
          </w:p>
        </w:tc>
      </w:tr>
      <w:tr>
        <w:trPr>
          <w:trHeight w:val="257"/>
        </w:trPr>
        <w:tc>
          <w:tcPr>
            <w:tcW w:w="3040" w:type="dxa"/>
            <w:vAlign w:val="bottom"/>
          </w:tcPr>
          <w:p>
            <w:pPr>
              <w:spacing w:after="0"/>
              <w:rPr>
                <w:sz w:val="20"/>
                <w:szCs w:val="20"/>
                <w:color w:val="auto"/>
              </w:rPr>
            </w:pPr>
            <w:r>
              <w:rPr>
                <w:rFonts w:ascii="Arial" w:cs="Arial" w:eastAsia="Arial" w:hAnsi="Arial"/>
                <w:sz w:val="18"/>
                <w:szCs w:val="18"/>
                <w:color w:val="auto"/>
              </w:rPr>
              <w:t>Change in fair value</w:t>
            </w:r>
          </w:p>
        </w:tc>
        <w:tc>
          <w:tcPr>
            <w:tcW w:w="3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(9,025,000)</w:t>
            </w:r>
          </w:p>
        </w:tc>
      </w:tr>
      <w:tr>
        <w:trPr>
          <w:trHeight w:val="27"/>
        </w:trPr>
        <w:tc>
          <w:tcPr>
            <w:tcW w:w="304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Fair value, June 30, 2021</w:t>
            </w:r>
          </w:p>
        </w:tc>
        <w:tc>
          <w:tcPr>
            <w:tcW w:w="39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14,155,000</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392"/>
        </w:trPr>
        <w:tc>
          <w:tcPr>
            <w:tcW w:w="30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727"/>
              <w:spacing w:after="0"/>
              <w:rPr>
                <w:sz w:val="20"/>
                <w:szCs w:val="20"/>
                <w:color w:val="auto"/>
              </w:rPr>
            </w:pPr>
            <w:r>
              <w:rPr>
                <w:rFonts w:ascii="Arial" w:cs="Arial" w:eastAsia="Arial" w:hAnsi="Arial"/>
                <w:sz w:val="18"/>
                <w:szCs w:val="18"/>
                <w:color w:val="auto"/>
              </w:rPr>
              <w:t>F-41</w:t>
            </w: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19" w:name="page220"/>
    <w:bookmarkEnd w:id="21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Warrant Liability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144" w:lineRule="exact"/>
        <w:rPr>
          <w:sz w:val="20"/>
          <w:szCs w:val="20"/>
          <w:color w:val="auto"/>
        </w:rPr>
      </w:pPr>
    </w:p>
    <w:p>
      <w:pPr>
        <w:ind w:left="460" w:right="519" w:firstLine="432"/>
        <w:spacing w:after="0" w:line="283"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 the Class A ordinary shares issuable upon exercise of the warrants is not effective by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04"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122"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89" w:lineRule="exact"/>
        <w:rPr>
          <w:sz w:val="20"/>
          <w:szCs w:val="20"/>
          <w:color w:val="auto"/>
        </w:rPr>
      </w:pPr>
    </w:p>
    <w:p>
      <w:pPr>
        <w:ind w:left="1300" w:hanging="41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44" w:lineRule="exact"/>
        <w:rPr>
          <w:rFonts w:ascii="Arial" w:cs="Arial" w:eastAsia="Arial" w:hAnsi="Arial"/>
          <w:sz w:val="18"/>
          <w:szCs w:val="18"/>
          <w:color w:val="auto"/>
        </w:rPr>
      </w:pPr>
    </w:p>
    <w:p>
      <w:pPr>
        <w:ind w:left="1320" w:right="499" w:hanging="434"/>
        <w:spacing w:after="0" w:line="301" w:lineRule="auto"/>
        <w:tabs>
          <w:tab w:leader="none" w:pos="131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0" w:name="page221"/>
    <w:bookmarkEnd w:id="22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 Warrant Liability </w:t>
      </w:r>
      <w:r>
        <w:rPr>
          <w:rFonts w:ascii="Arial" w:cs="Arial" w:eastAsia="Arial" w:hAnsi="Arial"/>
          <w:sz w:val="18"/>
          <w:szCs w:val="18"/>
          <w:color w:val="auto"/>
        </w:rPr>
        <w:t>(cont.)</w:t>
      </w:r>
    </w:p>
    <w:p>
      <w:pPr>
        <w:spacing w:after="0" w:line="189"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16"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97"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Subsequent Events</w:t>
      </w:r>
    </w:p>
    <w:p>
      <w:pPr>
        <w:spacing w:after="0" w:line="162" w:lineRule="exact"/>
        <w:rPr>
          <w:sz w:val="20"/>
          <w:szCs w:val="20"/>
          <w:color w:val="auto"/>
        </w:rPr>
      </w:pPr>
    </w:p>
    <w:p>
      <w:pPr>
        <w:jc w:val="both"/>
        <w:ind w:left="460" w:right="539" w:firstLine="432"/>
        <w:spacing w:after="0" w:line="259" w:lineRule="auto"/>
        <w:rPr>
          <w:sz w:val="20"/>
          <w:szCs w:val="20"/>
          <w:color w:val="auto"/>
        </w:rPr>
      </w:pPr>
      <w:r>
        <w:rPr>
          <w:rFonts w:ascii="Arial" w:cs="Arial" w:eastAsia="Arial" w:hAnsi="Arial"/>
          <w:sz w:val="18"/>
          <w:szCs w:val="18"/>
          <w:color w:val="auto"/>
        </w:rPr>
        <w:t>The Company has evaluated subsequent events and transactions that occurred after the balance sheet date up to the date that the financial statements were issued. Based upon this review, other than as described in these financial statements, the Company did not identify any subsequent events that would have required adjustment or disclosure in the financial statements.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1" w:name="page222"/>
    <w:bookmarkEnd w:id="2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2259" w:firstLine="1798"/>
        <w:spacing w:after="0" w:line="47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the Board of Directors of DeepGreen Metals Inc.</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We have audited the accompanying consolidated balance sheets of DeepGreen Metals Inc. (the “Company”) as of December 31, 2020 and 2019, the related consolidated statements of loss and comprehensive loss, changes in shareholders’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U.S. generally accepted accounting principles.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26,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2" w:name="page223"/>
    <w:bookmarkEnd w:id="2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Dollars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As at December</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As at December</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ind w:left="11"/>
              <w:spacing w:after="0"/>
              <w:rPr>
                <w:sz w:val="20"/>
                <w:szCs w:val="20"/>
                <w:color w:val="auto"/>
              </w:rPr>
            </w:pPr>
            <w:r>
              <w:rPr>
                <w:rFonts w:ascii="Arial" w:cs="Arial" w:eastAsia="Arial" w:hAnsi="Arial"/>
                <w:sz w:val="16"/>
                <w:szCs w:val="16"/>
                <w:b w:val="1"/>
                <w:bCs w:val="1"/>
                <w:color w:val="auto"/>
                <w:w w:val="89"/>
              </w:rPr>
              <w:t>31 2020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ind w:left="11"/>
              <w:spacing w:after="0"/>
              <w:rPr>
                <w:sz w:val="20"/>
                <w:szCs w:val="20"/>
                <w:color w:val="auto"/>
              </w:rPr>
            </w:pPr>
            <w:r>
              <w:rPr>
                <w:rFonts w:ascii="Arial" w:cs="Arial" w:eastAsia="Arial" w:hAnsi="Arial"/>
                <w:sz w:val="16"/>
                <w:szCs w:val="16"/>
                <w:b w:val="1"/>
                <w:bCs w:val="1"/>
                <w:color w:val="auto"/>
                <w:w w:val="89"/>
              </w:rPr>
              <w:t>31 2019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Note</w:t>
            </w:r>
          </w:p>
        </w:tc>
        <w:tc>
          <w:tcPr>
            <w:tcW w:w="980" w:type="dxa"/>
            <w:vAlign w:val="bottom"/>
          </w:tcPr>
          <w:p>
            <w:pPr>
              <w:jc w:val="center"/>
              <w:ind w:left="51"/>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left="51"/>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1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10,096,205</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15,950,624</w:t>
            </w:r>
          </w:p>
        </w:tc>
        <w:tc>
          <w:tcPr>
            <w:tcW w:w="0" w:type="dxa"/>
            <w:vAlign w:val="bottom"/>
          </w:tcPr>
          <w:p>
            <w:pPr>
              <w:spacing w:after="0"/>
              <w:rPr>
                <w:sz w:val="1"/>
                <w:szCs w:val="1"/>
                <w:color w:val="auto"/>
              </w:rPr>
            </w:pPr>
          </w:p>
        </w:tc>
      </w:tr>
      <w:tr>
        <w:trPr>
          <w:trHeight w:val="257"/>
        </w:trPr>
        <w:tc>
          <w:tcPr>
            <w:tcW w:w="518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8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128,772</w:t>
            </w:r>
          </w:p>
        </w:tc>
        <w:tc>
          <w:tcPr>
            <w:tcW w:w="8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72,396</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10,224,977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16,023,020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licenses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43,150,319</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448,855</w:t>
            </w:r>
          </w:p>
        </w:tc>
        <w:tc>
          <w:tcPr>
            <w:tcW w:w="0" w:type="dxa"/>
            <w:vAlign w:val="bottom"/>
          </w:tcPr>
          <w:p>
            <w:pPr>
              <w:spacing w:after="0"/>
              <w:rPr>
                <w:sz w:val="1"/>
                <w:szCs w:val="1"/>
                <w:color w:val="auto"/>
              </w:rPr>
            </w:pPr>
          </w:p>
        </w:tc>
      </w:tr>
      <w:tr>
        <w:trPr>
          <w:trHeight w:val="257"/>
        </w:trPr>
        <w:tc>
          <w:tcPr>
            <w:tcW w:w="518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1,309,677</w:t>
            </w:r>
          </w:p>
        </w:tc>
        <w:tc>
          <w:tcPr>
            <w:tcW w:w="8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1,851,586</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44,459,996</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2,300,441</w:t>
            </w:r>
          </w:p>
        </w:tc>
        <w:tc>
          <w:tcPr>
            <w:tcW w:w="0" w:type="dxa"/>
            <w:vAlign w:val="bottom"/>
          </w:tcPr>
          <w:p>
            <w:pPr>
              <w:spacing w:after="0"/>
              <w:rPr>
                <w:sz w:val="1"/>
                <w:szCs w:val="1"/>
                <w:color w:val="auto"/>
              </w:rPr>
            </w:pPr>
          </w:p>
        </w:tc>
      </w:tr>
      <w:tr>
        <w:trPr>
          <w:trHeight w:val="283"/>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54,684,973</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18,323,461</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520" w:type="dxa"/>
            <w:vAlign w:val="bottom"/>
          </w:tcPr>
          <w:p>
            <w:pPr>
              <w:jc w:val="center"/>
              <w:spacing w:after="0"/>
              <w:rPr>
                <w:sz w:val="20"/>
                <w:szCs w:val="20"/>
                <w:color w:val="auto"/>
              </w:rPr>
            </w:pPr>
            <w:r>
              <w:rPr>
                <w:rFonts w:ascii="Arial" w:cs="Arial" w:eastAsia="Arial" w:hAnsi="Arial"/>
                <w:sz w:val="18"/>
                <w:szCs w:val="18"/>
                <w:color w:val="auto"/>
                <w:w w:val="85"/>
              </w:rPr>
              <w:t>8,11</w:t>
            </w:r>
          </w:p>
        </w:tc>
        <w:tc>
          <w:tcPr>
            <w:tcW w:w="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4,315,477</w:t>
            </w:r>
          </w:p>
        </w:tc>
        <w:tc>
          <w:tcPr>
            <w:tcW w:w="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1,802,514</w:t>
            </w:r>
          </w:p>
        </w:tc>
        <w:tc>
          <w:tcPr>
            <w:tcW w:w="0" w:type="dxa"/>
            <w:vAlign w:val="bottom"/>
          </w:tcPr>
          <w:p>
            <w:pPr>
              <w:spacing w:after="0"/>
              <w:rPr>
                <w:sz w:val="1"/>
                <w:szCs w:val="1"/>
                <w:color w:val="auto"/>
              </w:rPr>
            </w:pPr>
          </w:p>
        </w:tc>
      </w:tr>
      <w:tr>
        <w:trPr>
          <w:trHeight w:val="41"/>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acquisition costs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3,440,000</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7,755,477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1,802,514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Contribution from Strategic Service Provider</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21"/>
                <w:szCs w:val="21"/>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8,333,335</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10,675,366</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18,430,843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10,135,849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b w:val="1"/>
                <w:bCs w:val="1"/>
                <w:i w:val="1"/>
                <w:iCs w:val="1"/>
                <w:color w:val="auto"/>
              </w:rPr>
              <w:t>(unlimited shares, no par value – issued:</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154,431,291</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163,658,134 (2019 – 141,063,316)</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79,824,445</w:t>
            </w:r>
          </w:p>
        </w:tc>
        <w:tc>
          <w:tcPr>
            <w:tcW w:w="0" w:type="dxa"/>
            <w:vAlign w:val="bottom"/>
          </w:tcPr>
          <w:p>
            <w:pPr>
              <w:spacing w:after="0"/>
              <w:rPr>
                <w:sz w:val="1"/>
                <w:szCs w:val="1"/>
                <w:color w:val="auto"/>
              </w:rPr>
            </w:pPr>
          </w:p>
        </w:tc>
      </w:tr>
      <w:tr>
        <w:trPr>
          <w:trHeight w:val="202"/>
        </w:trPr>
        <w:tc>
          <w:tcPr>
            <w:tcW w:w="5180" w:type="dxa"/>
            <w:vAlign w:val="bottom"/>
          </w:tcPr>
          <w:p>
            <w:pPr>
              <w:spacing w:after="0" w:line="201" w:lineRule="exact"/>
              <w:rPr>
                <w:sz w:val="20"/>
                <w:szCs w:val="20"/>
                <w:color w:val="auto"/>
              </w:rPr>
            </w:pPr>
            <w:r>
              <w:rPr>
                <w:rFonts w:ascii="Arial" w:cs="Arial" w:eastAsia="Arial" w:hAnsi="Arial"/>
                <w:sz w:val="18"/>
                <w:szCs w:val="18"/>
                <w:b w:val="1"/>
                <w:bCs w:val="1"/>
                <w:color w:val="auto"/>
                <w:w w:val="92"/>
              </w:rPr>
              <w:t xml:space="preserve">Preferred shares </w:t>
            </w:r>
            <w:r>
              <w:rPr>
                <w:rFonts w:ascii="Arial" w:cs="Arial" w:eastAsia="Arial" w:hAnsi="Arial"/>
                <w:sz w:val="18"/>
                <w:szCs w:val="18"/>
                <w:b w:val="1"/>
                <w:bCs w:val="1"/>
                <w:i w:val="1"/>
                <w:iCs w:val="1"/>
                <w:color w:val="auto"/>
                <w:w w:val="92"/>
              </w:rPr>
              <w:t>(unlimited share, no par value – issued: 440,000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550,000</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(2019 – 440,000)</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Additional Paid in Capital</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45,346,696</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35,255,520</w:t>
            </w: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(1,215,659)</w:t>
            </w:r>
          </w:p>
        </w:tc>
        <w:tc>
          <w:tcPr>
            <w:tcW w:w="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(1,215,534)</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Deficit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0"/>
              </w:rPr>
              <w:t>(162,858,198)</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(106,226,819)</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36,254,130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8,187,612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54,684,973</w:t>
            </w: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18,323,461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i w:val="1"/>
          <w:iCs w:val="1"/>
          <w:color w:val="auto"/>
        </w:rPr>
        <w:t>(Note 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(Note 16)</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Gerard Barron</w:t>
      </w:r>
      <w:r>
        <w:rPr>
          <w:rFonts w:ascii="Arial" w:cs="Arial" w:eastAsia="Arial" w:hAnsi="Arial"/>
          <w:sz w:val="18"/>
          <w:szCs w:val="18"/>
          <w:i w:val="1"/>
          <w:iCs w:val="1"/>
          <w:color w:val="auto"/>
        </w:rPr>
        <w:t>”</w:t>
      </w:r>
      <w:r>
        <w:rPr>
          <w:rFonts w:ascii="Arial" w:cs="Arial" w:eastAsia="Arial" w:hAnsi="Arial"/>
          <w:sz w:val="18"/>
          <w:szCs w:val="18"/>
          <w:color w:val="auto"/>
        </w:rPr>
        <w:t>, Director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Paul Matysek</w:t>
      </w:r>
      <w:r>
        <w:rPr>
          <w:rFonts w:ascii="Arial" w:cs="Arial" w:eastAsia="Arial" w:hAnsi="Arial"/>
          <w:sz w:val="18"/>
          <w:szCs w:val="18"/>
          <w:i w:val="1"/>
          <w:iCs w:val="1"/>
          <w:color w:val="auto"/>
        </w:rPr>
        <w:t>”</w:t>
      </w:r>
      <w:r>
        <w:rPr>
          <w:rFonts w:ascii="Arial" w:cs="Arial" w:eastAsia="Arial" w:hAnsi="Arial"/>
          <w:sz w:val="18"/>
          <w:szCs w:val="18"/>
          <w:color w:val="auto"/>
        </w:rPr>
        <w:t>, Director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3" w:name="page224"/>
    <w:bookmarkEnd w:id="2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Dollars (except weighted average number of shares outstanding)</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For the</w:t>
            </w:r>
          </w:p>
        </w:tc>
        <w:tc>
          <w:tcPr>
            <w:tcW w:w="10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year ended</w:t>
            </w:r>
          </w:p>
        </w:tc>
        <w:tc>
          <w:tcPr>
            <w:tcW w:w="10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year ended</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December 31</w:t>
            </w:r>
          </w:p>
        </w:tc>
        <w:tc>
          <w:tcPr>
            <w:tcW w:w="10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left="1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left="12"/>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6"/>
                <w:szCs w:val="16"/>
                <w:b w:val="1"/>
                <w:bCs w:val="1"/>
                <w:color w:val="auto"/>
              </w:rPr>
              <w:t>Note</w:t>
            </w:r>
          </w:p>
        </w:tc>
        <w:tc>
          <w:tcPr>
            <w:tcW w:w="900" w:type="dxa"/>
            <w:vAlign w:val="bottom"/>
          </w:tcPr>
          <w:p>
            <w:pPr>
              <w:jc w:val="center"/>
              <w:ind w:left="52"/>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52"/>
              <w:spacing w:after="0"/>
              <w:rPr>
                <w:sz w:val="20"/>
                <w:szCs w:val="20"/>
                <w:color w:val="auto"/>
              </w:rPr>
            </w:pPr>
            <w:r>
              <w:rPr>
                <w:rFonts w:ascii="Arial" w:cs="Arial" w:eastAsia="Arial" w:hAnsi="Arial"/>
                <w:sz w:val="16"/>
                <w:szCs w:val="16"/>
                <w:b w:val="1"/>
                <w:bCs w:val="1"/>
                <w:color w:val="auto"/>
                <w:w w:val="8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2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Exploration expenses</w:t>
            </w:r>
          </w:p>
        </w:tc>
        <w:tc>
          <w:tcPr>
            <w:tcW w:w="500" w:type="dxa"/>
            <w:vAlign w:val="bottom"/>
          </w:tcPr>
          <w:p>
            <w:pPr>
              <w:jc w:val="right"/>
              <w:ind w:right="1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48,881,445</w:t>
            </w:r>
          </w:p>
        </w:tc>
        <w:tc>
          <w:tcPr>
            <w:tcW w:w="10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38,830,228</w:t>
            </w: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Consulting fees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1,385,882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820,665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Investor relations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857,810</w:t>
            </w:r>
          </w:p>
        </w:tc>
        <w:tc>
          <w:tcPr>
            <w:tcW w:w="1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1,221,153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Office and sundry</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303,006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236,360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663,293</w:t>
            </w:r>
          </w:p>
        </w:tc>
        <w:tc>
          <w:tcPr>
            <w:tcW w:w="10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248,211</w:t>
            </w: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wages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915,855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741,355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Director fees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195,101</w:t>
            </w:r>
          </w:p>
        </w:tc>
        <w:tc>
          <w:tcPr>
            <w:tcW w:w="1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497,368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options-based payments</w:t>
            </w:r>
          </w:p>
        </w:tc>
        <w:tc>
          <w:tcPr>
            <w:tcW w:w="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3,263,131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401,926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Transfer agent and filing fees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6,023</w:t>
            </w:r>
          </w:p>
        </w:tc>
        <w:tc>
          <w:tcPr>
            <w:tcW w:w="1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w:t>
            </w: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132,821</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298,921</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56,604,367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43,298,723</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items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80,447</w:t>
            </w:r>
          </w:p>
        </w:tc>
        <w:tc>
          <w:tcPr>
            <w:tcW w:w="10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73,951</w:t>
            </w: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(53,435)</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(300,303)</w:t>
            </w:r>
          </w:p>
        </w:tc>
        <w:tc>
          <w:tcPr>
            <w:tcW w:w="0" w:type="dxa"/>
            <w:vAlign w:val="bottom"/>
          </w:tcPr>
          <w:p>
            <w:pPr>
              <w:spacing w:after="0"/>
              <w:rPr>
                <w:sz w:val="1"/>
                <w:szCs w:val="1"/>
                <w:color w:val="auto"/>
              </w:rPr>
            </w:pPr>
          </w:p>
        </w:tc>
      </w:tr>
      <w:tr>
        <w:trPr>
          <w:trHeight w:val="228"/>
        </w:trPr>
        <w:tc>
          <w:tcPr>
            <w:tcW w:w="528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56,631,379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43,072,371</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2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Other comprehensive income to be reclassified to profit and loss in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Arial" w:cs="Arial" w:eastAsia="Arial" w:hAnsi="Arial"/>
                <w:sz w:val="18"/>
                <w:szCs w:val="18"/>
                <w:b w:val="1"/>
                <w:bCs w:val="1"/>
                <w:color w:val="auto"/>
              </w:rPr>
              <w:t>subsequent periods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differences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loss for the year</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56,631,504</w:t>
            </w:r>
          </w:p>
        </w:tc>
        <w:tc>
          <w:tcPr>
            <w:tcW w:w="100" w:type="dxa"/>
            <w:vAlign w:val="bottom"/>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43,072,405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Loss per share</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154,224,664</w:t>
            </w:r>
          </w:p>
        </w:tc>
        <w:tc>
          <w:tcPr>
            <w:tcW w:w="1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131,308,417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4" w:name="page225"/>
    <w:bookmarkEnd w:id="2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Dollars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For the</w:t>
            </w:r>
          </w:p>
        </w:tc>
        <w:tc>
          <w:tcPr>
            <w:tcW w:w="10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year ended</w:t>
            </w:r>
          </w:p>
        </w:tc>
        <w:tc>
          <w:tcPr>
            <w:tcW w:w="10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year ended</w:t>
            </w: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0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left="3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left="12"/>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Note</w:t>
            </w:r>
          </w:p>
        </w:tc>
        <w:tc>
          <w:tcPr>
            <w:tcW w:w="880" w:type="dxa"/>
            <w:vAlign w:val="bottom"/>
          </w:tcPr>
          <w:p>
            <w:pPr>
              <w:jc w:val="center"/>
              <w:ind w:left="72"/>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52"/>
              <w:spacing w:after="0"/>
              <w:rPr>
                <w:sz w:val="20"/>
                <w:szCs w:val="20"/>
                <w:color w:val="auto"/>
              </w:rPr>
            </w:pPr>
            <w:r>
              <w:rPr>
                <w:rFonts w:ascii="Arial" w:cs="Arial" w:eastAsia="Arial" w:hAnsi="Arial"/>
                <w:sz w:val="16"/>
                <w:szCs w:val="16"/>
                <w:b w:val="1"/>
                <w:bCs w:val="1"/>
                <w:color w:val="auto"/>
                <w:w w:val="8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3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resources provided by (used in)</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Loss for the year</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0"/>
              </w:rPr>
              <w:t>(56,631,379)</w:t>
            </w:r>
          </w:p>
        </w:tc>
        <w:tc>
          <w:tcPr>
            <w:tcW w:w="10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(43,072,371)</w:t>
            </w: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Items not affecting cash:</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563,183</w:t>
            </w: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339,441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Expenses settled in share-based payments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8,10</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27,097,603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27,018,640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Unrealized foreign exchange</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7,995</w:t>
            </w: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non-cash working capital</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(109,811)</w:t>
            </w:r>
          </w:p>
        </w:tc>
        <w:tc>
          <w:tcPr>
            <w:tcW w:w="10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(241,771)</w:t>
            </w:r>
          </w:p>
        </w:tc>
        <w:tc>
          <w:tcPr>
            <w:tcW w:w="0" w:type="dxa"/>
            <w:vAlign w:val="bottom"/>
          </w:tcPr>
          <w:p>
            <w:pPr>
              <w:spacing w:after="0"/>
              <w:rPr>
                <w:sz w:val="1"/>
                <w:szCs w:val="1"/>
                <w:color w:val="auto"/>
              </w:rPr>
            </w:pPr>
          </w:p>
        </w:tc>
      </w:tr>
      <w:tr>
        <w:trPr>
          <w:trHeight w:val="41"/>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2,487,398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589,410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00" w:type="dxa"/>
            <w:vAlign w:val="bottom"/>
          </w:tcPr>
          <w:p>
            <w:pPr>
              <w:ind w:left="180"/>
              <w:spacing w:after="0"/>
              <w:rPr>
                <w:sz w:val="20"/>
                <w:szCs w:val="20"/>
                <w:color w:val="auto"/>
              </w:rPr>
            </w:pPr>
            <w:r>
              <w:rPr>
                <w:rFonts w:ascii="Arial" w:cs="Arial" w:eastAsia="Arial" w:hAnsi="Arial"/>
                <w:sz w:val="18"/>
                <w:szCs w:val="18"/>
                <w:color w:val="auto"/>
              </w:rPr>
              <w:t>Interest received</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53,435</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287,431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(26,531,576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(15,078,141</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exploration license</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(607,375)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Acquisition of equipment</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22"/>
                <w:szCs w:val="22"/>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(2,123,475)</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(607,375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(2,123,475</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919,465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w w:val="91"/>
              </w:rPr>
              <w:t>Proceeds from issuance of common shares (net of fees and other costs)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5"/>
              </w:rPr>
              <w:t>20,373,188</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26,156,425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21,292,653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26,506,425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99"/>
              </w:rPr>
              <w:t>(5,846,298)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9,304,809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Impact of exchange rate changes on cash and cash equivalents</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(8,121)</w:t>
            </w:r>
          </w:p>
        </w:tc>
        <w:tc>
          <w:tcPr>
            <w:tcW w:w="10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beginning of year</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15,950,624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6,646,927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5"/>
              </w:rPr>
              <w:t>10,096,205</w:t>
            </w: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15,950,624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cash flow information (Note 13)</w:t>
      </w:r>
    </w:p>
    <w:p>
      <w:pPr>
        <w:spacing w:after="0" w:line="15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5" w:name="page226"/>
    <w:bookmarkEnd w:id="2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United States Dollars</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940" w:type="dxa"/>
            <w:vAlign w:val="bottom"/>
            <w:gridSpan w:val="3"/>
            <w:vMerge w:val="continue"/>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Paid in</w:t>
            </w: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1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capital</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Capital</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Loss</w:t>
            </w:r>
          </w:p>
        </w:tc>
        <w:tc>
          <w:tcPr>
            <w:tcW w:w="110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92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720" w:type="dxa"/>
            <w:vAlign w:val="bottom"/>
          </w:tcPr>
          <w:p>
            <w:pPr>
              <w:jc w:val="center"/>
              <w:ind w:left="4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left="61"/>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December 31, 2018</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40,350,123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29,538,112</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(1,215,500)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(63,154,448)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6,068,287</w:t>
            </w: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6"/>
                <w:szCs w:val="16"/>
                <w:color w:val="auto"/>
              </w:rPr>
              <w:t>Private placement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26,158,504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26,158,504</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Financing cost</w:t>
            </w: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(2,079)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r>
        <w:trPr>
          <w:trHeight w:val="193"/>
        </w:trPr>
        <w:tc>
          <w:tcPr>
            <w:tcW w:w="2000" w:type="dxa"/>
            <w:vAlign w:val="bottom"/>
          </w:tcPr>
          <w:p>
            <w:pPr>
              <w:ind w:left="180"/>
              <w:spacing w:after="0"/>
              <w:rPr>
                <w:sz w:val="20"/>
                <w:szCs w:val="20"/>
                <w:color w:val="auto"/>
              </w:rPr>
            </w:pPr>
            <w:r>
              <w:rPr>
                <w:rFonts w:ascii="Arial" w:cs="Arial" w:eastAsia="Arial" w:hAnsi="Arial"/>
                <w:sz w:val="16"/>
                <w:szCs w:val="16"/>
                <w:color w:val="auto"/>
                <w:w w:val="94"/>
              </w:rPr>
              <w:t>Common shares issued for</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360"/>
              <w:spacing w:after="0"/>
              <w:rPr>
                <w:sz w:val="20"/>
                <w:szCs w:val="20"/>
                <w:color w:val="auto"/>
              </w:rPr>
            </w:pPr>
            <w:r>
              <w:rPr>
                <w:rFonts w:ascii="Arial" w:cs="Arial" w:eastAsia="Arial" w:hAnsi="Arial"/>
                <w:sz w:val="16"/>
                <w:szCs w:val="16"/>
                <w:color w:val="auto"/>
              </w:rPr>
              <w:t>services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14,270,606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(3,675,062)</w:t>
            </w:r>
          </w:p>
        </w:tc>
        <w:tc>
          <w:tcPr>
            <w:tcW w:w="8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10,595,544</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631,948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(281,948)</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350,000</w:t>
            </w:r>
          </w:p>
        </w:tc>
        <w:tc>
          <w:tcPr>
            <w:tcW w:w="0" w:type="dxa"/>
            <w:vAlign w:val="bottom"/>
          </w:tcPr>
          <w:p>
            <w:pPr>
              <w:spacing w:after="0"/>
              <w:rPr>
                <w:sz w:val="1"/>
                <w:szCs w:val="1"/>
                <w:color w:val="auto"/>
              </w:rPr>
            </w:pPr>
          </w:p>
        </w:tc>
      </w:tr>
      <w:tr>
        <w:trPr>
          <w:trHeight w:val="193"/>
        </w:trPr>
        <w:tc>
          <w:tcPr>
            <w:tcW w:w="2000" w:type="dxa"/>
            <w:vAlign w:val="bottom"/>
          </w:tcPr>
          <w:p>
            <w:pPr>
              <w:ind w:left="180"/>
              <w:spacing w:after="0"/>
              <w:rPr>
                <w:sz w:val="20"/>
                <w:szCs w:val="20"/>
                <w:color w:val="auto"/>
              </w:rPr>
            </w:pPr>
            <w:r>
              <w:rPr>
                <w:rFonts w:ascii="Arial" w:cs="Arial" w:eastAsia="Arial" w:hAnsi="Arial"/>
                <w:sz w:val="16"/>
                <w:szCs w:val="16"/>
                <w:color w:val="auto"/>
              </w:rPr>
              <w:t>Common shares to be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360"/>
              <w:spacing w:after="0"/>
              <w:rPr>
                <w:sz w:val="20"/>
                <w:szCs w:val="20"/>
                <w:color w:val="auto"/>
              </w:rPr>
            </w:pPr>
            <w:r>
              <w:rPr>
                <w:rFonts w:ascii="Arial" w:cs="Arial" w:eastAsia="Arial" w:hAnsi="Arial"/>
                <w:sz w:val="16"/>
                <w:szCs w:val="16"/>
                <w:color w:val="auto"/>
              </w:rPr>
              <w:t>issued for exploration</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36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7"/>
                <w:szCs w:val="17"/>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6,410,275</w:t>
            </w:r>
          </w:p>
        </w:tc>
        <w:tc>
          <w:tcPr>
            <w:tcW w:w="8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6,410,275</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Share options-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based payments</w:t>
            </w: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(1,584,657)</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3,264,143</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1,679,486</w:t>
            </w:r>
          </w:p>
        </w:tc>
        <w:tc>
          <w:tcPr>
            <w:tcW w:w="0" w:type="dxa"/>
            <w:vAlign w:val="bottom"/>
          </w:tcPr>
          <w:p>
            <w:pPr>
              <w:spacing w:after="0"/>
              <w:rPr>
                <w:sz w:val="1"/>
                <w:szCs w:val="1"/>
                <w:color w:val="auto"/>
              </w:rPr>
            </w:pPr>
          </w:p>
        </w:tc>
      </w:tr>
      <w:tr>
        <w:trPr>
          <w:trHeight w:val="193"/>
        </w:trPr>
        <w:tc>
          <w:tcPr>
            <w:tcW w:w="2000" w:type="dxa"/>
            <w:vAlign w:val="bottom"/>
          </w:tcPr>
          <w:p>
            <w:pPr>
              <w:ind w:left="180"/>
              <w:spacing w:after="0"/>
              <w:rPr>
                <w:sz w:val="20"/>
                <w:szCs w:val="20"/>
                <w:color w:val="auto"/>
              </w:rPr>
            </w:pPr>
            <w:r>
              <w:rPr>
                <w:rFonts w:ascii="Arial" w:cs="Arial" w:eastAsia="Arial" w:hAnsi="Arial"/>
                <w:sz w:val="16"/>
                <w:szCs w:val="16"/>
                <w:color w:val="auto"/>
              </w:rPr>
              <w:t>Currency translation</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360"/>
              <w:spacing w:after="0"/>
              <w:rPr>
                <w:sz w:val="20"/>
                <w:szCs w:val="20"/>
                <w:color w:val="auto"/>
              </w:rPr>
            </w:pPr>
            <w:r>
              <w:rPr>
                <w:rFonts w:ascii="Arial" w:cs="Arial" w:eastAsia="Arial" w:hAnsi="Arial"/>
                <w:sz w:val="16"/>
                <w:szCs w:val="16"/>
                <w:color w:val="auto"/>
              </w:rPr>
              <w:t>differences</w:t>
            </w:r>
          </w:p>
        </w:tc>
        <w:tc>
          <w:tcPr>
            <w:tcW w:w="120" w:type="dxa"/>
            <w:vAlign w:val="bottom"/>
          </w:tcPr>
          <w:p>
            <w:pPr>
              <w:spacing w:after="0"/>
              <w:rPr>
                <w:sz w:val="17"/>
                <w:szCs w:val="17"/>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for the year</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(43,072,371)</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(43,072,371)</w:t>
            </w:r>
          </w:p>
        </w:tc>
        <w:tc>
          <w:tcPr>
            <w:tcW w:w="0" w:type="dxa"/>
            <w:vAlign w:val="bottom"/>
          </w:tcPr>
          <w:p>
            <w:pPr>
              <w:spacing w:after="0"/>
              <w:rPr>
                <w:sz w:val="1"/>
                <w:szCs w:val="1"/>
                <w:color w:val="auto"/>
              </w:rPr>
            </w:pPr>
          </w:p>
        </w:tc>
      </w:tr>
      <w:tr>
        <w:trPr>
          <w:trHeight w:val="277"/>
        </w:trPr>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December 31, 2019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79,824,445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35,255,520</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(1,215,534)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(106,226,819)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8,187,612</w:t>
            </w: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6"/>
                <w:szCs w:val="16"/>
                <w:color w:val="auto"/>
              </w:rPr>
              <w:t>Private placement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20,375,712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20,375,712</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Common shares issued for</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TOML acquisition</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27,999,997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27,999,997</w:t>
            </w: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6"/>
                <w:szCs w:val="16"/>
                <w:color w:val="auto"/>
              </w:rPr>
              <w:t>Financing cost</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(28,089)</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(28,089)</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Common shares issued for</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services</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24,865,637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(6,410,275)</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18,455,362</w:t>
            </w: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6"/>
                <w:szCs w:val="16"/>
                <w:color w:val="auto"/>
              </w:rPr>
              <w:t>Exercise of stock options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1,790,157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(870,692)</w:t>
            </w:r>
          </w:p>
        </w:tc>
        <w:tc>
          <w:tcPr>
            <w:tcW w:w="8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919,465</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shares to be</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for exploration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expenses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12,879,057</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12,879,057</w:t>
            </w:r>
          </w:p>
        </w:tc>
        <w:tc>
          <w:tcPr>
            <w:tcW w:w="0" w:type="dxa"/>
            <w:vAlign w:val="bottom"/>
          </w:tcPr>
          <w:p>
            <w:pPr>
              <w:spacing w:after="0"/>
              <w:rPr>
                <w:sz w:val="1"/>
                <w:szCs w:val="1"/>
                <w:color w:val="auto"/>
              </w:rPr>
            </w:pPr>
          </w:p>
        </w:tc>
      </w:tr>
      <w:tr>
        <w:trPr>
          <w:trHeight w:val="193"/>
        </w:trPr>
        <w:tc>
          <w:tcPr>
            <w:tcW w:w="2000" w:type="dxa"/>
            <w:vAlign w:val="bottom"/>
          </w:tcPr>
          <w:p>
            <w:pPr>
              <w:ind w:left="180"/>
              <w:spacing w:after="0"/>
              <w:rPr>
                <w:sz w:val="20"/>
                <w:szCs w:val="20"/>
                <w:color w:val="auto"/>
              </w:rPr>
            </w:pPr>
            <w:r>
              <w:rPr>
                <w:rFonts w:ascii="Arial" w:cs="Arial" w:eastAsia="Arial" w:hAnsi="Arial"/>
                <w:sz w:val="16"/>
                <w:szCs w:val="16"/>
                <w:color w:val="auto"/>
              </w:rPr>
              <w:t>Common Share options-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360"/>
              <w:spacing w:after="0"/>
              <w:rPr>
                <w:sz w:val="20"/>
                <w:szCs w:val="20"/>
                <w:color w:val="auto"/>
              </w:rPr>
            </w:pPr>
            <w:r>
              <w:rPr>
                <w:rFonts w:ascii="Arial" w:cs="Arial" w:eastAsia="Arial" w:hAnsi="Arial"/>
                <w:sz w:val="16"/>
                <w:szCs w:val="16"/>
                <w:color w:val="auto"/>
              </w:rPr>
              <w:t>based payments</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(396,568)</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4,493,086</w:t>
            </w:r>
          </w:p>
        </w:tc>
        <w:tc>
          <w:tcPr>
            <w:tcW w:w="8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4,096,518</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Currency translation</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differences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50"/>
        </w:trPr>
        <w:tc>
          <w:tcPr>
            <w:tcW w:w="2000" w:type="dxa"/>
            <w:vAlign w:val="bottom"/>
          </w:tcPr>
          <w:p>
            <w:pPr>
              <w:ind w:left="180"/>
              <w:spacing w:after="0"/>
              <w:rPr>
                <w:sz w:val="20"/>
                <w:szCs w:val="20"/>
                <w:color w:val="auto"/>
              </w:rPr>
            </w:pPr>
            <w:r>
              <w:rPr>
                <w:rFonts w:ascii="Arial" w:cs="Arial" w:eastAsia="Arial" w:hAnsi="Arial"/>
                <w:sz w:val="16"/>
                <w:szCs w:val="16"/>
                <w:color w:val="auto"/>
              </w:rPr>
              <w:t>Loss for the year</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(56,631,379)</w:t>
            </w:r>
          </w:p>
        </w:tc>
        <w:tc>
          <w:tcPr>
            <w:tcW w:w="1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(56,631,379)</w:t>
            </w:r>
          </w:p>
        </w:tc>
        <w:tc>
          <w:tcPr>
            <w:tcW w:w="0" w:type="dxa"/>
            <w:vAlign w:val="bottom"/>
          </w:tcPr>
          <w:p>
            <w:pPr>
              <w:spacing w:after="0"/>
              <w:rPr>
                <w:sz w:val="1"/>
                <w:szCs w:val="1"/>
                <w:color w:val="auto"/>
              </w:rPr>
            </w:pPr>
          </w:p>
        </w:tc>
      </w:tr>
      <w:tr>
        <w:trPr>
          <w:trHeight w:val="33"/>
        </w:trPr>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December 31, 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154,431,291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550,000</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7"/>
              </w:rPr>
              <w:t>45,346,696</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(1,215,659)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0"/>
              </w:rPr>
              <w:t>(162,858,198)</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94"/>
              </w:rPr>
              <w:t>36,254,130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6" w:name="page227"/>
    <w:bookmarkEnd w:id="2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Nature of Operations</w:t>
      </w:r>
    </w:p>
    <w:p>
      <w:pPr>
        <w:spacing w:after="0" w:line="162" w:lineRule="exact"/>
        <w:rPr>
          <w:sz w:val="20"/>
          <w:szCs w:val="20"/>
          <w:color w:val="auto"/>
        </w:rPr>
      </w:pPr>
    </w:p>
    <w:p>
      <w:pPr>
        <w:jc w:val="both"/>
        <w:ind w:left="460" w:right="599" w:firstLine="432"/>
        <w:spacing w:after="0" w:line="298" w:lineRule="auto"/>
        <w:rPr>
          <w:sz w:val="20"/>
          <w:szCs w:val="20"/>
          <w:color w:val="auto"/>
        </w:rPr>
      </w:pPr>
      <w:r>
        <w:rPr>
          <w:rFonts w:ascii="Arial" w:cs="Arial" w:eastAsia="Arial" w:hAnsi="Arial"/>
          <w:sz w:val="17"/>
          <w:szCs w:val="17"/>
          <w:color w:val="auto"/>
        </w:rPr>
        <w:t>DeepGreen Metals Inc. (“DeepGreen” or the “Company”) is incorporated under the laws of the Province of British Columbia, Canada. The Company’s corporate office, registered address and records office is located at 10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floor, 595 Howe Street, Vancouver, British Columbia, Canada, V6C 2T5.</w:t>
      </w:r>
    </w:p>
    <w:p>
      <w:pPr>
        <w:spacing w:after="0" w:line="40" w:lineRule="exact"/>
        <w:rPr>
          <w:sz w:val="20"/>
          <w:szCs w:val="20"/>
          <w:color w:val="auto"/>
        </w:rPr>
      </w:pPr>
    </w:p>
    <w:p>
      <w:pPr>
        <w:ind w:left="460" w:right="479" w:firstLine="432"/>
        <w:spacing w:after="0" w:line="282" w:lineRule="auto"/>
        <w:rPr>
          <w:sz w:val="20"/>
          <w:szCs w:val="20"/>
          <w:color w:val="auto"/>
        </w:rPr>
      </w:pPr>
      <w:r>
        <w:rPr>
          <w:rFonts w:ascii="Arial" w:cs="Arial" w:eastAsia="Arial" w:hAnsi="Arial"/>
          <w:sz w:val="16"/>
          <w:szCs w:val="16"/>
          <w:color w:val="auto"/>
        </w:rPr>
        <w:t>DeepGreen is a Canadian company engaged in seafloor mineral exploration in the Clarion Clipperton Zone (the “Clarion Clipperton Zone”), approximately 2,000 km west of Mexico in the East Pacific Ocean, a region that hosts high grade polymetallic nodules containing manganese, nickel, copper and cobalt. DeepGreen is considered to have mining operations and mining properties in accordance with SEC regulations. The Company is also developing technology for onshore processing of polymetallic nodules as well as working with Allseas Group S.A (“Allseas”) to develop a system to collect, lift and transport nodules to shore. DeepGreen’s subsidiary, Nauru Ocean Resources Inc., (“NORI”) was granted an exploration license by the International Seabed Authority (“ISA”) in July 2011 and has exclusive rights to explore for polymetallic nodules covering 74,830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in the Clarion Clipperton Zone (“NORI Area”). The Company also has an agreement with Marawa Research and Exploration Ltd (“Marawa”) with respect to polymetallic nodules in an exploration area of 74,990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in the Clarion Clipperton Zone granted to Marawa by the ISA where DeepGreen can purchase such tenements granted to Marawa or exclusively collect nodules from this area (the “Marawa Area”) in return for a royalty payable to Marawa. During the year ended December 31, 2020, the Company acquired Tonga Offshore Mining Ltd. (“TOML”) (Note 3). TOML was granted an exploration license by the ISA in January 2012 and has exclusive rights to explore for polymetallic nodules covering 74,713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of the Clarion Clipperton Zone.</w:t>
      </w:r>
    </w:p>
    <w:p>
      <w:pPr>
        <w:spacing w:after="0" w:line="51"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recovery of the Company’s exploration licenses and attainment of profitable operations is dependent upon many factors including, among other things: financing being arranged by the Company to continue operations, explore and develop the ocean floor for the extraction of polymetallic nodules as well as develop processing technology for the treatment of polymetallic nodules, the establishment of a mineable resource, the commercial and technical feasibility of seafloor polymetallic nodule mining and processing, metal prices, and regulatory approval for mining and environmental permitting. The outcome of these matters cannot presently be determined because they are contingent on future events.</w:t>
      </w:r>
    </w:p>
    <w:p>
      <w:pPr>
        <w:spacing w:after="0" w:line="110"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The Company will require additional funding in the future, for administration and to execute its exploration and development plans. While the Company has been successful in obtaining its required funding in the past, there is no assurance that such financing will continue to be available. Factors that could affect the availability of financing include, among other things, progress and exploration results, the state of international debt and equity markets, investor perceptions and expectations, and the global financial and metals markets.</w:t>
      </w:r>
    </w:p>
    <w:p>
      <w:pPr>
        <w:spacing w:after="0" w:line="94"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Since March 2020, several measures have been implemented by the governments in Canada, the United States, Australia, and the rest of the world in the form of office closures and limiting the movement of personals in response to the increased impact from the novel coronavirus (“COVID-19”). While the impact of COVID-19 is expected to be temporary, the current circumstances are dynamic and the impact on our business operations cannot be reasonably estimated at this time. We anticipate this could have an adverse impact on our exploration plans, results of operations, financial position, and cash flows.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Statement of Compliance</w:t>
      </w:r>
    </w:p>
    <w:p>
      <w:pPr>
        <w:spacing w:after="0" w:line="148" w:lineRule="exact"/>
        <w:rPr>
          <w:sz w:val="20"/>
          <w:szCs w:val="20"/>
          <w:color w:val="auto"/>
        </w:rPr>
      </w:pPr>
    </w:p>
    <w:p>
      <w:pPr>
        <w:ind w:left="460" w:right="919" w:firstLine="432"/>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Generally Accepted Accounting Principles in the United States (“U.S. GAAP”) and include the accounts of DeepGreen and its wholly owned subsidiaries.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Board of Directors approved the consolidated financial statements on March 26, 2021.</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7" w:name="page228"/>
    <w:bookmarkEnd w:id="2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Basis of Presentation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Measurement</w:t>
      </w:r>
    </w:p>
    <w:p>
      <w:pPr>
        <w:spacing w:after="0" w:line="162"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These consolidated financial statements have been prepared under the historical cost convention and are presented in United States (“US”) dollars.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Consolidation</w:t>
      </w:r>
    </w:p>
    <w:p>
      <w:pPr>
        <w:spacing w:after="0" w:line="162"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These consolidated financial statements include the accounts of the Company (the “Parent”) and its subsidiaries. The principal subsidiaries of the Company, their activities, and their geographic locations as at December 31, 2020 were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Proportion of</w:t>
            </w: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Interest Held by</w:t>
            </w:r>
          </w:p>
        </w:tc>
      </w:tr>
      <w:tr>
        <w:trPr>
          <w:trHeight w:val="210"/>
        </w:trPr>
        <w:tc>
          <w:tcPr>
            <w:tcW w:w="3580" w:type="dxa"/>
            <w:vAlign w:val="bottom"/>
          </w:tcPr>
          <w:p>
            <w:pPr>
              <w:spacing w:after="0"/>
              <w:rPr>
                <w:sz w:val="20"/>
                <w:szCs w:val="20"/>
                <w:color w:val="auto"/>
              </w:rPr>
            </w:pPr>
            <w:r>
              <w:rPr>
                <w:rFonts w:ascii="Arial" w:cs="Arial" w:eastAsia="Arial" w:hAnsi="Arial"/>
                <w:sz w:val="16"/>
                <w:szCs w:val="16"/>
                <w:b w:val="1"/>
                <w:bCs w:val="1"/>
                <w:color w:val="auto"/>
              </w:rPr>
              <w:t>Subsidiary</w:t>
            </w:r>
          </w:p>
        </w:tc>
        <w:tc>
          <w:tcPr>
            <w:tcW w:w="100" w:type="dxa"/>
            <w:vAlign w:val="bottom"/>
          </w:tcPr>
          <w:p>
            <w:pPr>
              <w:spacing w:after="0"/>
              <w:rPr>
                <w:sz w:val="18"/>
                <w:szCs w:val="18"/>
                <w:color w:val="auto"/>
              </w:rPr>
            </w:pPr>
          </w:p>
        </w:tc>
        <w:tc>
          <w:tcPr>
            <w:tcW w:w="1500" w:type="dxa"/>
            <w:vAlign w:val="bottom"/>
          </w:tcPr>
          <w:p>
            <w:pPr>
              <w:ind w:left="140"/>
              <w:spacing w:after="0"/>
              <w:rPr>
                <w:sz w:val="20"/>
                <w:szCs w:val="20"/>
                <w:color w:val="auto"/>
              </w:rPr>
            </w:pPr>
            <w:r>
              <w:rPr>
                <w:rFonts w:ascii="Arial" w:cs="Arial" w:eastAsia="Arial" w:hAnsi="Arial"/>
                <w:sz w:val="16"/>
                <w:szCs w:val="16"/>
                <w:b w:val="1"/>
                <w:bCs w:val="1"/>
                <w:color w:val="auto"/>
              </w:rPr>
              <w:t>Principal Activity</w:t>
            </w:r>
          </w:p>
        </w:tc>
        <w:tc>
          <w:tcPr>
            <w:tcW w:w="100" w:type="dxa"/>
            <w:vAlign w:val="bottom"/>
          </w:tcPr>
          <w:p>
            <w:pPr>
              <w:spacing w:after="0"/>
              <w:rPr>
                <w:sz w:val="18"/>
                <w:szCs w:val="18"/>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Location</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the Parent</w:t>
            </w:r>
          </w:p>
        </w:tc>
      </w:tr>
      <w:tr>
        <w:trPr>
          <w:trHeight w:val="46"/>
        </w:trPr>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DeepGreen Engineering Pte. Ltd. (“DGE”)</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Mineral exploration</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Singapore</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DeepGreen Resources LLC (“DGL”)</w:t>
            </w: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USA</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NORI</w:t>
            </w:r>
          </w:p>
        </w:tc>
        <w:tc>
          <w:tcPr>
            <w:tcW w:w="1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7"/>
              </w:rPr>
              <w:t>Mineral exploration</w:t>
            </w:r>
          </w:p>
        </w:tc>
        <w:tc>
          <w:tcPr>
            <w:tcW w:w="1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Republic of Nauru</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w w:val="96"/>
              </w:rPr>
              <w:t>Nauru Education and Training Foundation Inc.</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(“NEAT”)</w:t>
            </w: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Republic of Nauru</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1"/>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Nauru Health and Environment Foundation</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51"/>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Incorporated (“NHEF”)</w:t>
            </w:r>
          </w:p>
        </w:tc>
        <w:tc>
          <w:tcPr>
            <w:tcW w:w="1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Republic of Nauru</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Tonga Offshore Mining Ltd. (“TOML”)</w:t>
            </w: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w w:val="97"/>
              </w:rPr>
              <w:t>Mineral exploration</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Tonga</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Koloa Moana Resources Ltd. (“Koloa Moana”)</w:t>
            </w:r>
          </w:p>
        </w:tc>
        <w:tc>
          <w:tcPr>
            <w:tcW w:w="1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Canada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Offshore Minerals Pte. Ltd. (“Offshore</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Minerals”)</w:t>
            </w: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w w:val="97"/>
              </w:rPr>
              <w:t>Mineral exploration</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Australia</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DeepGreen TOML Singapore Ltd. (TOML</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51"/>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Singapore”)</w:t>
            </w:r>
          </w:p>
        </w:tc>
        <w:tc>
          <w:tcPr>
            <w:tcW w:w="1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7"/>
              </w:rPr>
              <w:t>Mineral exploration</w:t>
            </w:r>
          </w:p>
        </w:tc>
        <w:tc>
          <w:tcPr>
            <w:tcW w:w="1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Singapore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2"/>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British Virgin</w:t>
            </w:r>
          </w:p>
        </w:tc>
        <w:tc>
          <w:tcPr>
            <w:tcW w:w="1240" w:type="dxa"/>
            <w:vAlign w:val="bottom"/>
          </w:tcPr>
          <w:p>
            <w:pPr>
              <w:spacing w:after="0"/>
              <w:rPr>
                <w:sz w:val="17"/>
                <w:szCs w:val="17"/>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w w:val="97"/>
              </w:rPr>
              <w:t>DeepGreen TOML Holding 1 (“TOML Hold 1”)</w:t>
            </w: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Islands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02"/>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British Virgin</w:t>
            </w:r>
          </w:p>
        </w:tc>
        <w:tc>
          <w:tcPr>
            <w:tcW w:w="1240" w:type="dxa"/>
            <w:vAlign w:val="bottom"/>
            <w:shd w:val="clear" w:color="auto" w:fill="CCEEFF"/>
          </w:tcPr>
          <w:p>
            <w:pPr>
              <w:spacing w:after="0"/>
              <w:rPr>
                <w:sz w:val="17"/>
                <w:szCs w:val="17"/>
                <w:color w:val="auto"/>
              </w:rPr>
            </w:pPr>
          </w:p>
        </w:tc>
      </w:tr>
      <w:tr>
        <w:trPr>
          <w:trHeight w:val="251"/>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DeepGreen TOML Holding 1 (“TOML Hold 2”)</w:t>
            </w:r>
          </w:p>
        </w:tc>
        <w:tc>
          <w:tcPr>
            <w:tcW w:w="1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Islands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The Metals Company Nauru Holding LLC</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(“Nauru Holding”)</w:t>
            </w: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gridSpan w:val="3"/>
          </w:tcPr>
          <w:p>
            <w:pPr>
              <w:ind w:left="100"/>
              <w:spacing w:after="0"/>
              <w:rPr>
                <w:sz w:val="20"/>
                <w:szCs w:val="20"/>
                <w:color w:val="auto"/>
              </w:rPr>
            </w:pPr>
            <w:r>
              <w:rPr>
                <w:rFonts w:ascii="Arial" w:cs="Arial" w:eastAsia="Arial" w:hAnsi="Arial"/>
                <w:sz w:val="18"/>
                <w:szCs w:val="18"/>
                <w:color w:val="auto"/>
              </w:rPr>
              <w:t>USA</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The Metals Company LLC (“TMC”)</w:t>
            </w: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 Company</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USA</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3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919" w:firstLine="432"/>
        <w:spacing w:after="0" w:line="342" w:lineRule="auto"/>
        <w:rPr>
          <w:sz w:val="20"/>
          <w:szCs w:val="20"/>
          <w:color w:val="auto"/>
        </w:rPr>
      </w:pPr>
      <w:r>
        <w:rPr>
          <w:rFonts w:ascii="Arial" w:cs="Arial" w:eastAsia="Arial" w:hAnsi="Arial"/>
          <w:sz w:val="16"/>
          <w:szCs w:val="16"/>
          <w:color w:val="auto"/>
        </w:rPr>
        <w:t>The transactions among the entities in the consolidated group pertain to the transfer of funds and the payment of third-party costs. All inter-group balances have been eliminated upon consolidation.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Significant Accounting Policies</w:t>
      </w:r>
    </w:p>
    <w:p>
      <w:pPr>
        <w:spacing w:after="0" w:line="162"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The Company’s accounting policies specific to significant financial statement line items are included below. All accounting policies have been consistently applied to all years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Foreign Currencies</w:t>
      </w:r>
    </w:p>
    <w:p>
      <w:pPr>
        <w:spacing w:after="0" w:line="162"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functional currency is the currency of the primary economic environment in which the entity operates. The functional currency of the Company and all its subsidiaries is the US Dollar, except for NEAT and NHEF, whose functional currency is the Australian Dollar.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8" w:name="page229"/>
    <w:bookmarkEnd w:id="2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Basis of Presentation </w:t>
      </w:r>
      <w:r>
        <w:rPr>
          <w:rFonts w:ascii="Arial" w:cs="Arial" w:eastAsia="Arial" w:hAnsi="Arial"/>
          <w:sz w:val="18"/>
          <w:szCs w:val="18"/>
          <w:color w:val="auto"/>
        </w:rPr>
        <w:t>(cont.)</w:t>
      </w:r>
    </w:p>
    <w:p>
      <w:pPr>
        <w:spacing w:after="0" w:line="202"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foreign currencies are translated at rates prevailing at the date when the fair value was determined. All gains and losses on translation of these foreign currency transactions are included in the statements of loss and comprehensive loss. Non-monetary items that are measured in terms of historical cost in a foreign currency are not retranslated.</w:t>
      </w:r>
    </w:p>
    <w:p>
      <w:pPr>
        <w:spacing w:after="0" w:line="97"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For consolidation purposes, the assets and liabilities of entities with functional currencies other than the US dollar are translated at the period end rates of exchange, and the results of their operations are translated at average rates of exchange for the period. The resulting changes are recognized in accumulated other comprehensive loss within equity as currency translation differences.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 Loss Per Share</w:t>
      </w:r>
    </w:p>
    <w:p>
      <w:pPr>
        <w:spacing w:after="0" w:line="162"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iii. Financial Instruments</w:t>
      </w:r>
    </w:p>
    <w:p>
      <w:pPr>
        <w:spacing w:after="0" w:line="162" w:lineRule="exact"/>
        <w:rPr>
          <w:sz w:val="20"/>
          <w:szCs w:val="20"/>
          <w:color w:val="auto"/>
        </w:rPr>
      </w:pPr>
    </w:p>
    <w:p>
      <w:pPr>
        <w:ind w:left="460" w:right="679" w:firstLine="432"/>
        <w:spacing w:after="0" w:line="257" w:lineRule="auto"/>
        <w:rPr>
          <w:sz w:val="20"/>
          <w:szCs w:val="20"/>
          <w:color w:val="auto"/>
        </w:rPr>
      </w:pPr>
      <w:r>
        <w:rPr>
          <w:rFonts w:ascii="Arial" w:cs="Arial" w:eastAsia="Arial" w:hAnsi="Arial"/>
          <w:sz w:val="18"/>
          <w:szCs w:val="18"/>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07"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Company’s financial instruments consists of cash and cash equivalents, accounts payable and accrued inabilities, and deferred acquisition costs all of which are recorded at amortized cost.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iv. Cash and Cash Equivalents</w:t>
      </w:r>
    </w:p>
    <w:p>
      <w:pPr>
        <w:spacing w:after="0" w:line="162"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Cash and cash equivalents include cash on hand and term deposits with a remaining term to maturity at acquisition of three months or less.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 Equipment</w:t>
      </w:r>
    </w:p>
    <w:p>
      <w:pPr>
        <w:spacing w:after="0" w:line="162"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categories of equipment are amortized on declining balance basis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and other equipment</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Office equipment</w:t>
            </w:r>
          </w:p>
        </w:tc>
        <w:tc>
          <w:tcPr>
            <w:tcW w:w="30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9" w:name="page230"/>
    <w:bookmarkEnd w:id="2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Basis of Presentation </w:t>
      </w:r>
      <w:r>
        <w:rPr>
          <w:rFonts w:ascii="Arial" w:cs="Arial" w:eastAsia="Arial" w:hAnsi="Arial"/>
          <w:sz w:val="18"/>
          <w:szCs w:val="18"/>
          <w:color w:val="auto"/>
        </w:rPr>
        <w:t>(cont.)</w:t>
      </w:r>
    </w:p>
    <w:p>
      <w:pPr>
        <w:spacing w:after="0" w:line="202"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Gains and losses on disposals of equipment are determined by comparing the proceeds with the carrying amount of the asset and are included in the statement of loss and comprehensive loss.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 Leases</w:t>
      </w:r>
    </w:p>
    <w:p>
      <w:pPr>
        <w:spacing w:after="0" w:line="14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right-of-use (“ROU”) assets and operating lease liabilities in the consolidated balance sheet. The Company does not have any finance leases.</w:t>
      </w:r>
    </w:p>
    <w:p>
      <w:pPr>
        <w:spacing w:after="0" w:line="116"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such leases do not provide an implicit rate, the Company uses its incremental borrowing rate based on the estimated rate of interest for collateralized borrowing over a similar term of the lease payments at commencement date. The operating lease ROU asset also includes any lease payments made and excludes lease incentives. The lease terms may include options to extend or terminate the lease and when it is reasonably certain that we will exercise that option.</w:t>
      </w:r>
    </w:p>
    <w:p>
      <w:pPr>
        <w:spacing w:after="0" w:line="111"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The Company elected to apply the short-term lease recognition exemption to all of its lease arrangements and recorded an expense of $116,760 (2019 – $85,479) for lease payments during the year ended December 31, 2020. Such lease expense is disclosed under office and sundry line item within the statement of loss and comprehensive loss and forms part of cash flow from operating activities.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vii. Exploration Licenses</w:t>
      </w:r>
    </w:p>
    <w:p>
      <w:pPr>
        <w:spacing w:after="0" w:line="14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Company is in the exploration stage with respect to its investment in mineral licenses and follows the practice of capitalizing costs relating to the acquisition of such mineral licenses.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Exploration Expenses</w:t>
      </w:r>
    </w:p>
    <w:p>
      <w:pPr>
        <w:spacing w:after="0" w:line="158"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Company expenses all costs relating to exploration for and development of mineral claims. Such exploration and development costs include, but are not limited to, claims management, geological, geochemical and geophysical studies, process development. The mineral licenses would be charged to operations on a unit-of-production method based on proven and probable reserves should commercial production commence in the future.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viii. Stock-based compensation</w:t>
      </w:r>
    </w:p>
    <w:p>
      <w:pPr>
        <w:spacing w:after="0" w:line="162" w:lineRule="exact"/>
        <w:rPr>
          <w:sz w:val="20"/>
          <w:szCs w:val="20"/>
          <w:color w:val="auto"/>
        </w:rPr>
      </w:pPr>
    </w:p>
    <w:p>
      <w:pPr>
        <w:ind w:left="460" w:right="719" w:firstLine="432"/>
        <w:spacing w:after="0" w:line="296" w:lineRule="auto"/>
        <w:rPr>
          <w:sz w:val="20"/>
          <w:szCs w:val="20"/>
          <w:color w:val="auto"/>
        </w:rPr>
      </w:pPr>
      <w:r>
        <w:rPr>
          <w:rFonts w:ascii="Arial" w:cs="Arial" w:eastAsia="Arial" w:hAnsi="Arial"/>
          <w:sz w:val="16"/>
          <w:szCs w:val="16"/>
          <w:color w:val="auto"/>
        </w:rPr>
        <w:t>Stock-based compensation is measured at the grant date based on the fair value of the award and is recognized over the requisite service period. Stock-based compensation costs are charged to exploration expenses or common share options-based payments in the income statement. The Company recognizes forfeiture of any awards as they occur. The Company records stock-based compensation from the issuance of the stock options with service-based conditions using the accelerated attribution method.</w:t>
      </w:r>
    </w:p>
    <w:p>
      <w:pPr>
        <w:spacing w:after="0" w:line="80" w:lineRule="exact"/>
        <w:rPr>
          <w:sz w:val="20"/>
          <w:szCs w:val="20"/>
          <w:color w:val="auto"/>
        </w:rPr>
      </w:pPr>
    </w:p>
    <w:p>
      <w:pPr>
        <w:ind w:left="460" w:right="779" w:firstLine="432"/>
        <w:spacing w:after="0" w:line="259" w:lineRule="auto"/>
        <w:rPr>
          <w:sz w:val="20"/>
          <w:szCs w:val="20"/>
          <w:color w:val="auto"/>
        </w:rPr>
      </w:pPr>
      <w:r>
        <w:rPr>
          <w:rFonts w:ascii="Arial" w:cs="Arial" w:eastAsia="Arial" w:hAnsi="Arial"/>
          <w:sz w:val="18"/>
          <w:szCs w:val="18"/>
          <w:color w:val="auto"/>
        </w:rPr>
        <w:t>For stock options issued with performance conditions related to financing activities, the Company recognizes the costs when the specific performance targets are achieved using the accelerated attribution method. When these costs relate to equity financing, they are netted against share capital as a share issuance cost</w:t>
      </w:r>
    </w:p>
    <w:p>
      <w:pPr>
        <w:spacing w:after="0" w:line="119"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The Company at times grants common shares or stock options in lieu of cash to certain vendors for their services to the Company. The Company recognizes the associated cost in the same period and manner as if the Company paid cash for the services provided.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0" w:name="page231"/>
    <w:bookmarkEnd w:id="2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Basis of Presentation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ix. Income Taxes</w:t>
      </w:r>
    </w:p>
    <w:p>
      <w:pPr>
        <w:spacing w:after="0" w:line="162"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income tax assets and liabilities for the expected future tax consequences of temporary differences between the carrying amounts and tax bases of assets and liabilities. The Company provides a valuation allowance on deferred tax assets unless it is more likely than not that such assets will be realized.</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Significant Accounting Estimates and Judgments</w:t>
      </w:r>
    </w:p>
    <w:p>
      <w:pPr>
        <w:spacing w:after="0" w:line="162"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Significant management judgments and estimates were applied to the following areas: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TOML Acquisition</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In March 2020, the Company completed the TOML Acquisition (Note 3) and applied guidance from U.S. GAAP Accounting Standard Coding (“ASC”) 805 to understand the accounting treatment regarding this acquisition and make necessary judgements.</w:t>
      </w:r>
    </w:p>
    <w:p>
      <w:pPr>
        <w:spacing w:after="0" w:line="116"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ASC 805 defines a business as inputs and processes, when applied to the inputs, resulting in the creation of outputs. The key input acquired in connection with the TOML Acquisition is the TOML Exploration License and the related intellectual property. TOML Exploration License is in the development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the Company’s management deemed that the TOML Acquisition was not a business acquisition and only an acquisition of a group of assets.</w:t>
      </w:r>
    </w:p>
    <w:p>
      <w:pPr>
        <w:spacing w:after="0" w:line="8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The Company’s position is supported by ASC 805’s guidance that if substantially all of the fair value of the gross assets acquired is concentrated in a single identifiable asset or a group of similar identifiable assets, the set is not considered a business. The value of the TOML is considered to be primarily in the TOML Exploration License.</w:t>
      </w:r>
    </w:p>
    <w:p>
      <w:pPr>
        <w:spacing w:after="0" w:line="119"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Management also determined that other assets acquired (which included other intangible assets such as patents and trademarks) were connected to the TOML Exploration License and would not hold value by themselves. The value of the total cost was therefore capitalized into one line item on the Company’s balance sheet, the Exploration licenses.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 Valuation of common share-based payments</w:t>
      </w:r>
    </w:p>
    <w:p>
      <w:pPr>
        <w:spacing w:after="0" w:line="162"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DeepGreen recognizes the cost of share-based awards granted to employees, non-employees and directors based on the estimated grant-date fair value of the awards. DeepGreen determines the fair value of stock options using the Black-Scholes option pricing model, which is impacted by the following assumptions:</w:t>
      </w:r>
    </w:p>
    <w:p>
      <w:pPr>
        <w:spacing w:after="0" w:line="68" w:lineRule="exact"/>
        <w:rPr>
          <w:sz w:val="20"/>
          <w:szCs w:val="20"/>
          <w:color w:val="auto"/>
        </w:rPr>
      </w:pPr>
    </w:p>
    <w:p>
      <w:pPr>
        <w:ind w:left="1320" w:right="559" w:hanging="434"/>
        <w:spacing w:after="0" w:line="263" w:lineRule="auto"/>
        <w:tabs>
          <w:tab w:leader="none" w:pos="131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Fair Value of Common Stock on the Date of the Grant — DeepGreen uses the price of the most recent private placements to assess the value of its shares on the date of the grant of incentive stock options.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1" w:name="page232"/>
    <w:bookmarkEnd w:id="2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640" w:hanging="186"/>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(cont.)</w:t>
      </w:r>
    </w:p>
    <w:p>
      <w:pPr>
        <w:spacing w:after="0" w:line="202" w:lineRule="exact"/>
        <w:rPr>
          <w:rFonts w:ascii="Arial" w:cs="Arial" w:eastAsia="Arial" w:hAnsi="Arial"/>
          <w:sz w:val="18"/>
          <w:szCs w:val="18"/>
          <w:b w:val="1"/>
          <w:bCs w:val="1"/>
          <w:color w:val="auto"/>
        </w:rPr>
      </w:pPr>
    </w:p>
    <w:p>
      <w:pPr>
        <w:ind w:left="1320" w:right="499" w:hanging="434"/>
        <w:spacing w:after="0" w:line="277" w:lineRule="auto"/>
        <w:tabs>
          <w:tab w:leader="none" w:pos="131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Expected Term — DeepGreen uses the term of the award when calculating the expected term due to insufficient historical exercise data.</w:t>
      </w:r>
    </w:p>
    <w:p>
      <w:pPr>
        <w:spacing w:after="0" w:line="89" w:lineRule="exact"/>
        <w:rPr>
          <w:rFonts w:ascii="Arial" w:cs="Arial" w:eastAsia="Arial" w:hAnsi="Arial"/>
          <w:sz w:val="18"/>
          <w:szCs w:val="18"/>
          <w:color w:val="auto"/>
        </w:rPr>
      </w:pPr>
    </w:p>
    <w:p>
      <w:pPr>
        <w:ind w:left="1320" w:right="759" w:hanging="434"/>
        <w:spacing w:after="0" w:line="277" w:lineRule="auto"/>
        <w:tabs>
          <w:tab w:leader="none" w:pos="131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Expected Volatility — As DeepGreen’s shares are not actively traded, the volatility is based on a benchmark of comparable companies within the mining industry.</w:t>
      </w:r>
    </w:p>
    <w:p>
      <w:pPr>
        <w:spacing w:after="0" w:line="102" w:lineRule="exact"/>
        <w:rPr>
          <w:rFonts w:ascii="Arial" w:cs="Arial" w:eastAsia="Arial" w:hAnsi="Arial"/>
          <w:sz w:val="18"/>
          <w:szCs w:val="18"/>
          <w:color w:val="auto"/>
        </w:rPr>
      </w:pPr>
    </w:p>
    <w:p>
      <w:pPr>
        <w:jc w:val="both"/>
        <w:ind w:left="1320" w:right="639" w:hanging="434"/>
        <w:spacing w:after="0" w:line="263" w:lineRule="auto"/>
        <w:tabs>
          <w:tab w:leader="none" w:pos="131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Expected Dividend Yield — The dividend rate used is zero as DeepGreen has never paid any cash dividends on common stock and does not anticipate doing so during the expected life of the stock options.</w:t>
      </w:r>
    </w:p>
    <w:p>
      <w:pPr>
        <w:spacing w:after="0" w:line="116" w:lineRule="exact"/>
        <w:rPr>
          <w:rFonts w:ascii="Arial" w:cs="Arial" w:eastAsia="Arial" w:hAnsi="Arial"/>
          <w:sz w:val="18"/>
          <w:szCs w:val="18"/>
          <w:color w:val="auto"/>
        </w:rPr>
      </w:pPr>
    </w:p>
    <w:p>
      <w:pPr>
        <w:ind w:left="1320" w:right="539" w:hanging="434"/>
        <w:spacing w:after="0" w:line="263" w:lineRule="auto"/>
        <w:tabs>
          <w:tab w:leader="none" w:pos="131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03"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Changes in these assumptions used to determine the fair value of the common share incentive stock options, including the vesting timeline of granted stock options, could have a material impact on the Company’s loss and comprehensive loss.</w:t>
      </w:r>
    </w:p>
    <w:p>
      <w:pPr>
        <w:spacing w:after="0" w:line="116"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DeepGreen determines the fair value of common shares issued for services based on the most recent private placements.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Adopted Accounting Guidance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Leases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February 2016, the FASB issued ASU 2016-02, Leases (Topic 842), which requires lessees to recognize all leases on the balance sheet, including operating leases, unless the lease is a short-term lease. ASU 2016-02 also requires additional disclosures regarding leasing arrangements. ASU 2016-02 became effective for the Company as of January 1, 2019. At January 1, 2019, the Company had an office lease agreement expiring September 12, 2020 which was later extended to September 12, 2022. The Company elected the short-term lease recognition exemption and, as a result, no right of use assets or lease liabilities were recognized as of January 1, 2019.</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 Stock Based Compensation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June 2018, the FASB issued ASU 2018-07, Stock Compensation (Topic 718), which updates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accounting provisions for nonemployee share-based payments to be measured at fair value as of the grant date.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ASU 2018-07 became effective for the Company as of January 1, 2019.</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Guidance Not Yet Adopted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Accounting for Income Taxes</w:t>
      </w:r>
    </w:p>
    <w:p>
      <w:pPr>
        <w:spacing w:after="0" w:line="16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In December 2019, the FASB 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The standard will be effective for the Company beginning Jan. 1, 2022, with early adoption permitted. The Company is currently evaluating the impact of this standard in the consolidated financial statements, including accounting policies, processes, and systems.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2" w:name="page233"/>
    <w:bookmarkEnd w:id="2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TOML Acquisition</w:t>
      </w:r>
    </w:p>
    <w:p>
      <w:pPr>
        <w:spacing w:after="0" w:line="162"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On March 31, 2020, the Company entered into an acquisition agreement (“TOML Acquisition”) to acquire the nodules business unit from Deep Sea Mining Finance Ltd. (“Deep Sea Mining”). As part of this acquisition the Company acquired TOML, Koloa Moana, Offshore Minerals, TOML Singapore, TOML Hold 1 &amp; TOML Hold 2 (together, the “TOML Group”), for a total purchase price, before transaction costs, of $32,000,000. TOML holds an ISA Exploration Contract in the Clarion Clipperton Zone of the East Pacific Ocean (“TOML Exploration Contract”). The TOML Acquisition includes the exclusive rights held by TOML to explore for polymetallic nodules in an area covering 74,713 km2, a priority right to apply for an exploitation contract to mine polymetallic nodules in the same area, and some exploration related equipment. The TOML group also holds various patents and an application right with respect to a prospecting exploration license in the Republic of Kiribati.</w:t>
      </w:r>
    </w:p>
    <w:p>
      <w:pPr>
        <w:spacing w:after="0" w:line="127"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The purchase price of $32 million was settled through initial cash payments of $500,000 in two tranches of $250,000 each (paid), issuance of 7,777,777 common shares of the Company, $60,000 payment to ISA on behalf of Deep Sea Mining and deferred consideration of $3.44 million to be paid on January 31, 2021. As long as the deferred consideration remains outstanding, it is secured by the shares of the TOML Group. The Common Share consideration paid by the Company was valued at $3.60 per share based on the recent private placements completed by the Company, for a total of $28 million.</w:t>
      </w:r>
    </w:p>
    <w:p>
      <w:pPr>
        <w:spacing w:after="0" w:line="97"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Company had the option of settling the deferred consideration in either cash or Common Shares of the Company at its sole discretion. Subsequent to the year ended December 31, 2020, the arrangement with Deep Sea Mining was amended to pay the entire deferred consideration with cash in tranches by June 30, 2021 (Note 16).</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incurred legal and regulatory fees to complete the acquisition, totalling $47,375.</w:t>
      </w:r>
    </w:p>
    <w:p>
      <w:pPr>
        <w:spacing w:after="0" w:line="15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Company determined that the value of TOML acquisition was substantially concentrated in the TOML Exploration Contract and therefore considered this to be an acquisition of a group of connected assets rather than an acquisition of business. As a consequence, the total cost of the transaction was primarily allocated to exploration licenses.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net assets acquired as part of the TOML acquisition were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Net Assets acquired as at March 31, 2020</w:t>
            </w:r>
          </w:p>
        </w:tc>
        <w:tc>
          <w:tcPr>
            <w:tcW w:w="1100" w:type="dxa"/>
            <w:vAlign w:val="bottom"/>
          </w:tcPr>
          <w:p>
            <w:pPr>
              <w:jc w:val="right"/>
              <w:ind w:right="35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560,000</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Common shares issued for TOML acquisition (7,777,777 @ $3.60)</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27,999,997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Transaction costs paid</w:t>
            </w:r>
          </w:p>
        </w:tc>
        <w:tc>
          <w:tcPr>
            <w:tcW w:w="12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47,375</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Deferred consideration</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3,440,000</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Acquisition Cost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32,047,372</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Allocated to</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Equipment (Note 7)</w:t>
            </w:r>
          </w:p>
        </w:tc>
        <w:tc>
          <w:tcPr>
            <w:tcW w:w="12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21,274</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Exploration licenses (Note 8)</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42,701,464</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 (Note 15)</w:t>
            </w:r>
            <w:r>
              <w:rPr>
                <w:rFonts w:ascii="Arial" w:cs="Arial" w:eastAsia="Arial" w:hAnsi="Arial"/>
                <w:sz w:val="20"/>
                <w:szCs w:val="20"/>
                <w:color w:val="auto"/>
                <w:vertAlign w:val="superscript"/>
              </w:rPr>
              <w:t>(1)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(10,675,366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519" w:hanging="426"/>
        <w:spacing w:after="0" w:line="278" w:lineRule="auto"/>
        <w:tabs>
          <w:tab w:leader="none" w:pos="87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deferred tax liability of $10,675,366 is recognized by the Company on acquisition during the year ended December 31, 2020 related to the difference between the book value and the tax basis of the TOML exploration license (Note 15).</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3" w:name="page234"/>
    <w:bookmarkEnd w:id="2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Expressed in US Dollars unless otherwise stated</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Financial Instruments</w:t>
      </w:r>
    </w:p>
    <w:p>
      <w:pPr>
        <w:sectPr>
          <w:pgSz w:w="11900" w:h="16838" w:orient="portrait"/>
          <w:cols w:equalWidth="0" w:num="1">
            <w:col w:w="9019"/>
          </w:cols>
          <w:pgMar w:left="1440" w:top="274" w:right="1440" w:bottom="1440" w:gutter="0" w:footer="0" w:header="0"/>
        </w:sectPr>
      </w:pP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Categories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548640</wp:posOffset>
            </wp:positionV>
            <wp:extent cx="5143500"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assets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220345</wp:posOffset>
            </wp:positionV>
            <wp:extent cx="5143500" cy="196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Amortized cost</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Deferred acquisition costs</w:t>
      </w:r>
    </w:p>
    <w:p>
      <w:pPr>
        <w:spacing w:after="0" w:line="200" w:lineRule="exact"/>
        <w:rPr>
          <w:sz w:val="20"/>
          <w:szCs w:val="20"/>
          <w:color w:val="auto"/>
        </w:rPr>
      </w:pPr>
    </w:p>
    <w:p>
      <w:pPr>
        <w:spacing w:after="0" w:line="3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03"/>
        </w:trPr>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r>
      <w:tr>
        <w:trPr>
          <w:trHeight w:val="210"/>
        </w:trPr>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r>
      <w:tr>
        <w:trPr>
          <w:trHeight w:val="47"/>
        </w:trPr>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389" w:lineRule="exact"/>
        <w:rPr>
          <w:sz w:val="20"/>
          <w:szCs w:val="20"/>
          <w:color w:val="auto"/>
        </w:rPr>
      </w:pPr>
    </w:p>
    <w:p>
      <w:pPr>
        <w:ind w:left="340"/>
        <w:spacing w:after="0"/>
        <w:tabs>
          <w:tab w:leader="none" w:pos="1660" w:val="left"/>
        </w:tabs>
        <w:rPr>
          <w:sz w:val="20"/>
          <w:szCs w:val="20"/>
          <w:color w:val="auto"/>
        </w:rPr>
      </w:pPr>
      <w:r>
        <w:rPr>
          <w:rFonts w:ascii="Arial" w:cs="Arial" w:eastAsia="Arial" w:hAnsi="Arial"/>
          <w:sz w:val="16"/>
          <w:szCs w:val="16"/>
          <w:b w:val="1"/>
          <w:bCs w:val="1"/>
          <w:color w:val="auto"/>
        </w:rPr>
        <w:t>10,096,205</w:t>
      </w:r>
      <w:r>
        <w:rPr>
          <w:sz w:val="20"/>
          <w:szCs w:val="20"/>
          <w:color w:val="auto"/>
        </w:rPr>
        <w:tab/>
      </w:r>
      <w:r>
        <w:rPr>
          <w:rFonts w:ascii="Arial" w:cs="Arial" w:eastAsia="Arial" w:hAnsi="Arial"/>
          <w:sz w:val="16"/>
          <w:szCs w:val="16"/>
          <w:color w:val="auto"/>
        </w:rPr>
        <w:t>15,950,624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48895</wp:posOffset>
            </wp:positionV>
            <wp:extent cx="15773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0" w:lineRule="exact"/>
        <w:rPr>
          <w:sz w:val="20"/>
          <w:szCs w:val="20"/>
          <w:color w:val="auto"/>
        </w:rPr>
      </w:pPr>
    </w:p>
    <w:p>
      <w:pPr>
        <w:ind w:left="340"/>
        <w:spacing w:after="0"/>
        <w:tabs>
          <w:tab w:leader="none" w:pos="1660" w:val="left"/>
        </w:tabs>
        <w:rPr>
          <w:sz w:val="20"/>
          <w:szCs w:val="20"/>
          <w:color w:val="auto"/>
        </w:rPr>
      </w:pPr>
      <w:r>
        <w:rPr>
          <w:rFonts w:ascii="Arial" w:cs="Arial" w:eastAsia="Arial" w:hAnsi="Arial"/>
          <w:sz w:val="16"/>
          <w:szCs w:val="16"/>
          <w:b w:val="1"/>
          <w:bCs w:val="1"/>
          <w:color w:val="auto"/>
        </w:rPr>
        <w:t>10,096,205</w:t>
      </w:r>
      <w:r>
        <w:rPr>
          <w:sz w:val="20"/>
          <w:szCs w:val="20"/>
          <w:color w:val="auto"/>
        </w:rPr>
        <w:tab/>
      </w:r>
      <w:r>
        <w:rPr>
          <w:rFonts w:ascii="Arial" w:cs="Arial" w:eastAsia="Arial" w:hAnsi="Arial"/>
          <w:sz w:val="16"/>
          <w:szCs w:val="16"/>
          <w:color w:val="auto"/>
        </w:rPr>
        <w:t>15,950,624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15773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6"/>
          <w:szCs w:val="16"/>
          <w:b w:val="1"/>
          <w:bCs w:val="1"/>
          <w:color w:val="auto"/>
        </w:rPr>
        <w:t>4,315,477</w:t>
      </w:r>
      <w:r>
        <w:rPr>
          <w:sz w:val="20"/>
          <w:szCs w:val="20"/>
          <w:color w:val="auto"/>
        </w:rPr>
        <w:tab/>
      </w:r>
      <w:r>
        <w:rPr>
          <w:rFonts w:ascii="Arial" w:cs="Arial" w:eastAsia="Arial" w:hAnsi="Arial"/>
          <w:sz w:val="16"/>
          <w:szCs w:val="16"/>
          <w:color w:val="auto"/>
        </w:rPr>
        <w:t>1,802,514</w:t>
      </w:r>
    </w:p>
    <w:p>
      <w:pPr>
        <w:spacing w:after="0" w:line="113" w:lineRule="exact"/>
        <w:rPr>
          <w:sz w:val="20"/>
          <w:szCs w:val="20"/>
          <w:color w:val="auto"/>
        </w:rPr>
      </w:pPr>
    </w:p>
    <w:p>
      <w:pPr>
        <w:ind w:left="420"/>
        <w:spacing w:after="0"/>
        <w:tabs>
          <w:tab w:leader="none" w:pos="2300" w:val="left"/>
        </w:tabs>
        <w:rPr>
          <w:sz w:val="20"/>
          <w:szCs w:val="20"/>
          <w:color w:val="auto"/>
        </w:rPr>
      </w:pPr>
      <w:r>
        <w:rPr>
          <w:rFonts w:ascii="Arial" w:cs="Arial" w:eastAsia="Arial" w:hAnsi="Arial"/>
          <w:sz w:val="18"/>
          <w:szCs w:val="18"/>
          <w:b w:val="1"/>
          <w:bCs w:val="1"/>
          <w:color w:val="auto"/>
        </w:rPr>
        <w:t>3,440,000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15773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57"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6"/>
          <w:szCs w:val="16"/>
          <w:b w:val="1"/>
          <w:bCs w:val="1"/>
          <w:color w:val="auto"/>
        </w:rPr>
        <w:t>7,755,477</w:t>
      </w:r>
      <w:r>
        <w:rPr>
          <w:sz w:val="20"/>
          <w:szCs w:val="20"/>
          <w:color w:val="auto"/>
        </w:rPr>
        <w:tab/>
      </w:r>
      <w:r>
        <w:rPr>
          <w:rFonts w:ascii="Arial" w:cs="Arial" w:eastAsia="Arial" w:hAnsi="Arial"/>
          <w:sz w:val="16"/>
          <w:szCs w:val="16"/>
          <w:color w:val="auto"/>
        </w:rPr>
        <w:t>1,802,514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157734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77340" cy="26035"/>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2">
            <w:col w:w="5340" w:space="720"/>
            <w:col w:w="2959"/>
          </w:cols>
          <w:pgMar w:left="1440" w:top="274" w:right="1440" w:bottom="1440" w:gutter="0" w:footer="0" w:header="0"/>
          <w:type w:val="continuous"/>
        </w:sectPr>
      </w:pPr>
    </w:p>
    <w:p>
      <w:pPr>
        <w:ind w:left="460" w:right="699" w:firstLine="432"/>
        <w:spacing w:after="0" w:line="277" w:lineRule="auto"/>
        <w:rPr>
          <w:sz w:val="20"/>
          <w:szCs w:val="20"/>
          <w:color w:val="auto"/>
        </w:rPr>
      </w:pPr>
      <w:r>
        <w:rPr>
          <w:rFonts w:ascii="Arial" w:cs="Arial" w:eastAsia="Arial" w:hAnsi="Arial"/>
          <w:sz w:val="18"/>
          <w:szCs w:val="18"/>
          <w:color w:val="auto"/>
        </w:rPr>
        <w:t>Cash and cash equivalents include cash on hand and term deposits with a remaining term to maturity of three months or less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3580" w:type="dxa"/>
            <w:vAlign w:val="bottom"/>
            <w:gridSpan w:val="2"/>
          </w:tcPr>
          <w:p>
            <w:pPr>
              <w:jc w:val="center"/>
              <w:ind w:left="233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3580" w:type="dxa"/>
            <w:vAlign w:val="bottom"/>
            <w:gridSpan w:val="2"/>
          </w:tcPr>
          <w:p>
            <w:pPr>
              <w:jc w:val="center"/>
              <w:ind w:left="2375"/>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47"/>
        </w:trPr>
        <w:tc>
          <w:tcPr>
            <w:tcW w:w="3160" w:type="dxa"/>
            <w:vAlign w:val="bottom"/>
            <w:tcBorders>
              <w:bottom w:val="single" w:sz="8" w:color="CCEEFF"/>
            </w:tcBorders>
          </w:tcPr>
          <w:p>
            <w:pPr>
              <w:spacing w:after="0"/>
              <w:rPr>
                <w:sz w:val="4"/>
                <w:szCs w:val="4"/>
                <w:color w:val="auto"/>
              </w:rPr>
            </w:pPr>
          </w:p>
        </w:tc>
        <w:tc>
          <w:tcPr>
            <w:tcW w:w="244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10,096,205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1,450,624</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0"/>
                <w:szCs w:val="20"/>
                <w:color w:val="auto"/>
              </w:rPr>
            </w:pPr>
            <w:r>
              <w:rPr>
                <w:rFonts w:ascii="Arial" w:cs="Arial" w:eastAsia="Arial" w:hAnsi="Arial"/>
                <w:sz w:val="18"/>
                <w:szCs w:val="18"/>
                <w:color w:val="auto"/>
              </w:rPr>
              <w:t>Term deposits</w:t>
            </w:r>
          </w:p>
        </w:tc>
        <w:tc>
          <w:tcPr>
            <w:tcW w:w="24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14,500,000</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1"/>
                <w:szCs w:val="21"/>
                <w:color w:val="auto"/>
              </w:rPr>
            </w:pPr>
          </w:p>
        </w:tc>
        <w:tc>
          <w:tcPr>
            <w:tcW w:w="3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10,096,205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15,950,624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Receivables and Prepayments</w:t>
            </w:r>
          </w:p>
        </w:tc>
        <w:tc>
          <w:tcPr>
            <w:tcW w:w="2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16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3580" w:type="dxa"/>
            <w:vAlign w:val="bottom"/>
            <w:gridSpan w:val="2"/>
          </w:tcPr>
          <w:p>
            <w:pPr>
              <w:jc w:val="center"/>
              <w:ind w:left="233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3580" w:type="dxa"/>
            <w:vAlign w:val="bottom"/>
            <w:gridSpan w:val="2"/>
          </w:tcPr>
          <w:p>
            <w:pPr>
              <w:jc w:val="center"/>
              <w:ind w:left="2375"/>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3680" w:type="dxa"/>
            <w:vAlign w:val="bottom"/>
            <w:gridSpan w:val="3"/>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and other receivables</w:t>
            </w:r>
          </w:p>
        </w:tc>
        <w:tc>
          <w:tcPr>
            <w:tcW w:w="24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Prepayments</w:t>
            </w:r>
          </w:p>
        </w:tc>
        <w:tc>
          <w:tcPr>
            <w:tcW w:w="3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72,940</w:t>
            </w:r>
          </w:p>
        </w:tc>
        <w:tc>
          <w:tcPr>
            <w:tcW w:w="1260" w:type="dxa"/>
            <w:vAlign w:val="bottom"/>
          </w:tcPr>
          <w:p>
            <w:pPr>
              <w:jc w:val="right"/>
              <w:spacing w:after="0"/>
              <w:rPr>
                <w:sz w:val="20"/>
                <w:szCs w:val="20"/>
                <w:color w:val="auto"/>
              </w:rPr>
            </w:pPr>
            <w:r>
              <w:rPr>
                <w:rFonts w:ascii="Arial" w:cs="Arial" w:eastAsia="Arial" w:hAnsi="Arial"/>
                <w:sz w:val="18"/>
                <w:szCs w:val="18"/>
                <w:color w:val="auto"/>
              </w:rPr>
              <w:t>59,525</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128,772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jc w:val="right"/>
              <w:ind w:right="2620"/>
              <w:spacing w:after="0"/>
              <w:rPr>
                <w:sz w:val="20"/>
                <w:szCs w:val="20"/>
                <w:color w:val="auto"/>
              </w:rPr>
            </w:pPr>
            <w:r>
              <w:rPr>
                <w:rFonts w:ascii="Arial" w:cs="Arial" w:eastAsia="Arial" w:hAnsi="Arial"/>
                <w:sz w:val="18"/>
                <w:szCs w:val="18"/>
                <w:color w:val="auto"/>
              </w:rPr>
              <w:t>F-56</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type w:val="continuous"/>
        </w:sectPr>
      </w:pPr>
    </w:p>
    <w:bookmarkStart w:id="234" w:name="page235"/>
    <w:bookmarkEnd w:id="2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Equipment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continuity schedule of equipment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Exploration</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and other</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Office</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equipment</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equipment</w:t>
            </w:r>
          </w:p>
        </w:tc>
        <w:tc>
          <w:tcPr>
            <w:tcW w:w="1280" w:type="dxa"/>
            <w:vAlign w:val="bottom"/>
            <w:gridSpan w:val="2"/>
          </w:tcPr>
          <w:p>
            <w:pPr>
              <w:jc w:val="right"/>
              <w:ind w:right="401"/>
              <w:spacing w:after="0"/>
              <w:rPr>
                <w:sz w:val="20"/>
                <w:szCs w:val="20"/>
                <w:color w:val="auto"/>
              </w:rPr>
            </w:pPr>
            <w:r>
              <w:rPr>
                <w:rFonts w:ascii="Arial" w:cs="Arial" w:eastAsia="Arial" w:hAnsi="Arial"/>
                <w:sz w:val="16"/>
                <w:szCs w:val="16"/>
                <w:b w:val="1"/>
                <w:bCs w:val="1"/>
                <w:color w:val="auto"/>
              </w:rPr>
              <w:t>Total</w:t>
            </w:r>
          </w:p>
        </w:tc>
      </w:tr>
      <w:tr>
        <w:trPr>
          <w:trHeight w:val="210"/>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Cost</w:t>
            </w:r>
          </w:p>
        </w:tc>
        <w:tc>
          <w:tcPr>
            <w:tcW w:w="1000" w:type="dxa"/>
            <w:vAlign w:val="bottom"/>
          </w:tcPr>
          <w:p>
            <w:pPr>
              <w:jc w:val="center"/>
              <w:ind w:left="72"/>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32"/>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95,514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20,950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116,464</w:t>
            </w:r>
          </w:p>
        </w:tc>
      </w:tr>
      <w:tr>
        <w:trPr>
          <w:trHeight w:val="257"/>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Additions</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2,123,475</w:t>
            </w:r>
          </w:p>
        </w:tc>
        <w:tc>
          <w:tcPr>
            <w:tcW w:w="10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2,123,475</w:t>
            </w: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2,218,989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2,239,939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TOML Acquisition (Note 3)</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21,274</w:t>
            </w:r>
          </w:p>
        </w:tc>
        <w:tc>
          <w:tcPr>
            <w:tcW w:w="10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21,274</w:t>
            </w: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2,240,263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20,950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2,261,213</w:t>
            </w:r>
          </w:p>
        </w:tc>
      </w:tr>
      <w:tr>
        <w:trPr>
          <w:trHeight w:val="23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Accumulated depreciation</w:t>
            </w: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(33,951)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(14,961)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(48,912)</w:t>
            </w:r>
          </w:p>
        </w:tc>
      </w:tr>
      <w:tr>
        <w:trPr>
          <w:trHeight w:val="257"/>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Amortization for the year</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(336,990)</w:t>
            </w:r>
          </w:p>
        </w:tc>
        <w:tc>
          <w:tcPr>
            <w:tcW w:w="10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(2,451)</w:t>
            </w:r>
          </w:p>
        </w:tc>
        <w:tc>
          <w:tcPr>
            <w:tcW w:w="80" w:type="dxa"/>
            <w:vAlign w:val="bottom"/>
          </w:tcPr>
          <w:p>
            <w:pPr>
              <w:spacing w:after="0"/>
              <w:rPr>
                <w:sz w:val="22"/>
                <w:szCs w:val="22"/>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(339,441)</w:t>
            </w: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(370,941)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(388,353)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Amortization for the year</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(562,122)</w:t>
            </w:r>
          </w:p>
        </w:tc>
        <w:tc>
          <w:tcPr>
            <w:tcW w:w="10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22"/>
                <w:szCs w:val="22"/>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(563,183)</w:t>
            </w: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(933,063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(18,473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(951,536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r>
      <w:tr>
        <w:trPr>
          <w:trHeight w:val="277"/>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As at December 31, 2019</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1,848,048</w:t>
            </w: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3,538</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1,851,586</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December 31, 2020</w:t>
            </w: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1,307,200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2,477</w:t>
            </w: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1,309,677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Exploration Licenses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Significant Exploration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158" w:lineRule="exact"/>
        <w:rPr>
          <w:sz w:val="20"/>
          <w:szCs w:val="20"/>
          <w:color w:val="auto"/>
        </w:rPr>
      </w:pPr>
    </w:p>
    <w:p>
      <w:pPr>
        <w:ind w:left="460" w:right="559" w:firstLine="432"/>
        <w:spacing w:after="0" w:line="250" w:lineRule="auto"/>
        <w:rPr>
          <w:sz w:val="20"/>
          <w:szCs w:val="20"/>
          <w:color w:val="auto"/>
        </w:rPr>
      </w:pPr>
      <w:r>
        <w:rPr>
          <w:rFonts w:ascii="Arial" w:cs="Arial" w:eastAsia="Arial" w:hAnsi="Arial"/>
          <w:sz w:val="18"/>
          <w:szCs w:val="18"/>
          <w:color w:val="auto"/>
        </w:rPr>
        <w:t>The Company’s wholly-owned subsidiary, NORI, was granted a polymetallic nodule exploration contract in the Clarion Clipperton Zone of the East Pacific Ocean by the ISA on July 22, 2011. The contract was acquired for $250,000, and provides NORI with exclusive rights to explore for polymetallic nodules in an area covering 74,830 km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for 15 years subject to complying with the exploration contract terms (Note 12) and provides NORI with the priority right to apply for an exploitation contract to mine polymetallic nodules in the same area.</w:t>
      </w:r>
    </w:p>
    <w:p>
      <w:pPr>
        <w:spacing w:after="0" w:line="127" w:lineRule="exact"/>
        <w:rPr>
          <w:sz w:val="20"/>
          <w:szCs w:val="20"/>
          <w:color w:val="auto"/>
        </w:rPr>
      </w:pPr>
    </w:p>
    <w:p>
      <w:pPr>
        <w:ind w:left="460" w:right="499" w:firstLine="432"/>
        <w:spacing w:after="0" w:line="308" w:lineRule="auto"/>
        <w:rPr>
          <w:sz w:val="20"/>
          <w:szCs w:val="20"/>
          <w:color w:val="auto"/>
        </w:rPr>
      </w:pPr>
      <w:r>
        <w:rPr>
          <w:rFonts w:ascii="Arial" w:cs="Arial" w:eastAsia="Arial" w:hAnsi="Arial"/>
          <w:sz w:val="17"/>
          <w:szCs w:val="17"/>
          <w:color w:val="auto"/>
        </w:rPr>
        <w:t>NORI has a right to renounce, without penalty, the whole or part of its rights in the exploration area at any time and therefore doesn’t have a fixed commitment with relation to the NORI License (Note 12)</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144"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On March 17, 2012 the Company’s wholly-owned subsidiary, DGE, entered into an Option Agreement (the “Option Agreement”) with Marawa and the Republic of Kiribati (the “State”). This Option Agreement has been amended on October 1, 2013. Under the amended Option Agreement, for an option fee of $250,000, DGE has the right to purchase tenements, as may be granted to Marawa by the ISA or any other regulatory body, for the greater of $300,000 or the value of any amounts owing to DGE by Marawa. This Option, can be exercised when a default event, as defined by the amendment agreement, occurs and anytime within 40 years after the date of execution of the Option agreement.</w:t>
      </w:r>
    </w:p>
    <w:p>
      <w:pPr>
        <w:spacing w:after="0" w:line="110"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As at December 31, 2020, Marawa had no amounts owing to DGE under the Services Agreement and no purchase tenements had been granted to Marawa.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5" w:name="page236"/>
    <w:bookmarkEnd w:id="2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Exploration Licenses </w:t>
      </w:r>
      <w:r>
        <w:rPr>
          <w:rFonts w:ascii="Arial" w:cs="Arial" w:eastAsia="Arial" w:hAnsi="Arial"/>
          <w:sz w:val="18"/>
          <w:szCs w:val="18"/>
          <w:color w:val="auto"/>
        </w:rPr>
        <w:t>(cont.)</w:t>
      </w:r>
    </w:p>
    <w:p>
      <w:pPr>
        <w:spacing w:after="0" w:line="202" w:lineRule="exact"/>
        <w:rPr>
          <w:sz w:val="20"/>
          <w:szCs w:val="20"/>
          <w:color w:val="auto"/>
        </w:rPr>
      </w:pPr>
    </w:p>
    <w:p>
      <w:pPr>
        <w:ind w:left="460" w:right="499" w:firstLine="432"/>
        <w:spacing w:after="0" w:line="276" w:lineRule="auto"/>
        <w:rPr>
          <w:sz w:val="20"/>
          <w:szCs w:val="20"/>
          <w:color w:val="auto"/>
        </w:rPr>
      </w:pPr>
      <w:r>
        <w:rPr>
          <w:rFonts w:ascii="Arial" w:cs="Arial" w:eastAsia="Arial" w:hAnsi="Arial"/>
          <w:sz w:val="17"/>
          <w:szCs w:val="17"/>
          <w:color w:val="auto"/>
        </w:rPr>
        <w:t>On October 1, 2013, DGE entered into a services agreement (the “Services Agreement”) with Marawa and the State, which grants the Company the exclusive right to carry out all exploration and mining in the Marawa Area. Under this agreement DGE will pay to the ISA on behalf of Marawa the following dues: $47,000 annual exploration fees, the ISA royalty and taxes and the ISA exploitation application fee of $250,000. Also, DGE will ensure that the activities carried out in the International Seabed Area by DGE and any other service contractor complies with the ISA regulations and any other required regulations under the Agreement. The Marawa Area is situated in close proximity to the 74,830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NORI Area.</w:t>
      </w:r>
    </w:p>
    <w:p>
      <w:pPr>
        <w:spacing w:after="0" w:line="47"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The Services Agreement grants DGE the right to recover any and all polymetallic nodules from the Marawa Tenement Area by paying the Republic of Kiribati a royalty per wet tonne of polymetallic nodules (adjusted for inflation from October 1, 2013 onwards).</w:t>
      </w:r>
    </w:p>
    <w:p>
      <w:pPr>
        <w:spacing w:after="0" w:line="116" w:lineRule="exact"/>
        <w:rPr>
          <w:sz w:val="20"/>
          <w:szCs w:val="20"/>
          <w:color w:val="auto"/>
        </w:rPr>
      </w:pPr>
    </w:p>
    <w:p>
      <w:pPr>
        <w:ind w:left="460" w:right="639" w:firstLine="432"/>
        <w:spacing w:after="0" w:line="293" w:lineRule="auto"/>
        <w:rPr>
          <w:sz w:val="20"/>
          <w:szCs w:val="20"/>
          <w:color w:val="auto"/>
        </w:rPr>
      </w:pPr>
      <w:r>
        <w:rPr>
          <w:rFonts w:ascii="Arial" w:cs="Arial" w:eastAsia="Arial" w:hAnsi="Arial"/>
          <w:sz w:val="16"/>
          <w:szCs w:val="16"/>
          <w:color w:val="auto"/>
        </w:rPr>
        <w:t>DGE has the right to terminate the Services Agreement at its sole discretion by giving written notice to Marawa and the State,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 term commitments with respect to the Marawa Option and the Services Agreement.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Company’s wholly-owned subsidiary, TOML, was granted a polymetallic nodule exploration contract in the six areas of Clarion Clipperton Zone of the East Pacific Ocean by the ISA on Jan 11 2012. The TOML Group was acquired by the Company for $32 million from Deep Sea Mining (Note 3). TOML has the exclusive rights to explore for polymetallic nodules in an area covering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for 15 years and a priority right to apply for an exploitation contract to mine polymetallic nodules in the TOML area.</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Strategic Partnerships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Marine Vessel Services:</w:t>
      </w:r>
    </w:p>
    <w:p>
      <w:pPr>
        <w:spacing w:after="0" w:line="14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Effective March 15, 2017, the Company entered into a strategic partnership with Maersk Supply Service A/S (“Maersk”) to undertake the exploration, environmental base line and offshore testing required to support development of feasibility studies for economic production of polymetallic nodules from the Clarion Clipperton Zone. Under the agreement, Maersk provides marine vessel services and project management services, enabling DeepGreen to undertake the various marine cruises to support required prefeasibility studies. During these marine cruises DeepGreen undertook baseline studies required to complete an Environmental and Social Impact Assessment (“ESIA”), collected nodules for metallurgical test work and collected samples for resource evaluation. The costs related to marine vessel use is settled through DeepGreen Common Shares, the number of which is based on a contractual price of $1.25 per Common Share. Project management services provided by Maersk are paid in cash (Note 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6" w:name="page237"/>
    <w:bookmarkEnd w:id="2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Exploration Licenses </w:t>
      </w:r>
      <w:r>
        <w:rPr>
          <w:rFonts w:ascii="Arial" w:cs="Arial" w:eastAsia="Arial" w:hAnsi="Arial"/>
          <w:sz w:val="18"/>
          <w:szCs w:val="18"/>
          <w:color w:val="auto"/>
        </w:rPr>
        <w:t>(cont.)</w:t>
      </w:r>
    </w:p>
    <w:p>
      <w:pPr>
        <w:spacing w:after="0" w:line="202"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Common Shares transactions with Maersk since the inception of the strategic partnership with DeepGreen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Contractual</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Fair value</w:t>
            </w:r>
          </w:p>
        </w:tc>
        <w:tc>
          <w:tcPr>
            <w:tcW w:w="1060" w:type="dxa"/>
            <w:vAlign w:val="bottom"/>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Invoiced</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 of</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of Common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Cost</w:t>
            </w:r>
          </w:p>
        </w:tc>
      </w:tr>
      <w:tr>
        <w:trPr>
          <w:trHeight w:val="203"/>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amount</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Share Price</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6"/>
              </w:rPr>
              <w:t>Recognized</w:t>
            </w:r>
          </w:p>
        </w:tc>
      </w:tr>
      <w:tr>
        <w:trPr>
          <w:trHeight w:val="257"/>
        </w:trPr>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Year of Service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940" w:type="dxa"/>
            <w:vAlign w:val="bottom"/>
          </w:tcPr>
          <w:p>
            <w:pPr>
              <w:jc w:val="center"/>
              <w:spacing w:after="0" w:line="256" w:lineRule="exact"/>
              <w:rPr>
                <w:sz w:val="20"/>
                <w:szCs w:val="20"/>
                <w:color w:val="auto"/>
              </w:rPr>
            </w:pPr>
            <w:r>
              <w:rPr>
                <w:rFonts w:ascii="Arial" w:cs="Arial" w:eastAsia="Arial" w:hAnsi="Arial"/>
                <w:sz w:val="29"/>
                <w:szCs w:val="29"/>
                <w:b w:val="1"/>
                <w:bCs w:val="1"/>
                <w:color w:val="auto"/>
                <w:w w:val="82"/>
                <w:vertAlign w:val="subscript"/>
              </w:rPr>
              <w:t>$</w:t>
            </w:r>
            <w:r>
              <w:rPr>
                <w:rFonts w:ascii="Arial" w:cs="Arial" w:eastAsia="Arial" w:hAnsi="Arial"/>
                <w:sz w:val="9"/>
                <w:szCs w:val="9"/>
                <w:b w:val="1"/>
                <w:bCs w:val="1"/>
                <w:color w:val="auto"/>
                <w:w w:val="82"/>
              </w:rPr>
              <w:t>(1)</w:t>
            </w:r>
          </w:p>
        </w:tc>
        <w:tc>
          <w:tcPr>
            <w:tcW w:w="10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r>
      <w:tr>
        <w:trPr>
          <w:trHeight w:val="244"/>
        </w:trPr>
        <w:tc>
          <w:tcPr>
            <w:tcW w:w="2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2017/2018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79"/>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1,539,300</w:t>
            </w: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4,593,828</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1.25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3,675,062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060" w:type="dxa"/>
            <w:vAlign w:val="bottom"/>
          </w:tcPr>
          <w:p>
            <w:pPr>
              <w:jc w:val="right"/>
              <w:spacing w:after="0"/>
              <w:rPr>
                <w:sz w:val="20"/>
                <w:szCs w:val="20"/>
                <w:color w:val="auto"/>
              </w:rPr>
            </w:pPr>
            <w:r>
              <w:rPr>
                <w:rFonts w:ascii="Arial" w:cs="Arial" w:eastAsia="Arial" w:hAnsi="Arial"/>
                <w:sz w:val="18"/>
                <w:szCs w:val="18"/>
                <w:color w:val="auto"/>
              </w:rPr>
              <w:t>6,431,359</w:t>
            </w:r>
          </w:p>
        </w:tc>
      </w:tr>
      <w:tr>
        <w:trPr>
          <w:trHeight w:val="41"/>
        </w:trPr>
        <w:tc>
          <w:tcPr>
            <w:tcW w:w="2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5,615,480</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1.25</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4,492,384</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16,172,582</w:t>
            </w:r>
          </w:p>
        </w:tc>
      </w:tr>
      <w:tr>
        <w:trPr>
          <w:trHeight w:val="283"/>
        </w:trPr>
        <w:tc>
          <w:tcPr>
            <w:tcW w:w="2820" w:type="dxa"/>
            <w:vAlign w:val="bottom"/>
          </w:tcPr>
          <w:p>
            <w:pPr>
              <w:spacing w:after="0"/>
              <w:rPr>
                <w:sz w:val="20"/>
                <w:szCs w:val="20"/>
                <w:color w:val="auto"/>
              </w:rPr>
            </w:pPr>
            <w:r>
              <w:rPr>
                <w:rFonts w:ascii="Arial" w:cs="Arial" w:eastAsia="Arial" w:hAnsi="Arial"/>
                <w:sz w:val="18"/>
                <w:szCs w:val="18"/>
                <w:color w:val="auto"/>
              </w:rPr>
              <w:t>2019/2020</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5,120,013</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1.25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4,096,011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060" w:type="dxa"/>
            <w:vAlign w:val="bottom"/>
          </w:tcPr>
          <w:p>
            <w:pPr>
              <w:jc w:val="right"/>
              <w:spacing w:after="0"/>
              <w:rPr>
                <w:sz w:val="20"/>
                <w:szCs w:val="20"/>
                <w:color w:val="auto"/>
              </w:rPr>
            </w:pPr>
            <w:r>
              <w:rPr>
                <w:rFonts w:ascii="Arial" w:cs="Arial" w:eastAsia="Arial" w:hAnsi="Arial"/>
                <w:sz w:val="18"/>
                <w:szCs w:val="18"/>
                <w:color w:val="auto"/>
              </w:rPr>
              <w:t>14,745,639</w:t>
            </w:r>
          </w:p>
        </w:tc>
      </w:tr>
      <w:tr>
        <w:trPr>
          <w:trHeight w:val="28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2020</w:t>
            </w:r>
            <w:r>
              <w:rPr>
                <w:rFonts w:ascii="Arial" w:cs="Arial" w:eastAsia="Arial" w:hAnsi="Arial"/>
                <w:sz w:val="20"/>
                <w:szCs w:val="20"/>
                <w:color w:val="auto"/>
                <w:vertAlign w:val="superscript"/>
              </w:rPr>
              <w:t>(2)</w:t>
            </w:r>
          </w:p>
        </w:tc>
        <w:tc>
          <w:tcPr>
            <w:tcW w:w="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4,471,895</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1.25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3,577,516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12,879,057</w:t>
            </w:r>
          </w:p>
        </w:tc>
      </w:tr>
      <w:tr>
        <w:trPr>
          <w:trHeight w:val="20"/>
        </w:trPr>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44"/>
        </w:trPr>
        <w:tc>
          <w:tcPr>
            <w:tcW w:w="2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22,366,716</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17,893,373</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51,767,937</w:t>
            </w:r>
          </w:p>
        </w:tc>
      </w:tr>
      <w:tr>
        <w:trPr>
          <w:trHeight w:val="20"/>
        </w:trPr>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39" w:hanging="426"/>
        <w:spacing w:after="0" w:line="266" w:lineRule="auto"/>
        <w:tabs>
          <w:tab w:leader="none" w:pos="87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fair value of the Company’s Common Shares was determined based on the private placements completed around the time of Common Share issuances to Maersk.</w:t>
      </w:r>
    </w:p>
    <w:p>
      <w:pPr>
        <w:spacing w:after="0" w:line="1" w:lineRule="exact"/>
        <w:rPr>
          <w:rFonts w:ascii="Arial" w:cs="Arial" w:eastAsia="Arial" w:hAnsi="Arial"/>
          <w:sz w:val="16"/>
          <w:szCs w:val="16"/>
          <w:color w:val="auto"/>
        </w:rPr>
      </w:pPr>
    </w:p>
    <w:p>
      <w:pPr>
        <w:ind w:left="880" w:right="619" w:hanging="426"/>
        <w:spacing w:after="0" w:line="288" w:lineRule="auto"/>
        <w:tabs>
          <w:tab w:leader="none" w:pos="87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As at December 31, 2020, 3,577,516 (2019 – 1,780,632) Common Shares were yet to be issued by the Company for total value of $12,879,057 (2019 – $6,410,275) (Note 16).</w:t>
      </w:r>
    </w:p>
    <w:p>
      <w:pPr>
        <w:spacing w:after="0" w:line="90"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As at December 31, 2020, Maersk owned 14,315,857 Common Shares of the Company which constituted 8.8% of the total Common Shares outstanding.</w:t>
      </w:r>
    </w:p>
    <w:p>
      <w:pPr>
        <w:spacing w:after="0" w:line="103"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Total Maersk project management fees incurred during the year ended December 31, 2020 amounted to $4,407,478 (2019 – $2,820,625)., of which $1,829,268 remained outstanding as of December 31, 2020 (2019 – $437,159)</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Pilot Mining Test Project</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On March 29, 2019, DeepGreen and Allseas entered into a strategic alliance to conduct a Pilot Mining Test System (“PMTS”), the successful completion of which would aid DeepGreen’s application for an exploitation contract with the ISA. Under the terms of this strategic alliance, Allseas subscribed for 6,666,668 Common Shares of DeepGreen for a total of $20,000,000 in cash (received during the year ended December 31,2019) and in consideration for a successful PMTS, DeepGreen committed to paying Allseas $30,000,000 in cash and further issuing 10,000,000 Common Shares (with a contractual price of $3.00 per share) for an additional $30,000,000 to Allseas. This additional payment is contingent upon successful delivery of the PMTS. Allseas will cover all the development cost of the project and will own all intellectual property used and generated in the development of the PMTS.</w:t>
      </w:r>
    </w:p>
    <w:p>
      <w:pPr>
        <w:spacing w:after="0" w:line="100"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Upon successful completion of the PMTS, DeepGreen and Allseas have also agreed to enter into a nodule collection and shipping agreement whereby Allseas will provide production services for the production of the first 200 million metric tonnes of polymetallic nodules on a cost plus 50% profit basis.</w:t>
      </w:r>
    </w:p>
    <w:p>
      <w:pPr>
        <w:spacing w:after="0" w:line="98"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DeepGreen and Allseas can terminate the strategic alliance without cause at any time subject to the following:</w:t>
      </w:r>
    </w:p>
    <w:p>
      <w:pPr>
        <w:spacing w:after="0" w:line="103" w:lineRule="exact"/>
        <w:rPr>
          <w:sz w:val="20"/>
          <w:szCs w:val="20"/>
          <w:color w:val="auto"/>
        </w:rPr>
      </w:pPr>
    </w:p>
    <w:p>
      <w:pPr>
        <w:ind w:left="1320" w:right="779" w:hanging="434"/>
        <w:spacing w:after="0" w:line="277" w:lineRule="auto"/>
        <w:tabs>
          <w:tab w:leader="none" w:pos="13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DeepGreen will have a call option to buy Allseas’ Common Shares in DeepGreen at the original contractual price.</w:t>
      </w:r>
    </w:p>
    <w:p>
      <w:pPr>
        <w:spacing w:after="0" w:line="89"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Allseas will have the right to collect 100 million metric tonnes (wet) of manganese nodule resources held by the Company by paying DeepGreen a royalty equivalent to 50% of the royalty charged by the ISA on the nodules collected.</w:t>
      </w:r>
    </w:p>
    <w:p>
      <w:pPr>
        <w:spacing w:after="0" w:line="116" w:lineRule="exact"/>
        <w:rPr>
          <w:rFonts w:ascii="Arial" w:cs="Arial" w:eastAsia="Arial" w:hAnsi="Arial"/>
          <w:sz w:val="18"/>
          <w:szCs w:val="18"/>
          <w:color w:val="auto"/>
        </w:rPr>
      </w:pPr>
    </w:p>
    <w:p>
      <w:pPr>
        <w:ind w:left="1320" w:right="859" w:hanging="434"/>
        <w:spacing w:after="0" w:line="277" w:lineRule="auto"/>
        <w:tabs>
          <w:tab w:leader="none" w:pos="13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DeepGreen will have the right of first refusal to acquire and process all nodules collected using Allseas nodule collection and shipping systems.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7" w:name="page238"/>
    <w:bookmarkEnd w:id="2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Exploration Licenses </w:t>
      </w:r>
      <w:r>
        <w:rPr>
          <w:rFonts w:ascii="Arial" w:cs="Arial" w:eastAsia="Arial" w:hAnsi="Arial"/>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Upon termination without successful commissioning of the PMTS, Allseas will be compelled to either (at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Allseas’ sole election):</w:t>
      </w:r>
    </w:p>
    <w:p>
      <w:pPr>
        <w:spacing w:after="0" w:line="130" w:lineRule="exact"/>
        <w:rPr>
          <w:sz w:val="20"/>
          <w:szCs w:val="20"/>
          <w:color w:val="auto"/>
        </w:rPr>
      </w:pPr>
    </w:p>
    <w:p>
      <w:pPr>
        <w:ind w:left="1320" w:right="1419" w:hanging="434"/>
        <w:spacing w:after="0" w:line="277" w:lineRule="auto"/>
        <w:tabs>
          <w:tab w:leader="none" w:pos="131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Acquire an additional 10,000,000 Common Shares in DeepGreen for a consideration of $30,000,000; or</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Sell at least 6,666,667 Common Shares held in DeepGreen to the Company for total consideration of $1.</w:t>
      </w:r>
    </w:p>
    <w:p>
      <w:pPr>
        <w:spacing w:after="0" w:line="103"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 fair value of the Company’s Common Shares at the time of the initial subscription of $20,000,000 by Allseas was determined to be $1.75 per Common Share, based on the recent private placements completed by the Company at the time. As a result, the difference between the fair value and the total proceeds of $8,333,335 ($1.25 per Common Share) was considered to be an additional initial contribution by Allseas during the year ended December 31, 2019.</w:t>
      </w:r>
    </w:p>
    <w:p>
      <w:pPr>
        <w:spacing w:after="0" w:line="107"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During 2020, the PMTS agreement was amended and DeepGreen paid an additional $10,000,000 in cash and issued 2,777,778 common shares valued at $3.60 per share for an additional $10,000,000 to allow for higher costs that had been incurred by Allseas. The expense related to the payment and issuance of shares was offset by the additional initial contribution by Allseas received in 2019.</w:t>
      </w:r>
    </w:p>
    <w:p>
      <w:pPr>
        <w:spacing w:after="0" w:line="104"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During the year ended December 31, 2020, Allseas subscribed for an additional 2,777,778 Common Shares for cash proceeds of $10 million. As at December 31, 2020, Allseas owned 12,222,224 Common Shares of the Company which constituted 7.5% of total Common Shares outstanding.</w:t>
      </w:r>
    </w:p>
    <w:p>
      <w:pPr>
        <w:spacing w:after="0" w:line="9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As at December 31, 2020, DeepGreen’s original commitment to pay Allseas $30,000,000 in cash and 10,000,000 common shares on completion of PMTS remained as the PMTS had not yet been successfully completed. The PMTS and strategic alliance agreements were further amended subsequent to the year end (Note 16).</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Reconciliation — Exploration Licenses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reconciliation of the Company’s exploration licenses is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NORI</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Marawa</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TOML</w:t>
            </w:r>
          </w:p>
        </w:tc>
        <w:tc>
          <w:tcPr>
            <w:tcW w:w="1060" w:type="dxa"/>
            <w:vAlign w:val="bottom"/>
          </w:tcPr>
          <w:p>
            <w:pPr>
              <w:spacing w:after="0"/>
              <w:rPr>
                <w:sz w:val="17"/>
                <w:szCs w:val="17"/>
                <w:color w:val="auto"/>
              </w:rPr>
            </w:pPr>
          </w:p>
        </w:tc>
      </w:tr>
      <w:tr>
        <w:trPr>
          <w:trHeight w:val="202"/>
        </w:trPr>
        <w:tc>
          <w:tcPr>
            <w:tcW w:w="3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License</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License</w:t>
            </w:r>
          </w:p>
        </w:tc>
        <w:tc>
          <w:tcPr>
            <w:tcW w:w="1060" w:type="dxa"/>
            <w:vAlign w:val="bottom"/>
          </w:tcPr>
          <w:p>
            <w:pPr>
              <w:jc w:val="right"/>
              <w:ind w:right="294"/>
              <w:spacing w:after="0"/>
              <w:rPr>
                <w:sz w:val="20"/>
                <w:szCs w:val="20"/>
                <w:color w:val="auto"/>
              </w:rPr>
            </w:pPr>
            <w:r>
              <w:rPr>
                <w:rFonts w:ascii="Arial" w:cs="Arial" w:eastAsia="Arial" w:hAnsi="Arial"/>
                <w:sz w:val="16"/>
                <w:szCs w:val="16"/>
                <w:b w:val="1"/>
                <w:bCs w:val="1"/>
                <w:color w:val="auto"/>
              </w:rPr>
              <w:t>Total</w:t>
            </w:r>
          </w:p>
        </w:tc>
      </w:tr>
      <w:tr>
        <w:trPr>
          <w:trHeight w:val="210"/>
        </w:trPr>
        <w:tc>
          <w:tcPr>
            <w:tcW w:w="3400" w:type="dxa"/>
            <w:vAlign w:val="bottom"/>
          </w:tcPr>
          <w:p>
            <w:pPr>
              <w:spacing w:after="0"/>
              <w:rPr>
                <w:sz w:val="18"/>
                <w:szCs w:val="18"/>
                <w:color w:val="auto"/>
              </w:rPr>
            </w:pPr>
          </w:p>
        </w:tc>
        <w:tc>
          <w:tcPr>
            <w:tcW w:w="1480" w:type="dxa"/>
            <w:vAlign w:val="bottom"/>
            <w:gridSpan w:val="2"/>
          </w:tcPr>
          <w:p>
            <w:pPr>
              <w:jc w:val="center"/>
              <w:ind w:left="473"/>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06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r>
      <w:tr>
        <w:trPr>
          <w:trHeight w:val="47"/>
        </w:trPr>
        <w:tc>
          <w:tcPr>
            <w:tcW w:w="34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 and 2019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198,855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448,855</w:t>
            </w:r>
          </w:p>
        </w:tc>
      </w:tr>
      <w:tr>
        <w:trPr>
          <w:trHeight w:val="256"/>
        </w:trPr>
        <w:tc>
          <w:tcPr>
            <w:tcW w:w="3400" w:type="dxa"/>
            <w:vAlign w:val="bottom"/>
          </w:tcPr>
          <w:p>
            <w:pPr>
              <w:spacing w:after="0"/>
              <w:rPr>
                <w:sz w:val="20"/>
                <w:szCs w:val="20"/>
                <w:color w:val="auto"/>
              </w:rPr>
            </w:pPr>
            <w:r>
              <w:rPr>
                <w:rFonts w:ascii="Arial" w:cs="Arial" w:eastAsia="Arial" w:hAnsi="Arial"/>
                <w:sz w:val="18"/>
                <w:szCs w:val="18"/>
                <w:color w:val="auto"/>
              </w:rPr>
              <w:t>TOML Acquisition (</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42,701,464</w:t>
            </w:r>
          </w:p>
        </w:tc>
        <w:tc>
          <w:tcPr>
            <w:tcW w:w="1060" w:type="dxa"/>
            <w:vAlign w:val="bottom"/>
          </w:tcPr>
          <w:p>
            <w:pPr>
              <w:jc w:val="right"/>
              <w:spacing w:after="0"/>
              <w:rPr>
                <w:sz w:val="20"/>
                <w:szCs w:val="20"/>
                <w:color w:val="auto"/>
              </w:rPr>
            </w:pPr>
            <w:r>
              <w:rPr>
                <w:rFonts w:ascii="Arial" w:cs="Arial" w:eastAsia="Arial" w:hAnsi="Arial"/>
                <w:sz w:val="18"/>
                <w:szCs w:val="18"/>
                <w:color w:val="auto"/>
              </w:rPr>
              <w:t>42,701,464</w:t>
            </w:r>
          </w:p>
        </w:tc>
      </w:tr>
      <w:tr>
        <w:trPr>
          <w:trHeight w:val="27"/>
        </w:trPr>
        <w:tc>
          <w:tcPr>
            <w:tcW w:w="34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250,000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198,855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42,701,464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43,150,319</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3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8"/>
                <w:szCs w:val="18"/>
                <w:color w:val="auto"/>
              </w:rPr>
              <w:t>F-60</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38" w:name="page239"/>
    <w:bookmarkEnd w:id="2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Exploration Licenses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Exploration Expenses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exploration expenses incurred during 2020 and 2019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NORI</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Marawa</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General</w:t>
            </w: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7"/>
              </w:rPr>
              <w:t>License</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TOML</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r>
      <w:tr>
        <w:trPr>
          <w:trHeight w:val="210"/>
        </w:trPr>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For the year ended December 31, 2020</w:t>
            </w:r>
          </w:p>
        </w:tc>
        <w:tc>
          <w:tcPr>
            <w:tcW w:w="780" w:type="dxa"/>
            <w:vAlign w:val="bottom"/>
          </w:tcPr>
          <w:p>
            <w:pPr>
              <w:jc w:val="right"/>
              <w:ind w:right="23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r>
      <w:tr>
        <w:trPr>
          <w:trHeight w:val="46"/>
        </w:trPr>
        <w:tc>
          <w:tcPr>
            <w:tcW w:w="3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7"/>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Exploration expenses</w:t>
            </w: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Exploration labour</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1,557,966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721,940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500,828</w:t>
            </w:r>
          </w:p>
        </w:tc>
        <w:tc>
          <w:tcPr>
            <w:tcW w:w="940" w:type="dxa"/>
            <w:vAlign w:val="bottom"/>
          </w:tcPr>
          <w:p>
            <w:pPr>
              <w:jc w:val="right"/>
              <w:spacing w:after="0"/>
              <w:rPr>
                <w:sz w:val="20"/>
                <w:szCs w:val="20"/>
                <w:color w:val="auto"/>
              </w:rPr>
            </w:pPr>
            <w:r>
              <w:rPr>
                <w:rFonts w:ascii="Arial" w:cs="Arial" w:eastAsia="Arial" w:hAnsi="Arial"/>
                <w:sz w:val="18"/>
                <w:szCs w:val="18"/>
                <w:color w:val="auto"/>
              </w:rPr>
              <w:t>2,780,734</w:t>
            </w:r>
          </w:p>
        </w:tc>
      </w:tr>
      <w:tr>
        <w:trPr>
          <w:trHeight w:val="41"/>
        </w:trPr>
        <w:tc>
          <w:tcPr>
            <w:tcW w:w="3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Marine cruise</w:t>
            </w:r>
          </w:p>
        </w:tc>
        <w:tc>
          <w:tcPr>
            <w:tcW w:w="94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23,119,404</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2,618,512</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2,255,172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27,993,088</w:t>
            </w: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Pilot Mining Test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9,333,334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1,166,666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1,166,666</w:t>
            </w:r>
          </w:p>
        </w:tc>
        <w:tc>
          <w:tcPr>
            <w:tcW w:w="940" w:type="dxa"/>
            <w:vAlign w:val="bottom"/>
          </w:tcPr>
          <w:p>
            <w:pPr>
              <w:jc w:val="right"/>
              <w:spacing w:after="0"/>
              <w:rPr>
                <w:sz w:val="20"/>
                <w:szCs w:val="20"/>
                <w:color w:val="auto"/>
              </w:rPr>
            </w:pPr>
            <w:r>
              <w:rPr>
                <w:rFonts w:ascii="Arial" w:cs="Arial" w:eastAsia="Arial" w:hAnsi="Arial"/>
                <w:sz w:val="18"/>
                <w:szCs w:val="18"/>
                <w:color w:val="auto"/>
              </w:rPr>
              <w:t>11,666,666</w:t>
            </w:r>
          </w:p>
        </w:tc>
      </w:tr>
      <w:tr>
        <w:trPr>
          <w:trHeight w:val="40"/>
        </w:trPr>
        <w:tc>
          <w:tcPr>
            <w:tcW w:w="3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2"/>
        </w:trPr>
        <w:tc>
          <w:tcPr>
            <w:tcW w:w="34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Common Share options-based payments</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1"/>
        </w:trPr>
        <w:tc>
          <w:tcPr>
            <w:tcW w:w="3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(Note 10)</w:t>
            </w:r>
          </w:p>
        </w:tc>
        <w:tc>
          <w:tcPr>
            <w:tcW w:w="94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449,405</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275,813</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108,170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833,388</w:t>
            </w: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 xml:space="preserve">Amortization </w:t>
            </w:r>
            <w:r>
              <w:rPr>
                <w:rFonts w:ascii="Arial" w:cs="Arial" w:eastAsia="Arial" w:hAnsi="Arial"/>
                <w:sz w:val="18"/>
                <w:szCs w:val="18"/>
                <w:i w:val="1"/>
                <w:iCs w:val="1"/>
                <w:color w:val="auto"/>
              </w:rPr>
              <w:t>(Note 7)</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555,740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6,382</w:t>
            </w:r>
          </w:p>
        </w:tc>
        <w:tc>
          <w:tcPr>
            <w:tcW w:w="940" w:type="dxa"/>
            <w:vAlign w:val="bottom"/>
          </w:tcPr>
          <w:p>
            <w:pPr>
              <w:jc w:val="right"/>
              <w:spacing w:after="0"/>
              <w:rPr>
                <w:sz w:val="20"/>
                <w:szCs w:val="20"/>
                <w:color w:val="auto"/>
              </w:rPr>
            </w:pPr>
            <w:r>
              <w:rPr>
                <w:rFonts w:ascii="Arial" w:cs="Arial" w:eastAsia="Arial" w:hAnsi="Arial"/>
                <w:sz w:val="18"/>
                <w:szCs w:val="18"/>
                <w:color w:val="auto"/>
              </w:rPr>
              <w:t>562,122</w:t>
            </w:r>
          </w:p>
        </w:tc>
      </w:tr>
      <w:tr>
        <w:trPr>
          <w:trHeight w:val="40"/>
        </w:trPr>
        <w:tc>
          <w:tcPr>
            <w:tcW w:w="3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External consulting</w:t>
            </w:r>
          </w:p>
        </w:tc>
        <w:tc>
          <w:tcPr>
            <w:tcW w:w="94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39,968</w:t>
            </w:r>
          </w:p>
        </w:tc>
        <w:tc>
          <w:tcPr>
            <w:tcW w:w="94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2,829,200</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650,168</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649,263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4,168,599</w:t>
            </w:r>
          </w:p>
        </w:tc>
      </w:tr>
      <w:tr>
        <w:trPr>
          <w:trHeight w:val="257"/>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Travel, workshop and other</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663,684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191,056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22,108</w:t>
            </w:r>
          </w:p>
        </w:tc>
        <w:tc>
          <w:tcPr>
            <w:tcW w:w="940" w:type="dxa"/>
            <w:vAlign w:val="bottom"/>
          </w:tcPr>
          <w:p>
            <w:pPr>
              <w:jc w:val="right"/>
              <w:spacing w:after="0"/>
              <w:rPr>
                <w:sz w:val="20"/>
                <w:szCs w:val="20"/>
                <w:color w:val="auto"/>
              </w:rPr>
            </w:pPr>
            <w:r>
              <w:rPr>
                <w:rFonts w:ascii="Arial" w:cs="Arial" w:eastAsia="Arial" w:hAnsi="Arial"/>
                <w:sz w:val="18"/>
                <w:szCs w:val="18"/>
                <w:color w:val="auto"/>
              </w:rPr>
              <w:t>876,848</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39,968</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38,508,733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5,624,155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4,708,589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48,881,445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NORI</w:t>
            </w: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Marawa</w:t>
            </w:r>
          </w:p>
        </w:tc>
        <w:tc>
          <w:tcPr>
            <w:tcW w:w="940" w:type="dxa"/>
            <w:vAlign w:val="bottom"/>
          </w:tcPr>
          <w:p>
            <w:pPr>
              <w:spacing w:after="0"/>
              <w:rPr>
                <w:sz w:val="24"/>
                <w:szCs w:val="24"/>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General</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License</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r>
      <w:tr>
        <w:trPr>
          <w:trHeight w:val="210"/>
        </w:trPr>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For the year ended December 31, 2019</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r>
      <w:tr>
        <w:trPr>
          <w:trHeight w:val="47"/>
        </w:trPr>
        <w:tc>
          <w:tcPr>
            <w:tcW w:w="344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7"/>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Exploration expenses</w:t>
            </w: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Exploration labour</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1,635,858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895,165</w:t>
            </w:r>
          </w:p>
        </w:tc>
        <w:tc>
          <w:tcPr>
            <w:tcW w:w="940" w:type="dxa"/>
            <w:vAlign w:val="bottom"/>
          </w:tcPr>
          <w:p>
            <w:pPr>
              <w:jc w:val="right"/>
              <w:spacing w:after="0"/>
              <w:rPr>
                <w:sz w:val="20"/>
                <w:szCs w:val="20"/>
                <w:color w:val="auto"/>
              </w:rPr>
            </w:pPr>
            <w:r>
              <w:rPr>
                <w:rFonts w:ascii="Arial" w:cs="Arial" w:eastAsia="Arial" w:hAnsi="Arial"/>
                <w:sz w:val="18"/>
                <w:szCs w:val="18"/>
                <w:color w:val="auto"/>
              </w:rPr>
              <w:t>2,531,023</w:t>
            </w:r>
          </w:p>
        </w:tc>
      </w:tr>
      <w:tr>
        <w:trPr>
          <w:trHeight w:val="40"/>
        </w:trPr>
        <w:tc>
          <w:tcPr>
            <w:tcW w:w="34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Marine cruise</w:t>
            </w: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27,039,041</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1,120,737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28,159,778</w:t>
            </w:r>
          </w:p>
        </w:tc>
      </w:tr>
      <w:tr>
        <w:trPr>
          <w:trHeight w:val="243"/>
        </w:trPr>
        <w:tc>
          <w:tcPr>
            <w:tcW w:w="4380" w:type="dxa"/>
            <w:vAlign w:val="bottom"/>
            <w:gridSpan w:val="5"/>
          </w:tcPr>
          <w:p>
            <w:pPr>
              <w:ind w:left="180"/>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10)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769,175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508,385</w:t>
            </w:r>
          </w:p>
        </w:tc>
        <w:tc>
          <w:tcPr>
            <w:tcW w:w="940" w:type="dxa"/>
            <w:vAlign w:val="bottom"/>
          </w:tcPr>
          <w:p>
            <w:pPr>
              <w:jc w:val="right"/>
              <w:spacing w:after="0"/>
              <w:rPr>
                <w:sz w:val="20"/>
                <w:szCs w:val="20"/>
                <w:color w:val="auto"/>
              </w:rPr>
            </w:pPr>
            <w:r>
              <w:rPr>
                <w:rFonts w:ascii="Arial" w:cs="Arial" w:eastAsia="Arial" w:hAnsi="Arial"/>
                <w:sz w:val="18"/>
                <w:szCs w:val="18"/>
                <w:color w:val="auto"/>
              </w:rPr>
              <w:t>1,277,560</w:t>
            </w:r>
          </w:p>
        </w:tc>
      </w:tr>
      <w:tr>
        <w:trPr>
          <w:trHeight w:val="40"/>
        </w:trPr>
        <w:tc>
          <w:tcPr>
            <w:tcW w:w="34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Amortization </w:t>
            </w:r>
            <w:r>
              <w:rPr>
                <w:rFonts w:ascii="Arial" w:cs="Arial" w:eastAsia="Arial" w:hAnsi="Arial"/>
                <w:sz w:val="18"/>
                <w:szCs w:val="18"/>
                <w:i w:val="1"/>
                <w:iCs w:val="1"/>
                <w:color w:val="auto"/>
              </w:rPr>
              <w:t>(Note 7)</w:t>
            </w: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336,990</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336,990</w:t>
            </w: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External consulting</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19,578</w:t>
            </w:r>
          </w:p>
        </w:tc>
        <w:tc>
          <w:tcPr>
            <w:tcW w:w="1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4,834,170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563,210</w:t>
            </w:r>
          </w:p>
        </w:tc>
        <w:tc>
          <w:tcPr>
            <w:tcW w:w="940" w:type="dxa"/>
            <w:vAlign w:val="bottom"/>
          </w:tcPr>
          <w:p>
            <w:pPr>
              <w:jc w:val="right"/>
              <w:spacing w:after="0"/>
              <w:rPr>
                <w:sz w:val="20"/>
                <w:szCs w:val="20"/>
                <w:color w:val="auto"/>
              </w:rPr>
            </w:pPr>
            <w:r>
              <w:rPr>
                <w:rFonts w:ascii="Arial" w:cs="Arial" w:eastAsia="Arial" w:hAnsi="Arial"/>
                <w:sz w:val="18"/>
                <w:szCs w:val="18"/>
                <w:color w:val="auto"/>
              </w:rPr>
              <w:t>5,416,958</w:t>
            </w:r>
          </w:p>
        </w:tc>
      </w:tr>
      <w:tr>
        <w:trPr>
          <w:trHeight w:val="40"/>
        </w:trPr>
        <w:tc>
          <w:tcPr>
            <w:tcW w:w="34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Travel, workshop and other</w:t>
            </w:r>
          </w:p>
        </w:tc>
        <w:tc>
          <w:tcPr>
            <w:tcW w:w="7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785,638</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322,281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1,107,919</w:t>
            </w: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43"/>
        </w:trPr>
        <w:tc>
          <w:tcPr>
            <w:tcW w:w="3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19,578</w:t>
            </w:r>
          </w:p>
        </w:tc>
        <w:tc>
          <w:tcPr>
            <w:tcW w:w="1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0"/>
              </w:rPr>
              <w:t>35,400,872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3,409,778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38,830,228</w:t>
            </w: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Share Capital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and Issued</w:t>
      </w:r>
    </w:p>
    <w:p>
      <w:pPr>
        <w:spacing w:after="0" w:line="148"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Company has two classes of shares, being its Common Shares and Class B Preferred Shares. The authorized and issued share capital of the Company is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ind w:right="295"/>
              <w:spacing w:after="0"/>
              <w:rPr>
                <w:sz w:val="20"/>
                <w:szCs w:val="20"/>
                <w:color w:val="auto"/>
              </w:rPr>
            </w:pPr>
            <w:r>
              <w:rPr>
                <w:rFonts w:ascii="Arial" w:cs="Arial" w:eastAsia="Arial" w:hAnsi="Arial"/>
                <w:sz w:val="16"/>
                <w:szCs w:val="16"/>
                <w:b w:val="1"/>
                <w:bCs w:val="1"/>
                <w:color w:val="auto"/>
              </w:rPr>
              <w:t>Issued and</w:t>
            </w:r>
          </w:p>
        </w:tc>
      </w:tr>
      <w:tr>
        <w:trPr>
          <w:trHeight w:val="210"/>
        </w:trPr>
        <w:tc>
          <w:tcPr>
            <w:tcW w:w="4240" w:type="dxa"/>
            <w:vAlign w:val="bottom"/>
          </w:tcPr>
          <w:p>
            <w:pPr>
              <w:spacing w:after="0"/>
              <w:rPr>
                <w:sz w:val="18"/>
                <w:szCs w:val="18"/>
                <w:color w:val="auto"/>
              </w:rPr>
            </w:pPr>
          </w:p>
        </w:tc>
        <w:tc>
          <w:tcPr>
            <w:tcW w:w="2400" w:type="dxa"/>
            <w:vAlign w:val="bottom"/>
            <w:gridSpan w:val="2"/>
          </w:tcPr>
          <w:p>
            <w:pPr>
              <w:ind w:left="760"/>
              <w:spacing w:after="0"/>
              <w:rPr>
                <w:sz w:val="20"/>
                <w:szCs w:val="20"/>
                <w:color w:val="auto"/>
              </w:rPr>
            </w:pPr>
            <w:r>
              <w:rPr>
                <w:rFonts w:ascii="Arial" w:cs="Arial" w:eastAsia="Arial" w:hAnsi="Arial"/>
                <w:sz w:val="16"/>
                <w:szCs w:val="16"/>
                <w:b w:val="1"/>
                <w:bCs w:val="1"/>
                <w:color w:val="auto"/>
              </w:rPr>
              <w:t>Authorized</w:t>
            </w:r>
          </w:p>
        </w:tc>
        <w:tc>
          <w:tcPr>
            <w:tcW w:w="1460" w:type="dxa"/>
            <w:vAlign w:val="bottom"/>
          </w:tcPr>
          <w:p>
            <w:pPr>
              <w:jc w:val="right"/>
              <w:ind w:right="215"/>
              <w:spacing w:after="0"/>
              <w:rPr>
                <w:sz w:val="20"/>
                <w:szCs w:val="20"/>
                <w:color w:val="auto"/>
              </w:rPr>
            </w:pPr>
            <w:r>
              <w:rPr>
                <w:rFonts w:ascii="Arial" w:cs="Arial" w:eastAsia="Arial" w:hAnsi="Arial"/>
                <w:sz w:val="16"/>
                <w:szCs w:val="16"/>
                <w:b w:val="1"/>
                <w:bCs w:val="1"/>
                <w:color w:val="auto"/>
              </w:rPr>
              <w:t>Outstanding</w:t>
            </w:r>
          </w:p>
        </w:tc>
      </w:tr>
      <w:tr>
        <w:trPr>
          <w:trHeight w:val="47"/>
        </w:trPr>
        <w:tc>
          <w:tcPr>
            <w:tcW w:w="4240" w:type="dxa"/>
            <w:vAlign w:val="bottom"/>
            <w:tcBorders>
              <w:bottom w:val="single" w:sz="8" w:color="CCEEFF"/>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43"/>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91"/>
              </w:rPr>
              <w:t>Unlimited, with no par value</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163,658,134</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Class B Preferred Shares</w:t>
            </w:r>
          </w:p>
        </w:tc>
        <w:tc>
          <w:tcPr>
            <w:tcW w:w="240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Unlimited, with no par value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440,000</w:t>
            </w:r>
          </w:p>
        </w:tc>
      </w:tr>
    </w:tbl>
    <w:p>
      <w:pPr>
        <w:spacing w:after="0" w:line="202"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Class B Preferred Shares are non-dividend earning and include voting rights similar to Common Shares. However, if any dividend is declared on Common Shares, the Company is required to concurrently declare and pay dividend on Class B Preferred Shares in the amount per share equal to the dividend per share paid on the Common shares. These Class B Preferred Shares rank ahead of Common Shares in the event of liquidation and are subject to automatic conversion to Common Shares on the basis of 1 Class B Preferred Share to 1 Common Share in the event of the Company closing a qualified Initial Public Offering of its Common Shares or if the Company undertakes a business combination, which results in the holders of the Common Shares of the Company holding securities of another entity.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9" w:name="page240"/>
    <w:bookmarkEnd w:id="2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 Share Capital </w:t>
      </w:r>
      <w:r>
        <w:rPr>
          <w:rFonts w:ascii="Arial" w:cs="Arial" w:eastAsia="Arial" w:hAnsi="Arial"/>
          <w:sz w:val="18"/>
          <w:szCs w:val="18"/>
          <w:color w:val="auto"/>
        </w:rPr>
        <w:t>(cont.)</w:t>
      </w:r>
    </w:p>
    <w:p>
      <w:pPr>
        <w:spacing w:after="0" w:line="202"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The Class B Preferred Shares were issued in September 2016 at $1.25 per share. These shares had a condition that if, within 36 months after their issuance, the Company issued additional Common Shares for consideration in cash that was less than the issue price of the Class B Preferred Shares (“Subsequent Financing Securities”), each holder of a Class B Preferred Share had the right to acquire Common Shares at an issue price of $0.05 per share, for such number of Common Shares as would be required to lower the average acquisition cost of the holder’s Class B Preferred Shares and such Common Shares to the purchase price of the Subsequent Financing Securities. The Class B Preferred Shareholders exercised this right and purchased 314,285 Common Shares of the Company for total proceeds of $15,714.</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Continuity of Share Capital</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Common Shares</w:t>
            </w:r>
          </w:p>
        </w:tc>
        <w:tc>
          <w:tcPr>
            <w:tcW w:w="12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Number</w:t>
            </w:r>
          </w:p>
        </w:tc>
        <w:tc>
          <w:tcPr>
            <w:tcW w:w="1100" w:type="dxa"/>
            <w:vAlign w:val="bottom"/>
          </w:tcPr>
          <w:p>
            <w:pPr>
              <w:jc w:val="center"/>
              <w:ind w:left="52"/>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122,210,059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40,350,123</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Private placement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10,185,811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26,158,504</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Financing cost incurred – Cash</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 xml:space="preserve">Financing cost incurred – Stock options-based payments </w:t>
            </w:r>
            <w:r>
              <w:rPr>
                <w:rFonts w:ascii="Arial" w:cs="Arial" w:eastAsia="Arial" w:hAnsi="Arial"/>
                <w:sz w:val="18"/>
                <w:szCs w:val="18"/>
                <w:i w:val="1"/>
                <w:iCs w:val="1"/>
                <w:color w:val="auto"/>
              </w:rPr>
              <w:t>(Note 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(1,584,657)</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Issued for services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8,167,446</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14,270,606</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631,948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141,063,316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79,824,445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Private placement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5,659,920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20,375,712</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Financing cost incurred – Cash</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(28,089)</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 xml:space="preserve">Financing cost incurred – Stock options-based payments </w:t>
            </w:r>
            <w:r>
              <w:rPr>
                <w:rFonts w:ascii="Arial" w:cs="Arial" w:eastAsia="Arial" w:hAnsi="Arial"/>
                <w:sz w:val="18"/>
                <w:szCs w:val="18"/>
                <w:i w:val="1"/>
                <w:iCs w:val="1"/>
                <w:color w:val="auto"/>
              </w:rPr>
              <w:t>(Note 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(396,568)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Issued for TOML acquisition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7,777,777</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27,999,997</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Issued for services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6,907,121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24,865,637</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2,250,000</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1,790,157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 December 31, 2020</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163,658,134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154,431,291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Class B Preferred Shares</w:t>
            </w:r>
          </w:p>
        </w:tc>
        <w:tc>
          <w:tcPr>
            <w:tcW w:w="12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Number</w:t>
            </w:r>
          </w:p>
        </w:tc>
        <w:tc>
          <w:tcPr>
            <w:tcW w:w="1100" w:type="dxa"/>
            <w:vAlign w:val="bottom"/>
          </w:tcPr>
          <w:p>
            <w:pPr>
              <w:jc w:val="center"/>
              <w:ind w:left="52"/>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2018, 2019 and 2020</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550,000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2020 Activity — Shares</w:t>
      </w:r>
    </w:p>
    <w:p>
      <w:pPr>
        <w:spacing w:after="0" w:line="15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During the year ended December 31, 2020, the Company issued 5,659,920 Common shares in private placements for total proceeds of $20,375,712. Total cash financing cost incurred by the Company in conjunction with the financings amounted to $28,089.</w:t>
      </w:r>
    </w:p>
    <w:p>
      <w:pPr>
        <w:spacing w:after="0" w:line="116"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The Company issued 2,777,778 and 4,096,010 Common Shares to Allseas and Maersk, respectively, for services (Note 8). The Company issued and additional 33,333 Common Shares for services to an arm’s length party. Such Common Shares were valued at $3.60 per share based on the pricing of the recent private placements.</w:t>
      </w:r>
    </w:p>
    <w:p>
      <w:pPr>
        <w:spacing w:after="0" w:line="106"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During the year ended December 31, 2020 option holders exercised 2,250,000 (2019 – 500,000) stock options for total proceeds of $919,465 (2019 – $350,000) at a weighted average exercise price of $0.41 (2019 – $0.70) per share.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0" w:name="page241"/>
    <w:bookmarkEnd w:id="2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 Share Capital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2019 Activity — Shares</w:t>
      </w:r>
    </w:p>
    <w:p>
      <w:pPr>
        <w:spacing w:after="0" w:line="158"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During the year ended December 31, 2019, the Company issued 3,519,143 Common shares in private placements at $1.75 per Common Share for total proceeds of $6,158,500. The Company also issued 6,666,668 common shares to Allseas pursuant to the strategic alliance agreement (Note 8) to additional proceeds of $20 million. Total cash financing cost incurred by the Company in conjunction with the financings amounted to $2,079.</w:t>
      </w:r>
    </w:p>
    <w:p>
      <w:pPr>
        <w:spacing w:after="0" w:line="120"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The Company further issued 8,167,446 Common Shares for services to Maersk (Note 8) and 500,000 Common shares were issued upon exercise of incentive stock options at a price of $0.70 for total proceeds of $350,000.</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Stock Options</w:t>
      </w:r>
    </w:p>
    <w:p>
      <w:pPr>
        <w:spacing w:after="0" w:line="148" w:lineRule="exact"/>
        <w:rPr>
          <w:sz w:val="20"/>
          <w:szCs w:val="20"/>
          <w:color w:val="auto"/>
        </w:rPr>
      </w:pPr>
    </w:p>
    <w:p>
      <w:pPr>
        <w:jc w:val="both"/>
        <w:ind w:left="460" w:right="599" w:firstLine="432"/>
        <w:spacing w:after="0" w:line="287" w:lineRule="auto"/>
        <w:rPr>
          <w:sz w:val="20"/>
          <w:szCs w:val="20"/>
          <w:color w:val="auto"/>
        </w:rPr>
      </w:pPr>
      <w:r>
        <w:rPr>
          <w:rFonts w:ascii="Arial" w:cs="Arial" w:eastAsia="Arial" w:hAnsi="Arial"/>
          <w:sz w:val="16"/>
          <w:szCs w:val="16"/>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the exercise prices determined at its sole discretion.</w:t>
      </w:r>
    </w:p>
    <w:p>
      <w:pPr>
        <w:spacing w:after="0" w:line="2"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color w:val="auto"/>
        </w:rPr>
        <w:t>The Company’s stock option plan provides that the aggregate number of Common Shares reserved for issuance under the plan shall not exceed 20% of the total number of issued and outstanding Common Shares of the Company on a non-diluted basis. As at December 31, 2020, there were 13,429,912 outstanding, leaving 19,301,715 stock options that are reserved for further issuance.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Continuity — Common Share Options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continuity schedule of the Company’s stock options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Weighted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Aggregate</w:t>
            </w:r>
          </w:p>
        </w:tc>
        <w:tc>
          <w:tcPr>
            <w:tcW w:w="10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exercise</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Intrinsic</w:t>
            </w:r>
          </w:p>
        </w:tc>
        <w:tc>
          <w:tcPr>
            <w:tcW w:w="10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Options</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price</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value of</w:t>
            </w:r>
          </w:p>
        </w:tc>
        <w:tc>
          <w:tcPr>
            <w:tcW w:w="10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contractual</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stock options</w:t>
            </w:r>
          </w:p>
        </w:tc>
        <w:tc>
          <w:tcPr>
            <w:tcW w:w="10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life (years)</w:t>
            </w:r>
          </w:p>
        </w:tc>
        <w:tc>
          <w:tcPr>
            <w:tcW w:w="0" w:type="dxa"/>
            <w:vAlign w:val="bottom"/>
          </w:tcPr>
          <w:p>
            <w:pPr>
              <w:spacing w:after="0"/>
              <w:rPr>
                <w:sz w:val="1"/>
                <w:szCs w:val="1"/>
                <w:color w:val="auto"/>
              </w:rPr>
            </w:pPr>
          </w:p>
        </w:tc>
      </w:tr>
      <w:tr>
        <w:trPr>
          <w:trHeight w:val="47"/>
        </w:trPr>
        <w:tc>
          <w:tcPr>
            <w:tcW w:w="3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2018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19,138,748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79"/>
              </w:rPr>
              <w:t>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Cancelled</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(1,362,500)</w:t>
            </w:r>
          </w:p>
        </w:tc>
        <w:tc>
          <w:tcPr>
            <w:tcW w:w="1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0.75</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0.75</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0.75</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0.70</w:t>
            </w: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Outstanding – December 31, 2019</w:t>
            </w: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16,976,248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79"/>
              </w:rPr>
              <w:t>0.70</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49,231,119</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Cancelled</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(862,500)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0.75</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(1,725,000)</w:t>
            </w:r>
          </w:p>
        </w:tc>
        <w:tc>
          <w:tcPr>
            <w:tcW w:w="1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0.75</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0.35</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1,391,164</w:t>
            </w:r>
          </w:p>
        </w:tc>
        <w:tc>
          <w:tcPr>
            <w:tcW w:w="1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2.31</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(2,250,000)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0.41</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Outstanding – December 31, 2020</w:t>
            </w: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vMerge w:val="continue"/>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13,429,912</w:t>
            </w:r>
          </w:p>
        </w:tc>
        <w:tc>
          <w:tcPr>
            <w:tcW w:w="10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b w:val="1"/>
                <w:bCs w:val="1"/>
                <w:color w:val="auto"/>
              </w:rPr>
              <w:t>0.90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36,126,463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7.34</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8"/>
              </w:rPr>
              <w:t>Vested and expected to Vest – December 31, 2020</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13,429,912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0.90</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36,126,463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w w:val="99"/>
              </w:rPr>
              <w:t>Vested and exercisable – December 31, 2020</w:t>
            </w: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800" w:type="dxa"/>
            <w:vAlign w:val="bottom"/>
            <w:vMerge w:val="continue"/>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12,575,162</w:t>
            </w:r>
          </w:p>
        </w:tc>
        <w:tc>
          <w:tcPr>
            <w:tcW w:w="10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b w:val="1"/>
                <w:bCs w:val="1"/>
                <w:color w:val="auto"/>
              </w:rPr>
              <w:t>0.84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34,833,199</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F-63</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41" w:name="page242"/>
    <w:bookmarkEnd w:id="24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 Stock Options </w:t>
      </w:r>
      <w:r>
        <w:rPr>
          <w:rFonts w:ascii="Arial" w:cs="Arial" w:eastAsia="Arial" w:hAnsi="Arial"/>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summary of the Company’s stock options outstanding as at December 31, 2020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Weighted</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average life to</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Options</w:t>
            </w:r>
          </w:p>
        </w:tc>
        <w:tc>
          <w:tcPr>
            <w:tcW w:w="1280" w:type="dxa"/>
            <w:vAlign w:val="bottom"/>
          </w:tcPr>
          <w:p>
            <w:pPr>
              <w:jc w:val="right"/>
              <w:ind w:right="292"/>
              <w:spacing w:after="0"/>
              <w:rPr>
                <w:sz w:val="20"/>
                <w:szCs w:val="20"/>
                <w:color w:val="auto"/>
              </w:rPr>
            </w:pPr>
            <w:r>
              <w:rPr>
                <w:rFonts w:ascii="Arial" w:cs="Arial" w:eastAsia="Arial" w:hAnsi="Arial"/>
                <w:sz w:val="16"/>
                <w:szCs w:val="16"/>
                <w:b w:val="1"/>
                <w:bCs w:val="1"/>
                <w:color w:val="auto"/>
              </w:rPr>
              <w:t>Options</w:t>
            </w:r>
          </w:p>
        </w:tc>
      </w:tr>
      <w:tr>
        <w:trPr>
          <w:trHeight w:val="210"/>
        </w:trPr>
        <w:tc>
          <w:tcPr>
            <w:tcW w:w="3020" w:type="dxa"/>
            <w:vAlign w:val="bottom"/>
          </w:tcPr>
          <w:p>
            <w:pPr>
              <w:spacing w:after="0"/>
              <w:rPr>
                <w:sz w:val="20"/>
                <w:szCs w:val="20"/>
                <w:color w:val="auto"/>
              </w:rPr>
            </w:pPr>
            <w:r>
              <w:rPr>
                <w:rFonts w:ascii="Arial" w:cs="Arial" w:eastAsia="Arial" w:hAnsi="Arial"/>
                <w:sz w:val="16"/>
                <w:szCs w:val="16"/>
                <w:b w:val="1"/>
                <w:bCs w:val="1"/>
                <w:color w:val="auto"/>
              </w:rPr>
              <w:t>Expiry Date</w:t>
            </w:r>
          </w:p>
        </w:tc>
        <w:tc>
          <w:tcPr>
            <w:tcW w:w="10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3"/>
              </w:rPr>
              <w:t>Exercise price</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expiry (years)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1280" w:type="dxa"/>
            <w:vAlign w:val="bottom"/>
          </w:tcPr>
          <w:p>
            <w:pPr>
              <w:jc w:val="right"/>
              <w:ind w:right="152"/>
              <w:spacing w:after="0"/>
              <w:rPr>
                <w:sz w:val="20"/>
                <w:szCs w:val="20"/>
                <w:color w:val="auto"/>
              </w:rPr>
            </w:pPr>
            <w:r>
              <w:rPr>
                <w:rFonts w:ascii="Arial" w:cs="Arial" w:eastAsia="Arial" w:hAnsi="Arial"/>
                <w:sz w:val="16"/>
                <w:szCs w:val="16"/>
                <w:b w:val="1"/>
                <w:bCs w:val="1"/>
                <w:color w:val="auto"/>
              </w:rPr>
              <w:t>Exercisable</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18, 2021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March 31, 2024</w:t>
            </w:r>
          </w:p>
        </w:tc>
        <w:tc>
          <w:tcPr>
            <w:tcW w:w="54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3.25</w:t>
            </w: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63,748</w:t>
            </w:r>
          </w:p>
        </w:tc>
        <w:tc>
          <w:tcPr>
            <w:tcW w:w="1280" w:type="dxa"/>
            <w:vAlign w:val="bottom"/>
          </w:tcPr>
          <w:p>
            <w:pPr>
              <w:jc w:val="right"/>
              <w:spacing w:after="0"/>
              <w:rPr>
                <w:sz w:val="20"/>
                <w:szCs w:val="20"/>
                <w:color w:val="auto"/>
              </w:rPr>
            </w:pPr>
            <w:r>
              <w:rPr>
                <w:rFonts w:ascii="Arial" w:cs="Arial" w:eastAsia="Arial" w:hAnsi="Arial"/>
                <w:sz w:val="18"/>
                <w:szCs w:val="18"/>
                <w:color w:val="auto"/>
              </w:rPr>
              <w:t>63,748</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16, 2021</w:t>
            </w:r>
          </w:p>
        </w:tc>
        <w:tc>
          <w:tcPr>
            <w:tcW w:w="540" w:type="dxa"/>
            <w:vAlign w:val="bottom"/>
            <w:tcBorders>
              <w:bottom w:val="single" w:sz="8" w:color="CCEEFF"/>
            </w:tcBorders>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June 1, 2028</w:t>
            </w:r>
          </w:p>
        </w:tc>
        <w:tc>
          <w:tcPr>
            <w:tcW w:w="54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7.42</w:t>
            </w: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11,875,000</w:t>
            </w:r>
          </w:p>
        </w:tc>
        <w:tc>
          <w:tcPr>
            <w:tcW w:w="1280" w:type="dxa"/>
            <w:vAlign w:val="bottom"/>
          </w:tcPr>
          <w:p>
            <w:pPr>
              <w:jc w:val="right"/>
              <w:spacing w:after="0"/>
              <w:rPr>
                <w:sz w:val="20"/>
                <w:szCs w:val="20"/>
                <w:color w:val="auto"/>
              </w:rPr>
            </w:pPr>
            <w:r>
              <w:rPr>
                <w:rFonts w:ascii="Arial" w:cs="Arial" w:eastAsia="Arial" w:hAnsi="Arial"/>
                <w:sz w:val="18"/>
                <w:szCs w:val="18"/>
                <w:color w:val="auto"/>
              </w:rPr>
              <w:t>11,520,250</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2028</w:t>
            </w:r>
          </w:p>
        </w:tc>
        <w:tc>
          <w:tcPr>
            <w:tcW w:w="540" w:type="dxa"/>
            <w:vAlign w:val="bottom"/>
            <w:tcBorders>
              <w:bottom w:val="single" w:sz="8" w:color="CCEEFF"/>
            </w:tcBorders>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June 30, 2028</w:t>
            </w:r>
          </w:p>
        </w:tc>
        <w:tc>
          <w:tcPr>
            <w:tcW w:w="54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7.50</w:t>
            </w: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128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540" w:type="dxa"/>
            <w:vAlign w:val="bottom"/>
            <w:tcBorders>
              <w:bottom w:val="single" w:sz="8" w:color="CCEEFF"/>
            </w:tcBorders>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220,000</w:t>
            </w:r>
          </w:p>
        </w:tc>
      </w:tr>
      <w:tr>
        <w:trPr>
          <w:trHeight w:val="257"/>
        </w:trPr>
        <w:tc>
          <w:tcPr>
            <w:tcW w:w="3020" w:type="dxa"/>
            <w:vAlign w:val="bottom"/>
          </w:tcPr>
          <w:p>
            <w:pPr>
              <w:spacing w:after="0"/>
              <w:rPr>
                <w:sz w:val="20"/>
                <w:szCs w:val="20"/>
                <w:color w:val="auto"/>
              </w:rPr>
            </w:pPr>
            <w:r>
              <w:rPr>
                <w:rFonts w:ascii="Arial" w:cs="Arial" w:eastAsia="Arial" w:hAnsi="Arial"/>
                <w:sz w:val="18"/>
                <w:szCs w:val="18"/>
                <w:color w:val="auto"/>
              </w:rPr>
              <w:t>December 31, 2025</w:t>
            </w:r>
          </w:p>
        </w:tc>
        <w:tc>
          <w:tcPr>
            <w:tcW w:w="54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5.00</w:t>
            </w:r>
          </w:p>
        </w:tc>
        <w:tc>
          <w:tcPr>
            <w:tcW w:w="10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21,164</w:t>
            </w:r>
          </w:p>
        </w:tc>
        <w:tc>
          <w:tcPr>
            <w:tcW w:w="1280" w:type="dxa"/>
            <w:vAlign w:val="bottom"/>
          </w:tcPr>
          <w:p>
            <w:pPr>
              <w:jc w:val="right"/>
              <w:spacing w:after="0"/>
              <w:rPr>
                <w:sz w:val="20"/>
                <w:szCs w:val="20"/>
                <w:color w:val="auto"/>
              </w:rPr>
            </w:pPr>
            <w:r>
              <w:rPr>
                <w:rFonts w:ascii="Arial" w:cs="Arial" w:eastAsia="Arial" w:hAnsi="Arial"/>
                <w:sz w:val="18"/>
                <w:szCs w:val="18"/>
                <w:color w:val="auto"/>
              </w:rPr>
              <w:t>21,164</w:t>
            </w: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3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13,429,912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12,575,162</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On July 23, 2018, the Company granted 5,300,000 common share options to employees, directors and consultants of the Company. The options had performance vesting conditions based on the Company reaching certain equity financing milestones. The Company estimated the realization of the vesting conditions as follows: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Status as at</w:t>
            </w:r>
          </w:p>
        </w:tc>
      </w:tr>
      <w:tr>
        <w:trPr>
          <w:trHeight w:val="203"/>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Estimated date of</w:t>
            </w:r>
          </w:p>
        </w:tc>
        <w:tc>
          <w:tcPr>
            <w:tcW w:w="12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Number of</w:t>
            </w:r>
          </w:p>
        </w:tc>
        <w:tc>
          <w:tcPr>
            <w:tcW w:w="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Vesting condition</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completion</w:t>
            </w: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Price</w:t>
            </w:r>
          </w:p>
        </w:tc>
        <w:tc>
          <w:tcPr>
            <w:tcW w:w="9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Options</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47"/>
        </w:trPr>
        <w:tc>
          <w:tcPr>
            <w:tcW w:w="3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Raise $10,000,000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1, 2019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987,500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Forfeited</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Complete Go Public transaction</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June 1,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375,000</w:t>
            </w: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Forfeited</w:t>
            </w:r>
          </w:p>
        </w:tc>
      </w:tr>
      <w:tr>
        <w:trPr>
          <w:trHeight w:val="40"/>
        </w:trPr>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Raise $20,000,000</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1,481,500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Vested</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Raise $30,000,000</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March 1,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978,000</w:t>
            </w: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Vested</w:t>
            </w:r>
          </w:p>
        </w:tc>
      </w:tr>
      <w:tr>
        <w:trPr>
          <w:trHeight w:val="40"/>
        </w:trPr>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Raise $40,000,000</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862,500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Forfeited</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Raise $40,000,000</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Vested</w:t>
            </w:r>
          </w:p>
        </w:tc>
      </w:tr>
      <w:tr>
        <w:trPr>
          <w:trHeight w:val="40"/>
        </w:trPr>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3"/>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Raise $50,000,000</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March 1,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115,500</w:t>
            </w:r>
          </w:p>
        </w:tc>
        <w:tc>
          <w:tcPr>
            <w:tcW w:w="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Vested</w:t>
            </w:r>
          </w:p>
        </w:tc>
      </w:tr>
      <w:tr>
        <w:trPr>
          <w:trHeight w:val="244"/>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5,300,000</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As at December 31, 2020 based on the price of the most recent private placements, the fair value of the Company’s common shares was $3.60 per share. A total of 13,429,912 incentive stock options were in the money with weighted average intrinsic value of $2.69 per share.</w:t>
      </w:r>
    </w:p>
    <w:p>
      <w:pPr>
        <w:spacing w:after="0" w:line="116"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aggregate intrinsic value of stock options exercised during the year ended December 31, 2020 and 2019 was $7,187,500 and $1,450,000, respectively. The total grant date fair value of options that vested during the year ended December 31, 2020 and 2019 was $4,585,796 and $3,216,076, respectively. As of December 31, 2020, total unrecognized stock-based compensation expense of $800,704 related to unvested stock options is expected to be recognized over a weighted-average recognition period of approximately 0.53 years.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Activity and Valuation — Common Share Options</w:t>
      </w:r>
    </w:p>
    <w:p>
      <w:pPr>
        <w:spacing w:after="0" w:line="148" w:lineRule="exact"/>
        <w:rPr>
          <w:sz w:val="20"/>
          <w:szCs w:val="20"/>
          <w:color w:val="auto"/>
        </w:rPr>
      </w:pPr>
    </w:p>
    <w:p>
      <w:pPr>
        <w:ind w:left="460" w:right="879" w:firstLine="432"/>
        <w:spacing w:after="0" w:line="286" w:lineRule="auto"/>
        <w:rPr>
          <w:sz w:val="20"/>
          <w:szCs w:val="20"/>
          <w:color w:val="auto"/>
        </w:rPr>
      </w:pPr>
      <w:r>
        <w:rPr>
          <w:rFonts w:ascii="Arial" w:cs="Arial" w:eastAsia="Arial" w:hAnsi="Arial"/>
          <w:sz w:val="17"/>
          <w:szCs w:val="17"/>
          <w:color w:val="auto"/>
        </w:rPr>
        <w:t>On July 1, 2020, 1,000,000 incentive stock options were granted to certain non employees. These incentive stock options, exercisable at $3.00 per share, expire on June 30, 2028. A total of 500,000 options vested on the date of the grant and the remaining options vest on July 1, 2021.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2" w:name="page243"/>
    <w:bookmarkEnd w:id="2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 Stock Options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On July 7, 2020, 100,000 incentive stock options were granted to a consultant of the Company in return for the services provided by the consultant. These incentive stock options, exercisable at $Nil per share, expire on June 30, 2028 and vest immediately.</w:t>
      </w:r>
    </w:p>
    <w:p>
      <w:pPr>
        <w:spacing w:after="0" w:line="103"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On December 23, 2020, 291,164 incentive stock options were granted to the consultants of the Company. Of these, a total of 270,000 incentive stock options are exercisable at $0.75 per share while 21,164 incentive stock options are exercisable at $0.25 per share. All options included in this grant vested immediately and expire on Dec 31, 2025.</w:t>
      </w:r>
    </w:p>
    <w:p>
      <w:pPr>
        <w:spacing w:after="0" w:line="11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fair value of the options granted was estimated on the date of grant using the Black-Scholes option pricing model, with the following weighted average assumptions: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11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2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5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40"/>
        </w:trPr>
        <w:tc>
          <w:tcPr>
            <w:tcW w:w="5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2.00</w:t>
            </w:r>
          </w:p>
        </w:tc>
      </w:tr>
      <w:tr>
        <w:trPr>
          <w:trHeight w:val="40"/>
        </w:trPr>
        <w:tc>
          <w:tcPr>
            <w:tcW w:w="5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1.75</w:t>
            </w:r>
          </w:p>
        </w:tc>
      </w:tr>
      <w:tr>
        <w:trPr>
          <w:trHeight w:val="41"/>
        </w:trPr>
        <w:tc>
          <w:tcPr>
            <w:tcW w:w="55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Changes in these assumptions could have a material impact on the Company’s loss and comprehensive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w:t>
      </w:r>
    </w:p>
    <w:p>
      <w:pPr>
        <w:spacing w:after="0" w:line="130"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During the year ended December 31, 2020 the Company recognized $396,567 (2019 – $1,584,657) as part of financing costs within equity, for realizing the above-mentioned performance conditions. The Company also recognized additional $4,096,519 (2019 – $1,679,486) as common share option-based payments expense in the statement of loss and comprehensive loss. A total of $3,263,131 (2019 – $401,926) related to corporate matters and was charged to the statement of loss and comprehensive loss as common share options-based payments whereas $833,388 (2019 – $1,277,560), representing the allocation to exploration activities, was included within exploration expenses.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Related Party Transactions</w:t>
      </w:r>
    </w:p>
    <w:p>
      <w:pPr>
        <w:spacing w:after="0" w:line="162"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The Company’s subsidiary, DGE, is party to a consulting agreement with SSCS Pte. Ltd. (“SSCS”) to manage offshore engineering studies. A director of DGE is employed through SSCS Pte. Ltd. Consulting services during the year ended December 31, 2020 amounted to $275,000 (2019 – $248,308) and are disclosed as external consulting and Exploration labour within exploration expenses (Note 9). As at December 31, 2020, the amount payable to SSCS amounted to $22,917 (2019 – $22,917).</w:t>
      </w:r>
    </w:p>
    <w:p>
      <w:pPr>
        <w:spacing w:after="0" w:line="109"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Company’s Chief Ocean Scientist provides consulting services to the Company through Ocean Renaissance LLC (“Ocean Renaissance”) where he is a principal. Consulting services during the year ended December 31, 2020 amounted to $366,667 (2019 – $354,999) and are disclosed as exploration labour within exploration expenses (Note 9). As at December 31, 2020, the amount payable to Ocean Renaissance amounted to $175 (2019 – $17,484).</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144"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As part of NORI’s exploration contract with the ISA with respect to the NORI Area (Note 9), NORI committed to expending $5 million over the five-year period from 2017 to 2021. Such commitment has already been met. Such commitment is negotiated with the ISA and has flexibility where the amount can be reduced.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3" w:name="page244"/>
    <w:bookmarkEnd w:id="2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Commitments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Marawa Exploration Contract</w:t>
      </w:r>
    </w:p>
    <w:p>
      <w:pPr>
        <w:spacing w:after="0" w:line="15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As part of Marawa’s exploration contract with the ISA with respect to the Marawa Area (Note 9), Marawa commits to expending funds on exploration activities on an annual basis. The Commitment for fiscal 2020 was Australian dollar $1 million and for fiscal 2021 is Australian dollar $2 million. Such commitment is negotiated with the ISA on an annual basis.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15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As part of TOML’s exploration contract with the ISA with respect to the TOML Area (Note 8), TOML has committed to expending $30 million for a period from 2016 to 2021 in the first five-year review finalized in 2016. Such commitment has flexibility where the amount can be reduced by the ISA and such reduction would be dependent upon various factors including the success of the exploration programs and the availability of funding. As at December 31, 2020 the Company expended approximately $4.7 million. DeepGreen is due to discuss the progress since the acquisition of the TOML Group with the ISA later during 2021.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Offtake Agreements,</w:t>
      </w:r>
    </w:p>
    <w:p>
      <w:pPr>
        <w:spacing w:after="0" w:line="144" w:lineRule="exact"/>
        <w:rPr>
          <w:sz w:val="20"/>
          <w:szCs w:val="20"/>
          <w:color w:val="auto"/>
        </w:rPr>
      </w:pPr>
    </w:p>
    <w:p>
      <w:pPr>
        <w:ind w:left="460" w:right="859" w:firstLine="432"/>
        <w:spacing w:after="0" w:line="291" w:lineRule="auto"/>
        <w:rPr>
          <w:sz w:val="20"/>
          <w:szCs w:val="20"/>
          <w:color w:val="auto"/>
        </w:rPr>
      </w:pPr>
      <w:r>
        <w:rPr>
          <w:rFonts w:ascii="Arial" w:cs="Arial" w:eastAsia="Arial" w:hAnsi="Arial"/>
          <w:sz w:val="16"/>
          <w:szCs w:val="16"/>
          <w:color w:val="auto"/>
        </w:rPr>
        <w:t>On May 25, 2012, the Company’s wholly owned subsidiary, DGE, and Glencore International AG (“Glencore”) entered into a copper offtake agreement and a nickel offtake agreement. DGE has agreed to deliver to Glencore 50% of the annual quantity of copper and nickel produced at a DGE owned processing facility from nodules derived from the NORI Area at LME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15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On July 5, 2017, the Republic of Nauru (“Nauru”), the Nauru Seabed Minerals Authority and NORI entered into a sponsorship agreement (the “NORI Sponsorship Agreement”) formalising certain obligations of the parties in relation to NORI’s exploration and potential exploitation of the NORI Area. Upon reaching a minimum level of nodule production from the tenement area, NORI will pay Nauru a seabed mineral recovery payment based on the wet tonnes of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99"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On March 8, 2008, the Kingdom of Tonga (“Tonga”) and TOML entered into a sponsorship agreement (the “TOML Sponsorship Agreement”) formalising certain obligations of the parties in relation to TOML’s exploration and potential exploitation of the TOML Area. Upon reaching a minimum recovery level of nodule production from the tenement area, TOML has agreed to pay Tonga a seabed mineral recovery payment based on the wet tonnes of polymetallic nodules recovered from the tenement area. In addition, TOML has agreed to pay the reasonable direct costs incurred by Tonga to administer the ISA obligations of Tonga to the ISA.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4" w:name="page245"/>
    <w:bookmarkEnd w:id="2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Supplemental Cash Flow Information</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For the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For the</w:t>
            </w:r>
          </w:p>
        </w:tc>
      </w:tr>
      <w:tr>
        <w:trPr>
          <w:trHeight w:val="202"/>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 ended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year ended</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issued for previous services (Note 8)</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6,410,275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6,431,359</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Common Shares issued for exploration license acquisition (Note 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27,999,997</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Settlement of additional contribution from Allseas (Note 8)</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8,333,335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Financing stock options issued (Note 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396,567</w:t>
            </w:r>
          </w:p>
        </w:tc>
        <w:tc>
          <w:tcPr>
            <w:tcW w:w="1260" w:type="dxa"/>
            <w:vAlign w:val="bottom"/>
          </w:tcPr>
          <w:p>
            <w:pPr>
              <w:jc w:val="right"/>
              <w:spacing w:after="0"/>
              <w:rPr>
                <w:sz w:val="20"/>
                <w:szCs w:val="20"/>
                <w:color w:val="auto"/>
              </w:rPr>
            </w:pPr>
            <w:r>
              <w:rPr>
                <w:rFonts w:ascii="Arial" w:cs="Arial" w:eastAsia="Arial" w:hAnsi="Arial"/>
                <w:sz w:val="18"/>
                <w:szCs w:val="18"/>
                <w:color w:val="auto"/>
              </w:rPr>
              <w:t>1,584,657</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Segmented Information</w:t>
      </w:r>
    </w:p>
    <w:p>
      <w:pPr>
        <w:spacing w:after="0" w:line="148" w:lineRule="exact"/>
        <w:rPr>
          <w:sz w:val="20"/>
          <w:szCs w:val="20"/>
          <w:color w:val="auto"/>
        </w:rPr>
      </w:pPr>
    </w:p>
    <w:p>
      <w:pPr>
        <w:ind w:left="460" w:right="1059" w:firstLine="432"/>
        <w:spacing w:after="0" w:line="311" w:lineRule="auto"/>
        <w:rPr>
          <w:sz w:val="20"/>
          <w:szCs w:val="20"/>
          <w:color w:val="auto"/>
        </w:rPr>
      </w:pPr>
      <w:r>
        <w:rPr>
          <w:rFonts w:ascii="Arial" w:cs="Arial" w:eastAsia="Arial" w:hAnsi="Arial"/>
          <w:sz w:val="16"/>
          <w:szCs w:val="16"/>
          <w:color w:val="auto"/>
        </w:rPr>
        <w:t>The Company’s business consists of only one operating segment, namely exploration of seafloor polymetallic nodules, which includes the development of a metallurgical process to treat such seafloor polymetallic nodules. Details on a geographical basis of the Company’s long-lived assets are as follows: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Equipment</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Republic of Nauru</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1,292,308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1,848,048</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Tonga</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14,892</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2,477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1,309,677</w:t>
            </w:r>
          </w:p>
        </w:tc>
        <w:tc>
          <w:tcPr>
            <w:tcW w:w="1260" w:type="dxa"/>
            <w:vAlign w:val="bottom"/>
          </w:tcPr>
          <w:p>
            <w:pPr>
              <w:jc w:val="right"/>
              <w:spacing w:after="0"/>
              <w:rPr>
                <w:sz w:val="20"/>
                <w:szCs w:val="20"/>
                <w:color w:val="auto"/>
              </w:rPr>
            </w:pPr>
            <w:r>
              <w:rPr>
                <w:rFonts w:ascii="Arial" w:cs="Arial" w:eastAsia="Arial" w:hAnsi="Arial"/>
                <w:sz w:val="18"/>
                <w:szCs w:val="18"/>
                <w:color w:val="auto"/>
              </w:rPr>
              <w:t>1,851,586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Income Taxes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Reconciliation of Effective Tax Rate</w:t>
      </w:r>
    </w:p>
    <w:p>
      <w:pPr>
        <w:spacing w:after="0" w:line="14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The Company is subject to Canadian federal and provincial tax for the estimated assessable profit for the years ended December 31, 2019 and 2020 at a rate of 27.00%. The Company had no assessable profit in Canada for all periods disclosed.</w:t>
      </w:r>
    </w:p>
    <w:p>
      <w:pPr>
        <w:spacing w:after="0" w:line="116"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tax expense at statutory rates for the Company can be reconciled to the reported loss for the year per the statement of loss and comprehensive loss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For the</w:t>
            </w:r>
          </w:p>
        </w:tc>
        <w:tc>
          <w:tcPr>
            <w:tcW w:w="12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5"/>
              </w:rPr>
              <w:t>For the</w:t>
            </w:r>
          </w:p>
        </w:tc>
        <w:tc>
          <w:tcPr>
            <w:tcW w:w="0" w:type="dxa"/>
            <w:vAlign w:val="bottom"/>
          </w:tcPr>
          <w:p>
            <w:pPr>
              <w:spacing w:after="0"/>
              <w:rPr>
                <w:sz w:val="1"/>
                <w:szCs w:val="1"/>
                <w:color w:val="auto"/>
              </w:rPr>
            </w:pPr>
          </w:p>
        </w:tc>
      </w:tr>
      <w:tr>
        <w:trPr>
          <w:trHeight w:val="203"/>
        </w:trPr>
        <w:tc>
          <w:tcPr>
            <w:tcW w:w="55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year ended</w:t>
            </w:r>
          </w:p>
        </w:tc>
        <w:tc>
          <w:tcPr>
            <w:tcW w:w="12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year ended</w:t>
            </w:r>
          </w:p>
        </w:tc>
        <w:tc>
          <w:tcPr>
            <w:tcW w:w="0" w:type="dxa"/>
            <w:vAlign w:val="bottom"/>
          </w:tcPr>
          <w:p>
            <w:pPr>
              <w:spacing w:after="0"/>
              <w:rPr>
                <w:sz w:val="1"/>
                <w:szCs w:val="1"/>
                <w:color w:val="auto"/>
              </w:rPr>
            </w:pPr>
          </w:p>
        </w:tc>
      </w:tr>
      <w:tr>
        <w:trPr>
          <w:trHeight w:val="203"/>
        </w:trPr>
        <w:tc>
          <w:tcPr>
            <w:tcW w:w="554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3"/>
        </w:trPr>
        <w:tc>
          <w:tcPr>
            <w:tcW w:w="5540" w:type="dxa"/>
            <w:vAlign w:val="bottom"/>
          </w:tcPr>
          <w:p>
            <w:pPr>
              <w:spacing w:after="0"/>
              <w:rPr>
                <w:sz w:val="17"/>
                <w:szCs w:val="17"/>
                <w:color w:val="auto"/>
              </w:rPr>
            </w:pPr>
          </w:p>
        </w:tc>
        <w:tc>
          <w:tcPr>
            <w:tcW w:w="1000" w:type="dxa"/>
            <w:vAlign w:val="bottom"/>
          </w:tcPr>
          <w:p>
            <w:pPr>
              <w:jc w:val="center"/>
              <w:ind w:left="73"/>
              <w:spacing w:after="0"/>
              <w:rPr>
                <w:sz w:val="20"/>
                <w:szCs w:val="20"/>
                <w:color w:val="auto"/>
              </w:rPr>
            </w:pPr>
            <w:r>
              <w:rPr>
                <w:rFonts w:ascii="Arial" w:cs="Arial" w:eastAsia="Arial" w:hAnsi="Arial"/>
                <w:sz w:val="16"/>
                <w:szCs w:val="16"/>
                <w:b w:val="1"/>
                <w:bCs w:val="1"/>
                <w:color w:val="auto"/>
                <w:w w:val="89"/>
              </w:rPr>
              <w:t>2020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left="33"/>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1000" w:type="dxa"/>
            <w:vAlign w:val="bottom"/>
          </w:tcPr>
          <w:p>
            <w:pPr>
              <w:jc w:val="center"/>
              <w:ind w:left="113"/>
              <w:spacing w:after="0"/>
              <w:rPr>
                <w:sz w:val="20"/>
                <w:szCs w:val="20"/>
                <w:color w:val="auto"/>
              </w:rPr>
            </w:pPr>
            <w:r>
              <w:rPr>
                <w:rFonts w:ascii="Arial" w:cs="Arial" w:eastAsia="Arial" w:hAnsi="Arial"/>
                <w:sz w:val="16"/>
                <w:szCs w:val="16"/>
                <w:b w:val="1"/>
                <w:bCs w:val="1"/>
                <w:color w:val="auto"/>
                <w:w w:val="89"/>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left="73"/>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(56,631,379)</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(43,072,371)</w:t>
            </w:r>
          </w:p>
        </w:tc>
        <w:tc>
          <w:tcPr>
            <w:tcW w:w="0" w:type="dxa"/>
            <w:vAlign w:val="bottom"/>
          </w:tcPr>
          <w:p>
            <w:pPr>
              <w:spacing w:after="0"/>
              <w:rPr>
                <w:sz w:val="1"/>
                <w:szCs w:val="1"/>
                <w:color w:val="auto"/>
              </w:rPr>
            </w:pPr>
          </w:p>
        </w:tc>
      </w:tr>
      <w:tr>
        <w:trPr>
          <w:trHeight w:val="257"/>
        </w:trPr>
        <w:tc>
          <w:tcPr>
            <w:tcW w:w="5540" w:type="dxa"/>
            <w:vAlign w:val="bottom"/>
          </w:tcPr>
          <w:p>
            <w:pPr>
              <w:spacing w:after="0"/>
              <w:rPr>
                <w:sz w:val="20"/>
                <w:szCs w:val="20"/>
                <w:color w:val="auto"/>
              </w:rPr>
            </w:pPr>
            <w:r>
              <w:rPr>
                <w:rFonts w:ascii="Arial" w:cs="Arial" w:eastAsia="Arial" w:hAnsi="Arial"/>
                <w:sz w:val="18"/>
                <w:szCs w:val="18"/>
                <w:color w:val="auto"/>
              </w:rPr>
              <w:t>Canadian Federal and Provincial income tax rates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27.00%</w:t>
            </w:r>
          </w:p>
        </w:tc>
        <w:tc>
          <w:tcPr>
            <w:tcW w:w="8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recovery based on the above rates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(15,290,472)</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(11,629,540)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980,690</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386,507</w:t>
            </w:r>
          </w:p>
        </w:tc>
        <w:tc>
          <w:tcPr>
            <w:tcW w:w="0" w:type="dxa"/>
            <w:vAlign w:val="bottom"/>
          </w:tcPr>
          <w:p>
            <w:pPr>
              <w:spacing w:after="0"/>
              <w:rPr>
                <w:sz w:val="1"/>
                <w:szCs w:val="1"/>
                <w:color w:val="auto"/>
              </w:rPr>
            </w:pPr>
          </w:p>
        </w:tc>
      </w:tr>
      <w:tr>
        <w:trPr>
          <w:trHeight w:val="41"/>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differences in future and foreign tax rates</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11,151,898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10,042,909</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Foreign exchange and other</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(141,758)</w:t>
            </w:r>
          </w:p>
        </w:tc>
        <w:tc>
          <w:tcPr>
            <w:tcW w:w="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(275,813)</w:t>
            </w:r>
          </w:p>
        </w:tc>
        <w:tc>
          <w:tcPr>
            <w:tcW w:w="0" w:type="dxa"/>
            <w:vAlign w:val="bottom"/>
          </w:tcPr>
          <w:p>
            <w:pPr>
              <w:spacing w:after="0"/>
              <w:rPr>
                <w:sz w:val="1"/>
                <w:szCs w:val="1"/>
                <w:color w:val="auto"/>
              </w:rPr>
            </w:pPr>
          </w:p>
        </w:tc>
      </w:tr>
      <w:tr>
        <w:trPr>
          <w:trHeight w:val="41"/>
        </w:trPr>
        <w:tc>
          <w:tcPr>
            <w:tcW w:w="5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 changes affecting the provision of income taxes</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3,299,642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1,475,937</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income taxes</w:t>
            </w: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40" w:type="dxa"/>
            <w:vAlign w:val="bottom"/>
            <w:vMerge w:val="continue"/>
          </w:tcPr>
          <w:p>
            <w:pPr>
              <w:spacing w:after="0"/>
              <w:rPr>
                <w:sz w:val="21"/>
                <w:szCs w:val="21"/>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3880"/>
              <w:spacing w:after="0"/>
              <w:rPr>
                <w:sz w:val="20"/>
                <w:szCs w:val="20"/>
                <w:color w:val="auto"/>
              </w:rPr>
            </w:pPr>
            <w:r>
              <w:rPr>
                <w:rFonts w:ascii="Arial" w:cs="Arial" w:eastAsia="Arial" w:hAnsi="Arial"/>
                <w:sz w:val="18"/>
                <w:szCs w:val="18"/>
                <w:color w:val="auto"/>
              </w:rPr>
              <w:t>F-67</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54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45" w:name="page246"/>
    <w:bookmarkEnd w:id="2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Income Taxes </w:t>
      </w:r>
      <w:r>
        <w:rPr>
          <w:rFonts w:ascii="Arial" w:cs="Arial" w:eastAsia="Arial" w:hAnsi="Arial"/>
          <w:sz w:val="18"/>
          <w:szCs w:val="18"/>
          <w:color w:val="auto"/>
        </w:rPr>
        <w:t>(cont.)</w:t>
      </w:r>
    </w:p>
    <w:p>
      <w:pPr>
        <w:spacing w:after="0" w:line="202"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The Company follows a comprehensive model for recognizing, measuring, presenting, and disclosing uncertain tax positions taken or expected to be taken on a tax return.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spacing w:after="0" w:line="97"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Company currently has no uncertain tax positions and is therefore not reflecting any adjustments for such in its deferred tax asset.</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Company’s policy is to account for income tax related interest and penalties in income tax expense in the accompanying statements of operations. There have been no income tax related interest or penalties assessed or recorded.</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deferred income taxes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0" w:type="dxa"/>
            <w:vAlign w:val="bottom"/>
          </w:tcPr>
          <w:p>
            <w:pPr>
              <w:jc w:val="center"/>
              <w:ind w:left="3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left="12"/>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000" w:type="dxa"/>
            <w:vAlign w:val="bottom"/>
          </w:tcPr>
          <w:p>
            <w:pPr>
              <w:jc w:val="center"/>
              <w:ind w:left="72"/>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52"/>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Non-capital losses</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10,925,043</w:t>
            </w: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5,156,568</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losses and other</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70,162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68,777</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5,102</w:t>
            </w: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issuance costs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74,506</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128,931</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Arial" w:cs="Arial" w:eastAsia="Arial" w:hAnsi="Arial"/>
                <w:sz w:val="18"/>
                <w:szCs w:val="18"/>
                <w:color w:val="auto"/>
              </w:rPr>
              <w:t>Total deferred income tax assets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11,074,813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5,358,977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(11,074,813)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(5,358,977)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Deferred tax asset recognized</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Deferred tax liability recognized</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(10,675,366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ASC 740 requires that the tax benefit of net operating losses, temporary differences and credit carry forwards be recorded as an asset to the extent that management assesses that realization is “more likely than not.” Realization of the future tax benefits is dependent on the Company’s ability to generate sufficient taxable income within the carry forward period. Because of the Company’s history of operating losses, management believes that recognition of the deferred tax assets arising from the above-mentioned future tax benefits is currently not likely to be realized and, accordingly, has provided a valuation allowance.</w:t>
      </w:r>
    </w:p>
    <w:p>
      <w:pPr>
        <w:spacing w:after="0" w:line="97"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deferred tax liability is recognized due to the difference between the book value and the tax basis of the acquired assets, as part of the TOML Acquisition (Note 3).</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Deductible temporary differences, unused tax losses and unused tax credits: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280" w:type="dxa"/>
            <w:vAlign w:val="bottom"/>
          </w:tcPr>
          <w:p>
            <w:pPr>
              <w:spacing w:after="0"/>
              <w:rPr>
                <w:sz w:val="17"/>
                <w:szCs w:val="17"/>
                <w:color w:val="auto"/>
              </w:rPr>
            </w:pPr>
          </w:p>
        </w:tc>
      </w:tr>
      <w:tr>
        <w:trPr>
          <w:trHeight w:val="203"/>
        </w:trPr>
        <w:tc>
          <w:tcPr>
            <w:tcW w:w="2660" w:type="dxa"/>
            <w:vAlign w:val="bottom"/>
          </w:tcPr>
          <w:p>
            <w:pPr>
              <w:spacing w:after="0"/>
              <w:rPr>
                <w:sz w:val="17"/>
                <w:szCs w:val="17"/>
                <w:color w:val="auto"/>
              </w:rPr>
            </w:pPr>
          </w:p>
        </w:tc>
        <w:tc>
          <w:tcPr>
            <w:tcW w:w="2840" w:type="dxa"/>
            <w:vAlign w:val="bottom"/>
            <w:gridSpan w:val="2"/>
          </w:tcPr>
          <w:p>
            <w:pPr>
              <w:jc w:val="center"/>
              <w:ind w:left="159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5"/>
              </w:rPr>
              <w:t>Expiry Date</w:t>
            </w:r>
          </w:p>
        </w:tc>
      </w:tr>
      <w:tr>
        <w:trPr>
          <w:trHeight w:val="210"/>
        </w:trPr>
        <w:tc>
          <w:tcPr>
            <w:tcW w:w="2660" w:type="dxa"/>
            <w:vAlign w:val="bottom"/>
          </w:tcPr>
          <w:p>
            <w:pPr>
              <w:spacing w:after="0"/>
              <w:rPr>
                <w:sz w:val="18"/>
                <w:szCs w:val="18"/>
                <w:color w:val="auto"/>
              </w:rPr>
            </w:pPr>
          </w:p>
        </w:tc>
        <w:tc>
          <w:tcPr>
            <w:tcW w:w="2840" w:type="dxa"/>
            <w:vAlign w:val="bottom"/>
            <w:gridSpan w:val="2"/>
          </w:tcPr>
          <w:p>
            <w:pPr>
              <w:jc w:val="center"/>
              <w:ind w:left="1633"/>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Range</w:t>
            </w:r>
          </w:p>
        </w:tc>
      </w:tr>
      <w:tr>
        <w:trPr>
          <w:trHeight w:val="46"/>
        </w:trPr>
        <w:tc>
          <w:tcPr>
            <w:tcW w:w="266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Non-capital losses</w:t>
            </w: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45,312,941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21,081,632</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See below</w:t>
            </w: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Capital losses</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519,720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509,463</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r>
      <w:tr>
        <w:trPr>
          <w:trHeight w:val="41"/>
        </w:trPr>
        <w:tc>
          <w:tcPr>
            <w:tcW w:w="26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w:t>
            </w:r>
          </w:p>
        </w:tc>
        <w:tc>
          <w:tcPr>
            <w:tcW w:w="2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18,895</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17,412</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Not applicable</w:t>
            </w: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Share issuance costs</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275,949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477,522</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2021 to 2024</w:t>
            </w:r>
          </w:p>
        </w:tc>
      </w:tr>
      <w:tr>
        <w:trPr>
          <w:trHeight w:val="432"/>
        </w:trPr>
        <w:tc>
          <w:tcPr>
            <w:tcW w:w="26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ind w:right="1380"/>
              <w:spacing w:after="0"/>
              <w:rPr>
                <w:sz w:val="20"/>
                <w:szCs w:val="20"/>
                <w:color w:val="auto"/>
              </w:rPr>
            </w:pPr>
            <w:r>
              <w:rPr>
                <w:rFonts w:ascii="Arial" w:cs="Arial" w:eastAsia="Arial" w:hAnsi="Arial"/>
                <w:sz w:val="18"/>
                <w:szCs w:val="18"/>
                <w:color w:val="auto"/>
              </w:rPr>
              <w:t>F-68</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46" w:name="page247"/>
    <w:bookmarkEnd w:id="2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Income Taxes </w:t>
      </w:r>
      <w:r>
        <w:rPr>
          <w:rFonts w:ascii="Arial" w:cs="Arial" w:eastAsia="Arial" w:hAnsi="Arial"/>
          <w:sz w:val="18"/>
          <w:szCs w:val="18"/>
          <w:color w:val="auto"/>
        </w:rPr>
        <w:t>(cont.)</w:t>
      </w:r>
    </w:p>
    <w:p>
      <w:pPr>
        <w:spacing w:after="0" w:line="202"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As at December 31, 2020, the Company had non-capital loss carry-forwards of $45,312,941 that may be used to offset future taxable income. These losses, if not utilized, will expire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Canada</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9"/>
              </w:rPr>
              <w:t>United States</w:t>
            </w: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Singapore</w:t>
            </w:r>
          </w:p>
        </w:tc>
        <w:tc>
          <w:tcPr>
            <w:tcW w:w="1280" w:type="dxa"/>
            <w:vAlign w:val="bottom"/>
          </w:tcPr>
          <w:p>
            <w:pPr>
              <w:jc w:val="right"/>
              <w:ind w:right="331"/>
              <w:spacing w:after="0"/>
              <w:rPr>
                <w:sz w:val="20"/>
                <w:szCs w:val="20"/>
                <w:color w:val="auto"/>
              </w:rPr>
            </w:pPr>
            <w:r>
              <w:rPr>
                <w:rFonts w:ascii="Arial" w:cs="Arial" w:eastAsia="Arial" w:hAnsi="Arial"/>
                <w:sz w:val="16"/>
                <w:szCs w:val="16"/>
                <w:b w:val="1"/>
                <w:bCs w:val="1"/>
                <w:color w:val="auto"/>
              </w:rPr>
              <w:t>Tonga</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2031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445,778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2032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478,464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2033</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325,440</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2034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812,056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2035</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1,814,112</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2036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1,601,988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2037</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2,615,282</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2038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4,800,633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2039</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3,497,333</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2040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4,312,741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 expiry</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10,214,470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14,391,864</w:t>
            </w:r>
          </w:p>
        </w:tc>
      </w:tr>
      <w:tr>
        <w:trPr>
          <w:trHeight w:val="20"/>
        </w:trPr>
        <w:tc>
          <w:tcPr>
            <w:tcW w:w="3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44"/>
        </w:trPr>
        <w:tc>
          <w:tcPr>
            <w:tcW w:w="3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20,703,827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2,780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10,214,470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14,391,864</w:t>
            </w:r>
          </w:p>
        </w:tc>
      </w:tr>
      <w:tr>
        <w:trPr>
          <w:trHeight w:val="20"/>
        </w:trPr>
        <w:tc>
          <w:tcPr>
            <w:tcW w:w="3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at December 31, 2019, the non-capital loss carry-forwards of $21,081,632 pertained to the following:</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Canada</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9"/>
              </w:rPr>
              <w:t>United States</w:t>
            </w: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Singapore</w:t>
            </w:r>
          </w:p>
        </w:tc>
        <w:tc>
          <w:tcPr>
            <w:tcW w:w="1280" w:type="dxa"/>
            <w:vAlign w:val="bottom"/>
          </w:tcPr>
          <w:p>
            <w:pPr>
              <w:ind w:left="420"/>
              <w:spacing w:after="0"/>
              <w:rPr>
                <w:sz w:val="20"/>
                <w:szCs w:val="20"/>
                <w:color w:val="auto"/>
              </w:rPr>
            </w:pPr>
            <w:r>
              <w:rPr>
                <w:rFonts w:ascii="Arial" w:cs="Arial" w:eastAsia="Arial" w:hAnsi="Arial"/>
                <w:sz w:val="16"/>
                <w:szCs w:val="16"/>
                <w:b w:val="1"/>
                <w:bCs w:val="1"/>
                <w:color w:val="auto"/>
              </w:rPr>
              <w:t>Tonga</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Loss carry-forwards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15,725,792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2,780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5,353,060</w:t>
            </w: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w w:val="88"/>
              </w:rPr>
              <w:t>—</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The Company files income tax returns in Canada, Singapore and the Kingdom of Tonga, and is subject to examination in these jurisdictions for all years since the Company’s inception in 2011.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12 months. As at December 31, 2020, the 2020 tax year filings for the Company and its subsidiaries (where applicable) remain unfiled and have not been assessed by the relative tax Authorities.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Subsequent Events</w:t>
      </w:r>
    </w:p>
    <w:p>
      <w:pPr>
        <w:spacing w:after="0" w:line="162" w:lineRule="exact"/>
        <w:rPr>
          <w:sz w:val="20"/>
          <w:szCs w:val="20"/>
          <w:color w:val="auto"/>
        </w:rPr>
      </w:pPr>
    </w:p>
    <w:p>
      <w:pPr>
        <w:ind w:left="460" w:right="679" w:firstLine="432"/>
        <w:spacing w:after="0" w:line="286" w:lineRule="auto"/>
        <w:rPr>
          <w:sz w:val="20"/>
          <w:szCs w:val="20"/>
          <w:color w:val="auto"/>
        </w:rPr>
      </w:pPr>
      <w:r>
        <w:rPr>
          <w:rFonts w:ascii="Arial" w:cs="Arial" w:eastAsia="Arial" w:hAnsi="Arial"/>
          <w:sz w:val="17"/>
          <w:szCs w:val="17"/>
          <w:color w:val="auto"/>
        </w:rPr>
        <w:t>In preparing the consolidated financial statements for the year ended December 31, 2020, the Company has evaluated subsequent events for recognition and disclosure through March 26, 2021, the date that these consolidated financial statements and accompanying notes were available for issuance.</w:t>
      </w:r>
    </w:p>
    <w:p>
      <w:pPr>
        <w:spacing w:after="0" w:line="84" w:lineRule="exact"/>
        <w:rPr>
          <w:sz w:val="20"/>
          <w:szCs w:val="20"/>
          <w:color w:val="auto"/>
        </w:rPr>
      </w:pPr>
    </w:p>
    <w:p>
      <w:pPr>
        <w:ind w:left="1320" w:right="499" w:hanging="434"/>
        <w:spacing w:after="0" w:line="275" w:lineRule="auto"/>
        <w:tabs>
          <w:tab w:leader="none" w:pos="129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On January 27, 2021, the Company signed a Letter of Intent (“LOI”) with Sustainable Opportunities Acquisition Corporation (“SOAC”), a NYSE listed Special Purpose Acquisition Corporation (“SPAC”), for a proposed business combination (“Business Combination”) in which SOAC would merge with DeepGreen pursuant to a proposed combination and relisting on NASDAQ. The new entity will be renamed The Metals Company in connection with the merger.</w:t>
      </w:r>
    </w:p>
    <w:p>
      <w:pPr>
        <w:spacing w:after="0" w:line="109" w:lineRule="exact"/>
        <w:rPr>
          <w:sz w:val="20"/>
          <w:szCs w:val="20"/>
          <w:color w:val="auto"/>
        </w:rPr>
      </w:pPr>
    </w:p>
    <w:p>
      <w:pPr>
        <w:ind w:left="1320" w:right="639"/>
        <w:spacing w:after="0" w:line="270" w:lineRule="auto"/>
        <w:rPr>
          <w:sz w:val="20"/>
          <w:szCs w:val="20"/>
          <w:color w:val="auto"/>
        </w:rPr>
      </w:pPr>
      <w:r>
        <w:rPr>
          <w:rFonts w:ascii="Arial" w:cs="Arial" w:eastAsia="Arial" w:hAnsi="Arial"/>
          <w:sz w:val="17"/>
          <w:szCs w:val="17"/>
          <w:color w:val="auto"/>
        </w:rPr>
        <w:t>The Parties to the LOI have granted mutual exclusivity of 30 days to complete transaction due diligence and commence marketing to potential PIPE investors in connection with the transaction. SOAC currently holds approximately $300 million in treasury and the parties expect to raise an additional $330 million in PIPE funds. The proposed structure contemplates that on completion, DeepGreen shareholders would hold approximately 77% of The Metals Company, PIPE Investors approximately11% and SOAC investors approximately 10% and SOAC Sponsors approximately 2%. Certain DeepGreen Shareholders would be subject to a customary lock up arrangement for a period of up to 12 months or once certain trading conditions of The Metals Company have been met.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7" w:name="page248"/>
    <w:bookmarkEnd w:id="2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Subsequent Events </w:t>
      </w:r>
      <w:r>
        <w:rPr>
          <w:rFonts w:ascii="Arial" w:cs="Arial" w:eastAsia="Arial" w:hAnsi="Arial"/>
          <w:sz w:val="18"/>
          <w:szCs w:val="18"/>
          <w:color w:val="auto"/>
        </w:rPr>
        <w:t>(cont.)</w:t>
      </w:r>
    </w:p>
    <w:p>
      <w:pPr>
        <w:spacing w:after="0" w:line="202" w:lineRule="exact"/>
        <w:rPr>
          <w:sz w:val="20"/>
          <w:szCs w:val="20"/>
          <w:color w:val="auto"/>
        </w:rPr>
      </w:pPr>
    </w:p>
    <w:p>
      <w:pPr>
        <w:jc w:val="both"/>
        <w:ind w:left="1320" w:right="519"/>
        <w:spacing w:after="0" w:line="259" w:lineRule="auto"/>
        <w:rPr>
          <w:sz w:val="20"/>
          <w:szCs w:val="20"/>
          <w:color w:val="auto"/>
        </w:rPr>
      </w:pPr>
      <w:r>
        <w:rPr>
          <w:rFonts w:ascii="Arial" w:cs="Arial" w:eastAsia="Arial" w:hAnsi="Arial"/>
          <w:sz w:val="18"/>
          <w:szCs w:val="18"/>
          <w:color w:val="auto"/>
        </w:rPr>
        <w:t>In addition to the share-based consideration in SOAC, each DeepGreen shareholder would receive incentive shares (the “Incentive Shares”). These Incentive Shares would vest and be issued to each DeepGreen Shareholder when The Metals Company’s share price trades above certain thresholds as follows:</w:t>
      </w:r>
    </w:p>
    <w:p>
      <w:pPr>
        <w:spacing w:after="0" w:line="200" w:lineRule="exact"/>
        <w:rPr>
          <w:sz w:val="20"/>
          <w:szCs w:val="20"/>
          <w:color w:val="auto"/>
        </w:rPr>
      </w:pPr>
    </w:p>
    <w:p>
      <w:pPr>
        <w:spacing w:after="0" w:line="244" w:lineRule="exact"/>
        <w:rPr>
          <w:sz w:val="20"/>
          <w:szCs w:val="20"/>
          <w:color w:val="auto"/>
        </w:rPr>
      </w:pPr>
    </w:p>
    <w:tbl>
      <w:tblPr>
        <w:tblLayout w:type="fixed"/>
        <w:tblInd w:w="1280" w:type="dxa"/>
        <w:tblCellMar>
          <w:top w:w="0" w:type="dxa"/>
          <w:left w:w="0" w:type="dxa"/>
          <w:bottom w:w="0" w:type="dxa"/>
          <w:right w:w="0" w:type="dxa"/>
        </w:tblCellMar>
      </w:tblPr>
      <w:tr>
        <w:trPr>
          <w:trHeight w:val="26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 ($)</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2120" w:type="dxa"/>
            <w:vAlign w:val="bottom"/>
          </w:tcPr>
          <w:p>
            <w:pPr>
              <w:spacing w:after="0"/>
              <w:rPr>
                <w:sz w:val="20"/>
                <w:szCs w:val="20"/>
                <w:color w:val="auto"/>
              </w:rPr>
            </w:pPr>
            <w:r>
              <w:rPr>
                <w:rFonts w:ascii="Arial" w:cs="Arial" w:eastAsia="Arial" w:hAnsi="Arial"/>
                <w:sz w:val="18"/>
                <w:szCs w:val="18"/>
                <w:color w:val="auto"/>
              </w:rPr>
              <w:t>Incentive Shares (mil)</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left="1320" w:right="599"/>
        <w:spacing w:after="0" w:line="342" w:lineRule="auto"/>
        <w:rPr>
          <w:sz w:val="20"/>
          <w:szCs w:val="20"/>
          <w:color w:val="auto"/>
        </w:rPr>
      </w:pPr>
      <w:r>
        <w:rPr>
          <w:rFonts w:ascii="Arial" w:cs="Arial" w:eastAsia="Arial" w:hAnsi="Arial"/>
          <w:sz w:val="16"/>
          <w:szCs w:val="16"/>
          <w:color w:val="auto"/>
        </w:rPr>
        <w:t>Similarly, in connection with the transaction, the SOAC sponsors will also be entitled to additional 0.5 million Incentive Shares when the share price of The Metals Company trades at $50.00.</w:t>
      </w:r>
    </w:p>
    <w:p>
      <w:pPr>
        <w:spacing w:after="0" w:line="56" w:lineRule="exact"/>
        <w:rPr>
          <w:sz w:val="20"/>
          <w:szCs w:val="20"/>
          <w:color w:val="auto"/>
        </w:rPr>
      </w:pPr>
    </w:p>
    <w:p>
      <w:pPr>
        <w:jc w:val="both"/>
        <w:ind w:left="1320" w:right="979"/>
        <w:spacing w:after="0" w:line="263" w:lineRule="auto"/>
        <w:rPr>
          <w:sz w:val="20"/>
          <w:szCs w:val="20"/>
          <w:color w:val="auto"/>
        </w:rPr>
      </w:pPr>
      <w:r>
        <w:rPr>
          <w:rFonts w:ascii="Arial" w:cs="Arial" w:eastAsia="Arial" w:hAnsi="Arial"/>
          <w:sz w:val="18"/>
          <w:szCs w:val="18"/>
          <w:color w:val="auto"/>
        </w:rPr>
        <w:t>In connection with the proposal, SOAC, a Cayman entity, proposes to redomicile to Canada. Accordingly, DeepGreen would amalgamate and remain a Canadian entity, being listed in the United States on the NASDAQ.</w:t>
      </w:r>
    </w:p>
    <w:p>
      <w:pPr>
        <w:spacing w:after="0" w:line="116" w:lineRule="exact"/>
        <w:rPr>
          <w:sz w:val="20"/>
          <w:szCs w:val="20"/>
          <w:color w:val="auto"/>
        </w:rPr>
      </w:pPr>
    </w:p>
    <w:p>
      <w:pPr>
        <w:ind w:left="1320" w:right="759"/>
        <w:spacing w:after="0" w:line="277" w:lineRule="auto"/>
        <w:rPr>
          <w:sz w:val="20"/>
          <w:szCs w:val="20"/>
          <w:color w:val="auto"/>
        </w:rPr>
      </w:pPr>
      <w:r>
        <w:rPr>
          <w:rFonts w:ascii="Arial" w:cs="Arial" w:eastAsia="Arial" w:hAnsi="Arial"/>
          <w:sz w:val="18"/>
          <w:szCs w:val="18"/>
          <w:color w:val="auto"/>
        </w:rPr>
        <w:t>The Company and SOAC finalized the Business Combination agreement on March 4, 2021. The parties are currently evaluating the accounting impact of the transaction.</w:t>
      </w:r>
    </w:p>
    <w:p>
      <w:pPr>
        <w:spacing w:after="0" w:line="89" w:lineRule="exact"/>
        <w:rPr>
          <w:sz w:val="20"/>
          <w:szCs w:val="20"/>
          <w:color w:val="auto"/>
        </w:rPr>
      </w:pPr>
    </w:p>
    <w:p>
      <w:pPr>
        <w:ind w:left="1320" w:right="499" w:hanging="434"/>
        <w:spacing w:after="0" w:line="311" w:lineRule="auto"/>
        <w:tabs>
          <w:tab w:leader="none" w:pos="129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Company made a payment of $1,250,000 on January 26, 2021, and $440,000 on February 26, 2021 to Deep Sea in connection with the deferred consideration related to TOML Acquisition (Note 3). The Company has committed to making the remaining payment of $1,750,000 by June 30, 2021.</w:t>
      </w:r>
    </w:p>
    <w:p>
      <w:pPr>
        <w:spacing w:after="0" w:line="81" w:lineRule="exact"/>
        <w:rPr>
          <w:rFonts w:ascii="Arial" w:cs="Arial" w:eastAsia="Arial" w:hAnsi="Arial"/>
          <w:sz w:val="16"/>
          <w:szCs w:val="16"/>
          <w:color w:val="auto"/>
        </w:rPr>
      </w:pPr>
    </w:p>
    <w:p>
      <w:pPr>
        <w:ind w:left="1320" w:right="479" w:hanging="434"/>
        <w:spacing w:after="0" w:line="308" w:lineRule="auto"/>
        <w:tabs>
          <w:tab w:leader="none" w:pos="129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On January 29, 2021, 1,800,000 incentive stock options, with exercise price of $0.75 per share, were exercised by the Company’s directors and officers for total proceeds of $1,350,000.</w:t>
      </w:r>
    </w:p>
    <w:p>
      <w:pPr>
        <w:spacing w:after="0" w:line="78" w:lineRule="exact"/>
        <w:rPr>
          <w:rFonts w:ascii="Arial" w:cs="Arial" w:eastAsia="Arial" w:hAnsi="Arial"/>
          <w:sz w:val="17"/>
          <w:szCs w:val="17"/>
          <w:color w:val="auto"/>
        </w:rPr>
      </w:pPr>
    </w:p>
    <w:p>
      <w:pPr>
        <w:ind w:left="1320" w:right="599" w:hanging="434"/>
        <w:spacing w:after="0" w:line="259" w:lineRule="auto"/>
        <w:tabs>
          <w:tab w:leader="none" w:pos="129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 February 17, 2021, the Company granted a total of 490,666 incentive stock options to certain directors and non-employees. These options have an exercise price of between $0.25 per share and $0.75 per share, vested immediately upon grant, and expire between February 17, 2026 and February 26, 2026.</w:t>
      </w:r>
    </w:p>
    <w:p>
      <w:pPr>
        <w:spacing w:after="0" w:line="105" w:lineRule="exact"/>
        <w:rPr>
          <w:rFonts w:ascii="Arial" w:cs="Arial" w:eastAsia="Arial" w:hAnsi="Arial"/>
          <w:sz w:val="18"/>
          <w:szCs w:val="18"/>
          <w:color w:val="auto"/>
        </w:rPr>
      </w:pPr>
    </w:p>
    <w:p>
      <w:pPr>
        <w:ind w:left="1320" w:right="539" w:hanging="434"/>
        <w:spacing w:after="0" w:line="263" w:lineRule="auto"/>
        <w:tabs>
          <w:tab w:leader="none" w:pos="129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 February 26, 2021, the Company granted a total of 40,400 incentive stock options to a consultant. These options have an exercise price between $0.25 per share, vested immediately upon grant, and expire on February 26, 2026.</w:t>
      </w:r>
    </w:p>
    <w:p>
      <w:pPr>
        <w:spacing w:after="0" w:line="116" w:lineRule="exact"/>
        <w:rPr>
          <w:rFonts w:ascii="Arial" w:cs="Arial" w:eastAsia="Arial" w:hAnsi="Arial"/>
          <w:sz w:val="18"/>
          <w:szCs w:val="18"/>
          <w:color w:val="auto"/>
        </w:rPr>
      </w:pPr>
    </w:p>
    <w:p>
      <w:pPr>
        <w:ind w:left="1320" w:right="519" w:hanging="434"/>
        <w:spacing w:after="0" w:line="293" w:lineRule="auto"/>
        <w:tabs>
          <w:tab w:leader="none" w:pos="129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During February 2021, the Company raised a total of $26 million through convertible debentures financing. The convertible debentures bear interest at the rate of 7.0% per annum, compounded annually, with maturity date that is 24 months from the date of the financing. The debentures can be converted into shares of the Company at anytime at the conversion price of $10 per share. Unless any interest is converted prior to the maturity date, all accrued and unpaid interest shall be payable at the maturity date in common shares of the Company at a conversion price of $10 per share.</w:t>
      </w:r>
    </w:p>
    <w:p>
      <w:pPr>
        <w:spacing w:after="0" w:line="97" w:lineRule="exact"/>
        <w:rPr>
          <w:sz w:val="20"/>
          <w:szCs w:val="20"/>
          <w:color w:val="auto"/>
        </w:rPr>
      </w:pPr>
    </w:p>
    <w:p>
      <w:pPr>
        <w:ind w:left="1320" w:right="499"/>
        <w:spacing w:after="0" w:line="254" w:lineRule="auto"/>
        <w:rPr>
          <w:sz w:val="20"/>
          <w:szCs w:val="20"/>
          <w:color w:val="auto"/>
        </w:rPr>
      </w:pPr>
      <w:r>
        <w:rPr>
          <w:rFonts w:ascii="Arial" w:cs="Arial" w:eastAsia="Arial" w:hAnsi="Arial"/>
          <w:sz w:val="18"/>
          <w:szCs w:val="18"/>
          <w:color w:val="auto"/>
        </w:rPr>
        <w:t>In the event that the Company completes a SPAC transaction or a change of control transaction at any time prior to the maturity date, the debenture value will be automatically converted into the common shares at the conversion price immediately prior to the SPAC or change of control transaction. If the debentures, or any portion thereof, is not converted by the holder upon the earlier of the maturity date or the completion of the SPAC of change of control transaction, the outstanding debenture value will automatically convert into the common shares of the Company at the conversion price of $10 per share.</w:t>
      </w:r>
    </w:p>
    <w:p>
      <w:pPr>
        <w:spacing w:after="0" w:line="114" w:lineRule="exact"/>
        <w:rPr>
          <w:sz w:val="20"/>
          <w:szCs w:val="20"/>
          <w:color w:val="auto"/>
        </w:rPr>
      </w:pPr>
    </w:p>
    <w:p>
      <w:pPr>
        <w:ind w:left="1320" w:right="639"/>
        <w:spacing w:after="0" w:line="277" w:lineRule="auto"/>
        <w:rPr>
          <w:sz w:val="20"/>
          <w:szCs w:val="20"/>
          <w:color w:val="auto"/>
        </w:rPr>
      </w:pPr>
      <w:r>
        <w:rPr>
          <w:rFonts w:ascii="Arial" w:cs="Arial" w:eastAsia="Arial" w:hAnsi="Arial"/>
          <w:sz w:val="18"/>
          <w:szCs w:val="18"/>
          <w:color w:val="auto"/>
        </w:rPr>
        <w:t>On February 18, 2021, debentures totalling $500,000 were converted to 50,000 common shares of the Company.</w:t>
      </w:r>
    </w:p>
    <w:p>
      <w:pPr>
        <w:spacing w:after="0" w:line="103" w:lineRule="exact"/>
        <w:rPr>
          <w:sz w:val="20"/>
          <w:szCs w:val="20"/>
          <w:color w:val="auto"/>
        </w:rPr>
      </w:pPr>
    </w:p>
    <w:p>
      <w:pPr>
        <w:ind w:left="1320" w:right="539" w:hanging="434"/>
        <w:spacing w:after="0" w:line="311" w:lineRule="auto"/>
        <w:tabs>
          <w:tab w:leader="none" w:pos="129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On March 1, 2021, the Company issued 3,666,267 Common Shares to Maersk to settle the invoiced amount of $4,582,834 with respect to the use of the marine vessel. Of the total invoice amount, $4,471,595 pertained to the marine cruises undertaken during the year ended December 31, 2020.</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8" w:name="page249"/>
    <w:bookmarkEnd w:id="2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Subsequent Events </w:t>
      </w:r>
      <w:r>
        <w:rPr>
          <w:rFonts w:ascii="Arial" w:cs="Arial" w:eastAsia="Arial" w:hAnsi="Arial"/>
          <w:sz w:val="18"/>
          <w:szCs w:val="18"/>
          <w:color w:val="auto"/>
        </w:rPr>
        <w:t>(cont.)</w:t>
      </w:r>
    </w:p>
    <w:p>
      <w:pPr>
        <w:spacing w:after="0" w:line="202" w:lineRule="exact"/>
        <w:rPr>
          <w:sz w:val="20"/>
          <w:szCs w:val="20"/>
          <w:color w:val="auto"/>
        </w:rPr>
      </w:pPr>
    </w:p>
    <w:p>
      <w:pPr>
        <w:ind w:left="1320" w:right="579"/>
        <w:spacing w:after="0" w:line="279" w:lineRule="auto"/>
        <w:rPr>
          <w:sz w:val="20"/>
          <w:szCs w:val="20"/>
          <w:color w:val="auto"/>
        </w:rPr>
      </w:pPr>
      <w:r>
        <w:rPr>
          <w:rFonts w:ascii="Arial" w:cs="Arial" w:eastAsia="Arial" w:hAnsi="Arial"/>
          <w:sz w:val="17"/>
          <w:szCs w:val="17"/>
          <w:color w:val="auto"/>
        </w:rPr>
        <w:t>On March 4, 2021, the agreement with Maersk was amended whereby all future costs pertaining to the use of the marine vessel would be paid in cash rather than through issuance of the Common Shares of the Company. The amended agreement is in place until early 2022, at which point the parties will finalize the potential offshore engagement beyond 2022.</w:t>
      </w:r>
    </w:p>
    <w:p>
      <w:pPr>
        <w:spacing w:after="0" w:line="90" w:lineRule="exact"/>
        <w:rPr>
          <w:sz w:val="20"/>
          <w:szCs w:val="20"/>
          <w:color w:val="auto"/>
        </w:rPr>
      </w:pPr>
    </w:p>
    <w:p>
      <w:pPr>
        <w:ind w:left="1320" w:right="539" w:hanging="434"/>
        <w:spacing w:after="0" w:line="259" w:lineRule="auto"/>
        <w:tabs>
          <w:tab w:leader="none" w:pos="129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On March 4, 2021, the Company granted 4,973,237 incentive stock options to certain employees, directors and consultants under the Company’s short-term incentive payment plan (the “STIP”), as well as 8,450,000 incentive stock options to the same individuals under its long-term incentive plan (the “LTIP”).</w:t>
      </w:r>
    </w:p>
    <w:p>
      <w:pPr>
        <w:spacing w:after="0" w:line="119" w:lineRule="exact"/>
        <w:rPr>
          <w:sz w:val="20"/>
          <w:szCs w:val="20"/>
          <w:color w:val="auto"/>
        </w:rPr>
      </w:pPr>
    </w:p>
    <w:p>
      <w:pPr>
        <w:ind w:left="1320" w:right="479"/>
        <w:spacing w:after="0" w:line="381" w:lineRule="auto"/>
        <w:rPr>
          <w:sz w:val="20"/>
          <w:szCs w:val="20"/>
          <w:color w:val="auto"/>
        </w:rPr>
      </w:pPr>
      <w:r>
        <w:rPr>
          <w:rFonts w:ascii="Arial" w:cs="Arial" w:eastAsia="Arial" w:hAnsi="Arial"/>
          <w:sz w:val="15"/>
          <w:szCs w:val="15"/>
          <w:color w:val="auto"/>
        </w:rPr>
        <w:t>The stock options granted under the STIP expire on June 1, 2028, have and exercise prices ranging between $0.75 per share and $3.60 per share, and have vesting periods to a maximum of three years.</w:t>
      </w:r>
    </w:p>
    <w:p>
      <w:pPr>
        <w:spacing w:after="0" w:line="33" w:lineRule="exact"/>
        <w:rPr>
          <w:sz w:val="20"/>
          <w:szCs w:val="20"/>
          <w:color w:val="auto"/>
        </w:rPr>
      </w:pPr>
    </w:p>
    <w:p>
      <w:pPr>
        <w:ind w:left="1320" w:right="539"/>
        <w:spacing w:after="0" w:line="255" w:lineRule="auto"/>
        <w:rPr>
          <w:sz w:val="20"/>
          <w:szCs w:val="20"/>
          <w:color w:val="auto"/>
        </w:rPr>
      </w:pPr>
      <w:r>
        <w:rPr>
          <w:rFonts w:ascii="Arial" w:cs="Arial" w:eastAsia="Arial" w:hAnsi="Arial"/>
          <w:sz w:val="18"/>
          <w:szCs w:val="18"/>
          <w:color w:val="auto"/>
        </w:rPr>
        <w:t>The stock options granted under the LTIP have an exercise price of $0.75 per share and expire on June 1, 2028. These options vest based on performance conditions as follows: 25% when the Company’s market capitalization equals $3 billion, 35% when the Company’s market capitalization equals $6 billion, 20% upon the date the ISA grants an exploitation contract to the Company, and 20% upon the commencement of commercial production following the grant of the exploitation contract.</w:t>
      </w:r>
    </w:p>
    <w:p>
      <w:pPr>
        <w:spacing w:after="0" w:line="111" w:lineRule="exact"/>
        <w:rPr>
          <w:sz w:val="20"/>
          <w:szCs w:val="20"/>
          <w:color w:val="auto"/>
        </w:rPr>
      </w:pPr>
    </w:p>
    <w:p>
      <w:pPr>
        <w:ind w:left="1320" w:right="479" w:hanging="434"/>
        <w:spacing w:after="0" w:line="289" w:lineRule="auto"/>
        <w:tabs>
          <w:tab w:leader="none" w:pos="129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On March 4, 2021, DeepGreen entered into an amended agreement with Allseas (the “Amendment # 3”) whereby, upon successful completion of the Business Combination, instead of issuing 10 million Common Shares to Allseas in connection with the PMTS, DeepGreen issued to Allseas a warrant to acquire 10 million DeepGreen Common Shares at a nominal value (the “Allseas Warrant”). The Allseas Warrant will vest and become exercisable upon successful completion of the PMTS and will expire on September 30, 2026. There are vesting conditions associated with the Allseas Warrant whereby a maximum of 10 million DeepGreen Common Shares would be issued if the PMTS is completed by September 30, 2023, gradually decreasing to 5 million DeepGreen Common Shares if PMTS is completed after September 30, 2025.</w:t>
      </w:r>
    </w:p>
    <w:p>
      <w:pPr>
        <w:spacing w:after="0" w:line="99" w:lineRule="exact"/>
        <w:rPr>
          <w:sz w:val="20"/>
          <w:szCs w:val="20"/>
          <w:color w:val="auto"/>
        </w:rPr>
      </w:pPr>
    </w:p>
    <w:p>
      <w:pPr>
        <w:ind w:left="1320" w:right="479"/>
        <w:spacing w:after="0" w:line="289" w:lineRule="auto"/>
        <w:rPr>
          <w:sz w:val="20"/>
          <w:szCs w:val="20"/>
          <w:color w:val="auto"/>
        </w:rPr>
      </w:pPr>
      <w:r>
        <w:rPr>
          <w:rFonts w:ascii="Arial" w:cs="Arial" w:eastAsia="Arial" w:hAnsi="Arial"/>
          <w:sz w:val="16"/>
          <w:szCs w:val="16"/>
          <w:color w:val="auto"/>
        </w:rPr>
        <w:t>The Allseas Warrant will be assumed by SOAC at the closing of the Business Combination to become a warrant to purchase The Metals Company (“TMC”) common shares, adjusted for the exchange ratio for the transaction. If the market price of the TMC common shares on June 1, 2022 is higher than $15 per share (as adjusted based on the exchange ratio for the closing of the Business Combination), the aggregate value of the shares underlying the warrant above $150 million as at June 1, 2022 will automatically become a commercial credit from Allseas to TMC equal to the excess value. This commercial credit will be effective on the vesting date of the Allseas Warrant and the Company will be able to exchange this excess value for any future goods and services from Allseas under the nodule collection and shipping contract for one year after commercial production.</w:t>
      </w:r>
    </w:p>
    <w:p>
      <w:pPr>
        <w:spacing w:after="0" w:line="99" w:lineRule="exact"/>
        <w:rPr>
          <w:sz w:val="20"/>
          <w:szCs w:val="20"/>
          <w:color w:val="auto"/>
        </w:rPr>
      </w:pPr>
    </w:p>
    <w:p>
      <w:pPr>
        <w:ind w:left="1320" w:right="539"/>
        <w:spacing w:after="0" w:line="277" w:lineRule="auto"/>
        <w:rPr>
          <w:sz w:val="20"/>
          <w:szCs w:val="20"/>
          <w:color w:val="auto"/>
        </w:rPr>
      </w:pPr>
      <w:r>
        <w:rPr>
          <w:rFonts w:ascii="Arial" w:cs="Arial" w:eastAsia="Arial" w:hAnsi="Arial"/>
          <w:sz w:val="18"/>
          <w:szCs w:val="18"/>
          <w:color w:val="auto"/>
        </w:rPr>
        <w:t>The cash payment of $30 million in the original agreement was also amended to be paid as follows, provided that the Business Combination is completed:</w:t>
      </w:r>
    </w:p>
    <w:p>
      <w:pPr>
        <w:spacing w:after="0" w:line="89" w:lineRule="exact"/>
        <w:rPr>
          <w:sz w:val="20"/>
          <w:szCs w:val="20"/>
          <w:color w:val="auto"/>
        </w:rPr>
      </w:pPr>
    </w:p>
    <w:p>
      <w:pPr>
        <w:ind w:left="2180" w:right="479" w:hanging="430"/>
        <w:spacing w:after="0" w:line="263" w:lineRule="auto"/>
        <w:tabs>
          <w:tab w:leader="none" w:pos="217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$10 million on June 30, 2021 with Allseas providing confirmation of placing an order of certain equipment and demonstrating certain progress on construction of the collector vehicle;</w:t>
      </w:r>
    </w:p>
    <w:p>
      <w:pPr>
        <w:spacing w:after="0" w:line="116" w:lineRule="exact"/>
        <w:rPr>
          <w:rFonts w:ascii="Arial" w:cs="Arial" w:eastAsia="Arial" w:hAnsi="Arial"/>
          <w:sz w:val="18"/>
          <w:szCs w:val="18"/>
          <w:color w:val="auto"/>
        </w:rPr>
      </w:pPr>
    </w:p>
    <w:p>
      <w:pPr>
        <w:ind w:left="2180" w:right="999" w:hanging="430"/>
        <w:spacing w:after="0" w:line="277" w:lineRule="auto"/>
        <w:tabs>
          <w:tab w:leader="none" w:pos="217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$10 million on the later of (i) January 1, 2022, and (ii) confirmation of successful collection of the North Sea test; and</w:t>
      </w:r>
    </w:p>
    <w:p>
      <w:pPr>
        <w:spacing w:after="0" w:line="102" w:lineRule="exact"/>
        <w:rPr>
          <w:rFonts w:ascii="Arial" w:cs="Arial" w:eastAsia="Arial" w:hAnsi="Arial"/>
          <w:sz w:val="18"/>
          <w:szCs w:val="18"/>
          <w:color w:val="auto"/>
        </w:rPr>
      </w:pPr>
    </w:p>
    <w:p>
      <w:pPr>
        <w:ind w:left="2180" w:hanging="430"/>
        <w:spacing w:after="0"/>
        <w:tabs>
          <w:tab w:leader="none" w:pos="2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$10 million upon successful completion of the PMTS.</w:t>
      </w:r>
    </w:p>
    <w:p>
      <w:pPr>
        <w:spacing w:after="0" w:line="144" w:lineRule="exact"/>
        <w:rPr>
          <w:sz w:val="20"/>
          <w:szCs w:val="20"/>
          <w:color w:val="auto"/>
        </w:rPr>
      </w:pPr>
    </w:p>
    <w:p>
      <w:pPr>
        <w:jc w:val="both"/>
        <w:ind w:left="1320" w:right="479"/>
        <w:spacing w:after="0" w:line="257" w:lineRule="auto"/>
        <w:rPr>
          <w:sz w:val="20"/>
          <w:szCs w:val="20"/>
          <w:color w:val="auto"/>
        </w:rPr>
      </w:pPr>
      <w:r>
        <w:rPr>
          <w:rFonts w:ascii="Arial" w:cs="Arial" w:eastAsia="Arial" w:hAnsi="Arial"/>
          <w:sz w:val="18"/>
          <w:szCs w:val="18"/>
          <w:color w:val="auto"/>
        </w:rPr>
        <w:t>The Amendment # 3 is not effective until the successful completion of the Business Combination. If the Business Combination is not consummated, the Allseas Warrant shall be cancelled and the rights and obligations set forth in Amendment # 3 shall not take effect and the rights and obligations under the arrangements with Allseas as in effect prior to the execution of Amendment # 3 shall continue in effect unless otherwise amended.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9" w:name="page250"/>
    <w:bookmarkEnd w:id="24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As at</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June 30</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As at</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9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10"/>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500" w:type="dxa"/>
            <w:vAlign w:val="bottom"/>
            <w:gridSpan w:val="2"/>
          </w:tcPr>
          <w:p>
            <w:pPr>
              <w:ind w:left="40"/>
              <w:spacing w:after="0"/>
              <w:rPr>
                <w:sz w:val="20"/>
                <w:szCs w:val="20"/>
                <w:color w:val="auto"/>
              </w:rPr>
            </w:pPr>
            <w:r>
              <w:rPr>
                <w:rFonts w:ascii="Arial" w:cs="Arial" w:eastAsia="Arial" w:hAnsi="Arial"/>
                <w:sz w:val="16"/>
                <w:szCs w:val="16"/>
                <w:b w:val="1"/>
                <w:bCs w:val="1"/>
                <w:color w:val="auto"/>
              </w:rPr>
              <w:t>Note</w:t>
            </w:r>
          </w:p>
        </w:tc>
        <w:tc>
          <w:tcPr>
            <w:tcW w:w="1000" w:type="dxa"/>
            <w:vAlign w:val="bottom"/>
          </w:tcPr>
          <w:p>
            <w:pPr>
              <w:jc w:val="right"/>
              <w:ind w:right="31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left="71"/>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16,880,031</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10,096,205</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Receivables and prepayments</w:t>
            </w: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55,116</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128,772</w:t>
            </w:r>
          </w:p>
        </w:tc>
        <w:tc>
          <w:tcPr>
            <w:tcW w:w="0" w:type="dxa"/>
            <w:vAlign w:val="bottom"/>
          </w:tcPr>
          <w:p>
            <w:pPr>
              <w:spacing w:after="0"/>
              <w:rPr>
                <w:sz w:val="1"/>
                <w:szCs w:val="1"/>
                <w:color w:val="auto"/>
              </w:rPr>
            </w:pPr>
          </w:p>
        </w:tc>
      </w:tr>
      <w:tr>
        <w:trPr>
          <w:trHeight w:val="228"/>
        </w:trPr>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16,935,147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10,224,977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Exploration licenses</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43,150,319</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43,150,319</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1,515,101</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1,309,677</w:t>
            </w:r>
          </w:p>
        </w:tc>
        <w:tc>
          <w:tcPr>
            <w:tcW w:w="0" w:type="dxa"/>
            <w:vAlign w:val="bottom"/>
          </w:tcPr>
          <w:p>
            <w:pPr>
              <w:spacing w:after="0"/>
              <w:rPr>
                <w:sz w:val="1"/>
                <w:szCs w:val="1"/>
                <w:color w:val="auto"/>
              </w:rPr>
            </w:pPr>
          </w:p>
        </w:tc>
      </w:tr>
      <w:tr>
        <w:trPr>
          <w:trHeight w:val="228"/>
        </w:trPr>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44,665,420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44,459,996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61,600,567</w:t>
            </w:r>
          </w:p>
        </w:tc>
        <w:tc>
          <w:tcPr>
            <w:tcW w:w="8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54,684,973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9,033,765</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4,315,477</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acquisition costs</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3,440,000</w:t>
            </w:r>
          </w:p>
        </w:tc>
        <w:tc>
          <w:tcPr>
            <w:tcW w:w="0" w:type="dxa"/>
            <w:vAlign w:val="bottom"/>
          </w:tcPr>
          <w:p>
            <w:pPr>
              <w:spacing w:after="0"/>
              <w:rPr>
                <w:sz w:val="1"/>
                <w:szCs w:val="1"/>
                <w:color w:val="auto"/>
              </w:rPr>
            </w:pPr>
          </w:p>
        </w:tc>
      </w:tr>
      <w:tr>
        <w:trPr>
          <w:trHeight w:val="228"/>
        </w:trPr>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9,033,765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7,755,477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Convertible debentures</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26,160,589</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10,675,366</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10,675,366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45,869,720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18,430,843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b w:val="1"/>
                <w:bCs w:val="1"/>
                <w:i w:val="1"/>
                <w:iCs w:val="1"/>
                <w:color w:val="auto"/>
              </w:rPr>
              <w:t>(unlimited shares, no par value – issued:</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188,900,923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170,827,222 (December 31, 2020 – 163,658,134)</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154,431,291</w:t>
            </w:r>
          </w:p>
        </w:tc>
        <w:tc>
          <w:tcPr>
            <w:tcW w:w="0" w:type="dxa"/>
            <w:vAlign w:val="bottom"/>
          </w:tcPr>
          <w:p>
            <w:pPr>
              <w:spacing w:after="0"/>
              <w:rPr>
                <w:sz w:val="1"/>
                <w:szCs w:val="1"/>
                <w:color w:val="auto"/>
              </w:rPr>
            </w:pPr>
          </w:p>
        </w:tc>
      </w:tr>
      <w:tr>
        <w:trPr>
          <w:trHeight w:val="202"/>
        </w:trPr>
        <w:tc>
          <w:tcPr>
            <w:tcW w:w="51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1"/>
              </w:rPr>
              <w:t xml:space="preserve">Preferred shares </w:t>
            </w:r>
            <w:r>
              <w:rPr>
                <w:rFonts w:ascii="Arial" w:cs="Arial" w:eastAsia="Arial" w:hAnsi="Arial"/>
                <w:sz w:val="18"/>
                <w:szCs w:val="18"/>
                <w:b w:val="1"/>
                <w:bCs w:val="1"/>
                <w:i w:val="1"/>
                <w:iCs w:val="1"/>
                <w:color w:val="auto"/>
                <w:w w:val="91"/>
              </w:rPr>
              <w:t>(unlimited share, no par value – issued: 440,000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550,000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(December 31, 2020 – 440,000)</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Additional Paid in Capital</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74,068,708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45,346,696</w:t>
            </w: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(1,215,685)</w:t>
            </w:r>
          </w:p>
        </w:tc>
        <w:tc>
          <w:tcPr>
            <w:tcW w:w="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(1,215,659)</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Deficit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(246,573,099)</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(162,858,198)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15,730,847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36,254,130</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61,600,567</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54,684,973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i w:val="1"/>
          <w:iCs w:val="1"/>
          <w:color w:val="auto"/>
        </w:rPr>
        <w:t>(Note 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(Note 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0" w:name="page251"/>
    <w:bookmarkEnd w:id="25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right="3199"/>
        <w:spacing w:after="0" w:line="250" w:lineRule="auto"/>
        <w:rPr>
          <w:sz w:val="20"/>
          <w:szCs w:val="20"/>
          <w:color w:val="auto"/>
        </w:rPr>
      </w:pPr>
      <w:r>
        <w:rPr>
          <w:rFonts w:ascii="Arial" w:cs="Arial" w:eastAsia="Arial" w:hAnsi="Arial"/>
          <w:sz w:val="18"/>
          <w:szCs w:val="18"/>
          <w:b w:val="1"/>
          <w:bCs w:val="1"/>
          <w:color w:val="auto"/>
        </w:rPr>
        <w:t>Condensed Consolidated Statements of Loss and Comprehensive Loss (Unaudited)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Dollars (except weighted average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For the</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six months</w:t>
            </w:r>
          </w:p>
        </w:tc>
        <w:tc>
          <w:tcPr>
            <w:tcW w:w="12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For the</w:t>
            </w: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ended</w:t>
            </w:r>
          </w:p>
        </w:tc>
        <w:tc>
          <w:tcPr>
            <w:tcW w:w="12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8"/>
              </w:rPr>
              <w:t>six months ended</w:t>
            </w:r>
          </w:p>
        </w:tc>
      </w:tr>
      <w:tr>
        <w:trPr>
          <w:trHeight w:val="202"/>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w:t>
            </w:r>
          </w:p>
        </w:tc>
        <w:tc>
          <w:tcPr>
            <w:tcW w:w="12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7"/>
              </w:rPr>
              <w:t>June 30</w:t>
            </w: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506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Note</w:t>
            </w: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7"/>
        </w:trPr>
        <w:tc>
          <w:tcPr>
            <w:tcW w:w="50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Exploration expenses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54,736,036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31,187,993</w:t>
            </w:r>
          </w:p>
        </w:tc>
        <w:tc>
          <w:tcPr>
            <w:tcW w:w="140" w:type="dxa"/>
            <w:vAlign w:val="bottom"/>
          </w:tcPr>
          <w:p>
            <w:pPr>
              <w:spacing w:after="0"/>
              <w:rPr>
                <w:sz w:val="21"/>
                <w:szCs w:val="21"/>
                <w:color w:val="auto"/>
              </w:rPr>
            </w:pP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Consulting fees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1,039,425</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350,591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Investor relations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2,582,554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293,882</w:t>
            </w:r>
          </w:p>
        </w:tc>
        <w:tc>
          <w:tcPr>
            <w:tcW w:w="140" w:type="dxa"/>
            <w:vAlign w:val="bottom"/>
          </w:tcPr>
          <w:p>
            <w:pPr>
              <w:spacing w:after="0"/>
              <w:rPr>
                <w:sz w:val="21"/>
                <w:szCs w:val="21"/>
                <w:color w:val="auto"/>
              </w:rPr>
            </w:pPr>
          </w:p>
        </w:tc>
      </w:tr>
      <w:tr>
        <w:trPr>
          <w:trHeight w:val="41"/>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Office and sundry</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209,518</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149,037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4,695,779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116,849</w:t>
            </w:r>
          </w:p>
        </w:tc>
        <w:tc>
          <w:tcPr>
            <w:tcW w:w="140" w:type="dxa"/>
            <w:vAlign w:val="bottom"/>
          </w:tcPr>
          <w:p>
            <w:pPr>
              <w:spacing w:after="0"/>
              <w:rPr>
                <w:sz w:val="21"/>
                <w:szCs w:val="21"/>
                <w:color w:val="auto"/>
              </w:rPr>
            </w:pP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wages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731,098</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467,852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Director fees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155,034</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111,130</w:t>
            </w: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options-based payments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18,684,122</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33,760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Transfer agent and filing fees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3,280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3,948</w:t>
            </w:r>
          </w:p>
        </w:tc>
        <w:tc>
          <w:tcPr>
            <w:tcW w:w="140" w:type="dxa"/>
            <w:vAlign w:val="bottom"/>
          </w:tcPr>
          <w:p>
            <w:pPr>
              <w:spacing w:after="0"/>
              <w:rPr>
                <w:sz w:val="21"/>
                <w:szCs w:val="21"/>
                <w:color w:val="auto"/>
              </w:rPr>
            </w:pPr>
          </w:p>
        </w:tc>
      </w:tr>
      <w:tr>
        <w:trPr>
          <w:trHeight w:val="41"/>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164,963</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99,170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28"/>
        </w:trPr>
        <w:tc>
          <w:tcPr>
            <w:tcW w:w="5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83,001,809</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32,814,212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items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Foreign exchange loss (gain)</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52,503</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(3,089)</w:t>
            </w: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(income)</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660,589</w:t>
            </w: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(50,918)</w:t>
            </w:r>
          </w:p>
        </w:tc>
      </w:tr>
      <w:tr>
        <w:trPr>
          <w:trHeight w:val="228"/>
        </w:trPr>
        <w:tc>
          <w:tcPr>
            <w:tcW w:w="506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83,714,901</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32,760,205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198"/>
        </w:trPr>
        <w:tc>
          <w:tcPr>
            <w:tcW w:w="506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Other comprehensive income to be reclassified to profit and loss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060" w:type="dxa"/>
            <w:vAlign w:val="bottom"/>
          </w:tcPr>
          <w:p>
            <w:pPr>
              <w:ind w:left="180"/>
              <w:spacing w:after="0"/>
              <w:rPr>
                <w:sz w:val="20"/>
                <w:szCs w:val="20"/>
                <w:color w:val="auto"/>
              </w:rPr>
            </w:pPr>
            <w:r>
              <w:rPr>
                <w:rFonts w:ascii="Arial" w:cs="Arial" w:eastAsia="Arial" w:hAnsi="Arial"/>
                <w:sz w:val="18"/>
                <w:szCs w:val="18"/>
                <w:b w:val="1"/>
                <w:bCs w:val="1"/>
                <w:color w:val="auto"/>
              </w:rPr>
              <w:t>in subsequent periods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loss (gain)</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b w:val="1"/>
                <w:bCs w:val="1"/>
                <w:color w:val="auto"/>
              </w:rPr>
              <w:t>Comprehensive loss for the period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83,714,927</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32,760,449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5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0.50</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0.22</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167,943,190</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146,970,289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1" w:name="page252"/>
    <w:bookmarkEnd w:id="25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For the</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7"/>
              </w:rPr>
              <w:t>six months</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For the</w:t>
            </w: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ended</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six months ended</w:t>
            </w: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June 30</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June 30</w:t>
            </w:r>
          </w:p>
        </w:tc>
      </w:tr>
      <w:tr>
        <w:trPr>
          <w:trHeight w:val="203"/>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9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r>
      <w:tr>
        <w:trPr>
          <w:trHeight w:val="210"/>
        </w:trPr>
        <w:tc>
          <w:tcPr>
            <w:tcW w:w="506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6"/>
                <w:szCs w:val="16"/>
                <w:b w:val="1"/>
                <w:bCs w:val="1"/>
                <w:color w:val="auto"/>
              </w:rPr>
              <w:t>Note</w:t>
            </w:r>
          </w:p>
        </w:tc>
        <w:tc>
          <w:tcPr>
            <w:tcW w:w="1000" w:type="dxa"/>
            <w:vAlign w:val="bottom"/>
          </w:tcPr>
          <w:p>
            <w:pPr>
              <w:jc w:val="right"/>
              <w:ind w:right="31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r>
      <w:tr>
        <w:trPr>
          <w:trHeight w:val="47"/>
        </w:trPr>
        <w:tc>
          <w:tcPr>
            <w:tcW w:w="50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resources provided by (used in)</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83"/>
        </w:trPr>
        <w:tc>
          <w:tcPr>
            <w:tcW w:w="5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Loss for the period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(83,714,901)</w:t>
            </w:r>
          </w:p>
        </w:tc>
        <w:tc>
          <w:tcPr>
            <w:tcW w:w="8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(32,760,205)</w:t>
            </w:r>
          </w:p>
        </w:tc>
      </w:tr>
      <w:tr>
        <w:trPr>
          <w:trHeight w:val="41"/>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Items not affecting cash:</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196,452</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280,528</w:t>
            </w: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Expenses settled in share-based payments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60,128,488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13,128,234</w:t>
            </w:r>
          </w:p>
        </w:tc>
      </w:tr>
      <w:tr>
        <w:trPr>
          <w:trHeight w:val="243"/>
        </w:trPr>
        <w:tc>
          <w:tcPr>
            <w:tcW w:w="5060" w:type="dxa"/>
            <w:vAlign w:val="bottom"/>
          </w:tcPr>
          <w:p>
            <w:pPr>
              <w:ind w:left="360"/>
              <w:spacing w:after="0"/>
              <w:rPr>
                <w:sz w:val="20"/>
                <w:szCs w:val="20"/>
                <w:color w:val="auto"/>
              </w:rPr>
            </w:pPr>
            <w:r>
              <w:rPr>
                <w:rFonts w:ascii="Arial" w:cs="Arial" w:eastAsia="Arial" w:hAnsi="Arial"/>
                <w:sz w:val="18"/>
                <w:szCs w:val="18"/>
                <w:color w:val="auto"/>
              </w:rPr>
              <w:t>Unrealized foreign exchange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(8,030)</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3,817</w:t>
            </w: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non-cash working capital</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73,656</w:t>
            </w:r>
          </w:p>
        </w:tc>
        <w:tc>
          <w:tcPr>
            <w:tcW w:w="8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(42,279)</w:t>
            </w:r>
          </w:p>
        </w:tc>
      </w:tr>
      <w:tr>
        <w:trPr>
          <w:trHeight w:val="41"/>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4,718,288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1,762,030</w:t>
            </w:r>
          </w:p>
        </w:tc>
      </w:tr>
      <w:tr>
        <w:trPr>
          <w:trHeight w:val="257"/>
        </w:trPr>
        <w:tc>
          <w:tcPr>
            <w:tcW w:w="5060" w:type="dxa"/>
            <w:vAlign w:val="bottom"/>
          </w:tcPr>
          <w:p>
            <w:pPr>
              <w:ind w:left="180"/>
              <w:spacing w:after="0"/>
              <w:rPr>
                <w:sz w:val="20"/>
                <w:szCs w:val="20"/>
                <w:color w:val="auto"/>
              </w:rPr>
            </w:pPr>
            <w:r>
              <w:rPr>
                <w:rFonts w:ascii="Arial" w:cs="Arial" w:eastAsia="Arial" w:hAnsi="Arial"/>
                <w:sz w:val="18"/>
                <w:szCs w:val="18"/>
                <w:color w:val="auto"/>
              </w:rPr>
              <w:t>Interest on convertible debentures and investments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660,589</w:t>
            </w:r>
          </w:p>
        </w:tc>
        <w:tc>
          <w:tcPr>
            <w:tcW w:w="80" w:type="dxa"/>
            <w:vAlign w:val="bottom"/>
          </w:tcPr>
          <w:p>
            <w:pPr>
              <w:spacing w:after="0"/>
              <w:rPr>
                <w:sz w:val="22"/>
                <w:szCs w:val="22"/>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50,918</w:t>
            </w:r>
          </w:p>
        </w:tc>
      </w:tr>
      <w:tr>
        <w:trPr>
          <w:trHeight w:val="27"/>
        </w:trPr>
        <w:tc>
          <w:tcPr>
            <w:tcW w:w="5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(17,945,458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(17,576,957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37"/>
        </w:trPr>
        <w:tc>
          <w:tcPr>
            <w:tcW w:w="5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exploration license</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(3,440,000)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(607,376)</w:t>
            </w: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Acquisition of equipment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(401,876)</w:t>
            </w:r>
          </w:p>
        </w:tc>
        <w:tc>
          <w:tcPr>
            <w:tcW w:w="80" w:type="dxa"/>
            <w:vAlign w:val="bottom"/>
          </w:tcPr>
          <w:p>
            <w:pPr>
              <w:spacing w:after="0"/>
              <w:rPr>
                <w:sz w:val="22"/>
                <w:szCs w:val="22"/>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(3,841,876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(607,376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37"/>
        </w:trPr>
        <w:tc>
          <w:tcPr>
            <w:tcW w:w="5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2,563,156</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Proceeds from issuance of convertible debentures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26,000,000</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issuance of common shares (net of fees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costs)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11,842,521</w:t>
            </w:r>
          </w:p>
        </w:tc>
      </w:tr>
      <w:tr>
        <w:trPr>
          <w:trHeight w:val="20"/>
        </w:trPr>
        <w:tc>
          <w:tcPr>
            <w:tcW w:w="5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28,563,156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11,842,521</w:t>
            </w:r>
          </w:p>
        </w:tc>
      </w:tr>
      <w:tr>
        <w:trPr>
          <w:trHeight w:val="27"/>
        </w:trPr>
        <w:tc>
          <w:tcPr>
            <w:tcW w:w="5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6,775,822</w:t>
            </w:r>
          </w:p>
        </w:tc>
        <w:tc>
          <w:tcPr>
            <w:tcW w:w="8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(6,341,812)</w:t>
            </w:r>
          </w:p>
        </w:tc>
      </w:tr>
      <w:tr>
        <w:trPr>
          <w:trHeight w:val="40"/>
        </w:trPr>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Impact of exchange rate changes on cash and cash equivalents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8,004</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(4,060)</w:t>
            </w: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10,096,205</w:t>
            </w:r>
          </w:p>
        </w:tc>
        <w:tc>
          <w:tcPr>
            <w:tcW w:w="80" w:type="dxa"/>
            <w:vAlign w:val="bottom"/>
          </w:tcPr>
          <w:p>
            <w:pPr>
              <w:spacing w:after="0"/>
              <w:rPr>
                <w:sz w:val="22"/>
                <w:szCs w:val="22"/>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15,950,624</w:t>
            </w:r>
          </w:p>
        </w:tc>
      </w:tr>
      <w:tr>
        <w:trPr>
          <w:trHeight w:val="27"/>
        </w:trPr>
        <w:tc>
          <w:tcPr>
            <w:tcW w:w="5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16,880,031</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9,604,752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cash flow information (Note 10)</w:t>
      </w:r>
    </w:p>
    <w:p>
      <w:pPr>
        <w:spacing w:after="0" w:line="14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2" w:name="page253"/>
    <w:bookmarkEnd w:id="25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right="2979"/>
        <w:spacing w:after="0" w:line="250"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Paid in</w:t>
            </w:r>
          </w:p>
        </w:tc>
        <w:tc>
          <w:tcPr>
            <w:tcW w:w="1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Deficit</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Loss</w:t>
            </w:r>
          </w:p>
        </w:tc>
        <w:tc>
          <w:tcPr>
            <w:tcW w:w="100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720" w:type="dxa"/>
            <w:vAlign w:val="bottom"/>
          </w:tcPr>
          <w:p>
            <w:pPr>
              <w:jc w:val="center"/>
              <w:ind w:lef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6"/>
                <w:szCs w:val="16"/>
                <w:color w:val="auto"/>
              </w:rPr>
            </w:pPr>
          </w:p>
        </w:tc>
        <w:tc>
          <w:tcPr>
            <w:tcW w:w="700" w:type="dxa"/>
            <w:vAlign w:val="bottom"/>
          </w:tcPr>
          <w:p>
            <w:pPr>
              <w:jc w:val="center"/>
              <w:ind w:left="48"/>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6"/>
                <w:szCs w:val="16"/>
                <w:color w:val="auto"/>
              </w:rPr>
            </w:pPr>
          </w:p>
        </w:tc>
        <w:tc>
          <w:tcPr>
            <w:tcW w:w="92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December 31, 2020</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154,431,291</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550,000</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6"/>
              </w:rPr>
              <w:t>45,346,696</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(1,215,659)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(162,858,198)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36,254,130</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Exercise of incentive stock options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8,257,763</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(5,702,107)</w:t>
            </w:r>
          </w:p>
        </w:tc>
        <w:tc>
          <w:tcPr>
            <w:tcW w:w="10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2,555,656</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shares issued for exploration</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expenses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25,663,869</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(12,879,057)</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12,784,812</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Conversion of debentures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Common Share options-payments</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6"/>
              </w:rPr>
              <w:t>47,295,676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47,295,676</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Common shares issued for services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48,000</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48,000</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shares to be issued for</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options exercise</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7,500</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Currency translation differences</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Loss for the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24"/>
                <w:szCs w:val="2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(83,714,901)</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(83,714,901)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460" w:type="dxa"/>
            <w:vAlign w:val="bottom"/>
          </w:tcPr>
          <w:p>
            <w:pPr>
              <w:spacing w:after="0"/>
              <w:rPr>
                <w:sz w:val="20"/>
                <w:szCs w:val="20"/>
                <w:color w:val="auto"/>
              </w:rPr>
            </w:pPr>
            <w:r>
              <w:rPr>
                <w:rFonts w:ascii="Arial" w:cs="Arial" w:eastAsia="Arial" w:hAnsi="Arial"/>
                <w:sz w:val="14"/>
                <w:szCs w:val="14"/>
                <w:b w:val="1"/>
                <w:bCs w:val="1"/>
                <w:color w:val="auto"/>
              </w:rPr>
              <w:t>June 30, 2021</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188,900,923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550,000</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74,068,708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(1,215,685)</w:t>
            </w: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(246,573,099)</w:t>
            </w:r>
          </w:p>
        </w:tc>
        <w:tc>
          <w:tcPr>
            <w:tcW w:w="1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15,730,847</w:t>
            </w:r>
          </w:p>
        </w:tc>
        <w:tc>
          <w:tcPr>
            <w:tcW w:w="0" w:type="dxa"/>
            <w:vAlign w:val="bottom"/>
          </w:tcPr>
          <w:p>
            <w:pPr>
              <w:spacing w:after="0"/>
              <w:rPr>
                <w:sz w:val="1"/>
                <w:szCs w:val="1"/>
                <w:color w:val="auto"/>
              </w:rPr>
            </w:pPr>
          </w:p>
        </w:tc>
      </w:tr>
      <w:tr>
        <w:trPr>
          <w:trHeight w:val="264"/>
        </w:trPr>
        <w:tc>
          <w:tcPr>
            <w:tcW w:w="246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December 31, 2019</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79,824,445</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550,000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35,255,520</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(1,215,534)</w:t>
            </w:r>
          </w:p>
        </w:tc>
        <w:tc>
          <w:tcPr>
            <w:tcW w:w="1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(106,226,819)</w:t>
            </w:r>
          </w:p>
        </w:tc>
        <w:tc>
          <w:tcPr>
            <w:tcW w:w="1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8,187,612</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Private placement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11,843,215</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(500,000)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11,343,215</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Financing cost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(26,260)</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(26,260)</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shares issued for TOML</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Acquisition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27,999,997</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27,999,997</w:t>
            </w: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Common shares to be issued for</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180"/>
              <w:spacing w:after="0"/>
              <w:rPr>
                <w:sz w:val="20"/>
                <w:szCs w:val="20"/>
                <w:color w:val="auto"/>
              </w:rPr>
            </w:pPr>
            <w:r>
              <w:rPr>
                <w:rFonts w:ascii="Arial" w:cs="Arial" w:eastAsia="Arial" w:hAnsi="Arial"/>
                <w:sz w:val="14"/>
                <w:szCs w:val="14"/>
                <w:color w:val="auto"/>
              </w:rPr>
              <w:t>exploration expenses</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11,727,454</w:t>
            </w:r>
          </w:p>
        </w:tc>
        <w:tc>
          <w:tcPr>
            <w:tcW w:w="10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11,727,454</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Common Share options-payments</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(322,150)</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556,265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234,115</w:t>
            </w:r>
          </w:p>
        </w:tc>
        <w:tc>
          <w:tcPr>
            <w:tcW w:w="0" w:type="dxa"/>
            <w:vAlign w:val="bottom"/>
          </w:tcPr>
          <w:p>
            <w:pPr>
              <w:spacing w:after="0"/>
              <w:rPr>
                <w:sz w:val="1"/>
                <w:szCs w:val="1"/>
                <w:color w:val="auto"/>
              </w:rPr>
            </w:pPr>
          </w:p>
        </w:tc>
      </w:tr>
      <w:tr>
        <w:trPr>
          <w:trHeight w:val="258"/>
        </w:trPr>
        <w:tc>
          <w:tcPr>
            <w:tcW w:w="2460" w:type="dxa"/>
            <w:vAlign w:val="bottom"/>
          </w:tcPr>
          <w:p>
            <w:pPr>
              <w:spacing w:after="0"/>
              <w:rPr>
                <w:sz w:val="20"/>
                <w:szCs w:val="20"/>
                <w:color w:val="auto"/>
              </w:rPr>
            </w:pPr>
            <w:r>
              <w:rPr>
                <w:rFonts w:ascii="Arial" w:cs="Arial" w:eastAsia="Arial" w:hAnsi="Arial"/>
                <w:sz w:val="14"/>
                <w:szCs w:val="14"/>
                <w:color w:val="auto"/>
              </w:rPr>
              <w:t>Common shares issued for Services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24,745,638</w:t>
            </w: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w w:val="90"/>
              </w:rPr>
              <w:t>(14,745,638)</w:t>
            </w:r>
          </w:p>
        </w:tc>
        <w:tc>
          <w:tcPr>
            <w:tcW w:w="10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Currency translation differences</w:t>
            </w: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78"/>
        </w:trPr>
        <w:tc>
          <w:tcPr>
            <w:tcW w:w="2460" w:type="dxa"/>
            <w:vAlign w:val="bottom"/>
          </w:tcPr>
          <w:p>
            <w:pPr>
              <w:spacing w:after="0"/>
              <w:rPr>
                <w:sz w:val="20"/>
                <w:szCs w:val="20"/>
                <w:color w:val="auto"/>
              </w:rPr>
            </w:pPr>
            <w:r>
              <w:rPr>
                <w:rFonts w:ascii="Arial" w:cs="Arial" w:eastAsia="Arial" w:hAnsi="Arial"/>
                <w:sz w:val="14"/>
                <w:szCs w:val="14"/>
                <w:color w:val="auto"/>
              </w:rPr>
              <w:t>Loss for the period</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(32,760,205)</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(32,760,205)</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June 30, 2020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144,064,885</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550,000</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32,293,601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(1,215,778)</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(138,987,024)</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36,705,684</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3" w:name="page254"/>
    <w:bookmarkEnd w:id="25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162" w:lineRule="exact"/>
        <w:rPr>
          <w:sz w:val="20"/>
          <w:szCs w:val="20"/>
          <w:color w:val="auto"/>
        </w:rPr>
      </w:pPr>
    </w:p>
    <w:p>
      <w:pPr>
        <w:ind w:left="880" w:right="599"/>
        <w:spacing w:after="0" w:line="323" w:lineRule="auto"/>
        <w:rPr>
          <w:sz w:val="20"/>
          <w:szCs w:val="20"/>
          <w:color w:val="auto"/>
        </w:rPr>
      </w:pPr>
      <w:r>
        <w:rPr>
          <w:rFonts w:ascii="Arial" w:cs="Arial" w:eastAsia="Arial" w:hAnsi="Arial"/>
          <w:sz w:val="16"/>
          <w:szCs w:val="16"/>
          <w:color w:val="auto"/>
        </w:rPr>
        <w:t>DeepGreen Metals Inc. (“DeepGreen” or the “Company”) is incorporated under the laws of the Province of British Columbia, Canada. The Company’s corporate office, registered address and records office is located at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595 Howe Street, Vancouver, British Columbia, Canada, V6C 2T5.</w:t>
      </w:r>
    </w:p>
    <w:p>
      <w:pPr>
        <w:spacing w:after="0" w:line="9" w:lineRule="exact"/>
        <w:rPr>
          <w:sz w:val="20"/>
          <w:szCs w:val="20"/>
          <w:color w:val="auto"/>
        </w:rPr>
      </w:pPr>
    </w:p>
    <w:p>
      <w:pPr>
        <w:ind w:left="880" w:right="479"/>
        <w:spacing w:after="0" w:line="262" w:lineRule="auto"/>
        <w:rPr>
          <w:sz w:val="20"/>
          <w:szCs w:val="20"/>
          <w:color w:val="auto"/>
        </w:rPr>
      </w:pPr>
      <w:r>
        <w:rPr>
          <w:rFonts w:ascii="Arial" w:cs="Arial" w:eastAsia="Arial" w:hAnsi="Arial"/>
          <w:sz w:val="17"/>
          <w:szCs w:val="17"/>
          <w:color w:val="auto"/>
        </w:rPr>
        <w:t>DeepGreen is a Canadian company engaged in seafloor mineral exploration in the Clarion Clipperton Zone (the “CCZ”), approximately 2,000 km west of Mexico in the East Pacific Ocean, a region that hosts high grade polymetallic nodules containing manganese, nickel, copper and cobalt. DeepGreen is considered to have mining operations and mining properties in accordance with US Securities and Exchange Commission (“SEC”) regulations. The Company is also developing technology for onshore processing of polymetallic nodules as well as working with Allseas Group S.A (“Allseas”) to develop a system to collect, lift and transport nodules to shore. DeepGreen’s wholly-owned subsidiary, Nauru Ocean Resources Inc. (“NORI”), sponsored by the Republic of Nauru, was granted an exploration license by the International Seabed Authority (the “ISA”) in July 2011 granting NORI exclusive rights to explore for polymetallic nodules in a region of the CCZ covering 74,830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allocated to the Republic of Nauru (“NORI Area”). Similarly, through Marawa Research and Exploration Limited (“Marawa”), DeepGreen was equally granted rights by the ISA to polymetallic nodules exploration in an area of 74,990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in the CCZ allocated to the Republic of Kiribati. The Company entered into an option agreement with Marawa to purchase such tenements granted to exclusively collect nodules from this area in return for a royalty payable to Marawa. During the year ended December 31, 2020, DeepGreen acquired Tonga Offshore Mining Limited (“TOML”), which was granted an exploration license by the ISA in January 2012 and has exclusive rights to explore for polymetallic nodules covering 74,713 km</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of the CCZ under the supervision of the Kingdom of Tonga.</w:t>
      </w:r>
    </w:p>
    <w:p>
      <w:pPr>
        <w:spacing w:after="0" w:line="120" w:lineRule="exact"/>
        <w:rPr>
          <w:sz w:val="20"/>
          <w:szCs w:val="20"/>
          <w:color w:val="auto"/>
        </w:rPr>
      </w:pPr>
    </w:p>
    <w:p>
      <w:pPr>
        <w:ind w:left="880" w:right="659"/>
        <w:spacing w:after="0" w:line="275" w:lineRule="auto"/>
        <w:rPr>
          <w:sz w:val="20"/>
          <w:szCs w:val="20"/>
          <w:color w:val="auto"/>
        </w:rPr>
      </w:pPr>
      <w:r>
        <w:rPr>
          <w:rFonts w:ascii="Arial" w:cs="Arial" w:eastAsia="Arial" w:hAnsi="Arial"/>
          <w:sz w:val="17"/>
          <w:szCs w:val="17"/>
          <w:color w:val="auto"/>
        </w:rPr>
        <w:t>On March 4, 2021, the Company and Sustainable Opportunities Acquisition Corporation (“SOAC”), a NYSE listed Special Purpose Acquisition Corporation (“SPAC”), entered into a business combination agreement (the “BCA”) in which SOAC would merge with DeepGreen pursuant to a proposed combination and relist on the NASDAQ (the “Business Combination”). The new entity will be renamed TMC the metals company Inc. (“TMC”) in connection with the Business Combination.</w:t>
      </w:r>
    </w:p>
    <w:p>
      <w:pPr>
        <w:spacing w:after="0" w:line="109" w:lineRule="exact"/>
        <w:rPr>
          <w:sz w:val="20"/>
          <w:szCs w:val="20"/>
          <w:color w:val="auto"/>
        </w:rPr>
      </w:pPr>
    </w:p>
    <w:p>
      <w:pPr>
        <w:jc w:val="both"/>
        <w:ind w:left="880" w:right="499"/>
        <w:spacing w:after="0" w:line="311" w:lineRule="auto"/>
        <w:rPr>
          <w:sz w:val="20"/>
          <w:szCs w:val="20"/>
          <w:color w:val="auto"/>
        </w:rPr>
      </w:pPr>
      <w:r>
        <w:rPr>
          <w:rFonts w:ascii="Arial" w:cs="Arial" w:eastAsia="Arial" w:hAnsi="Arial"/>
          <w:sz w:val="16"/>
          <w:szCs w:val="16"/>
          <w:color w:val="auto"/>
        </w:rPr>
        <w:t>In addition to the share-based consideration in SOAC, each DeepGreen shareholder would receive special shares (the “DeepGreen Earnout Shares”). These DeepGreen Earnout Shares would vest and be issued to each DeepGreen shareholder when TMC’s share price trades above certain thresholds as follows:</w:t>
      </w:r>
    </w:p>
    <w:p>
      <w:pPr>
        <w:spacing w:after="0" w:line="200" w:lineRule="exact"/>
        <w:rPr>
          <w:sz w:val="20"/>
          <w:szCs w:val="20"/>
          <w:color w:val="auto"/>
        </w:rPr>
      </w:pPr>
    </w:p>
    <w:p>
      <w:pPr>
        <w:spacing w:after="0" w:line="206" w:lineRule="exact"/>
        <w:rPr>
          <w:sz w:val="20"/>
          <w:szCs w:val="20"/>
          <w:color w:val="auto"/>
        </w:rPr>
      </w:pPr>
    </w:p>
    <w:tbl>
      <w:tblPr>
        <w:tblLayout w:type="fixed"/>
        <w:tblInd w:w="880" w:type="dxa"/>
        <w:tblCellMar>
          <w:top w:w="0" w:type="dxa"/>
          <w:left w:w="0" w:type="dxa"/>
          <w:bottom w:w="0" w:type="dxa"/>
          <w:right w:w="0" w:type="dxa"/>
        </w:tblCellMar>
      </w:tblPr>
      <w:tr>
        <w:trPr>
          <w:trHeight w:val="263"/>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 ($)</w:t>
            </w: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2700" w:type="dxa"/>
            <w:vAlign w:val="bottom"/>
          </w:tcPr>
          <w:p>
            <w:pPr>
              <w:spacing w:after="0"/>
              <w:rPr>
                <w:sz w:val="20"/>
                <w:szCs w:val="20"/>
                <w:color w:val="auto"/>
              </w:rPr>
            </w:pPr>
            <w:r>
              <w:rPr>
                <w:rFonts w:ascii="Arial" w:cs="Arial" w:eastAsia="Arial" w:hAnsi="Arial"/>
                <w:sz w:val="18"/>
                <w:szCs w:val="18"/>
                <w:color w:val="auto"/>
              </w:rPr>
              <w:t>DeepGreen Earnout Shares (mil)</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left="880" w:right="1019"/>
        <w:spacing w:after="0" w:line="277" w:lineRule="auto"/>
        <w:rPr>
          <w:sz w:val="20"/>
          <w:szCs w:val="20"/>
          <w:color w:val="auto"/>
        </w:rPr>
      </w:pPr>
      <w:r>
        <w:rPr>
          <w:rFonts w:ascii="Arial" w:cs="Arial" w:eastAsia="Arial" w:hAnsi="Arial"/>
          <w:sz w:val="18"/>
          <w:szCs w:val="18"/>
          <w:color w:val="auto"/>
        </w:rPr>
        <w:t>Similarly, in connection with the transaction, the SOAC sponsors will also be entitled to additional 0.5 million special shares when the share price of TMC trades at $50.00.</w:t>
      </w:r>
    </w:p>
    <w:p>
      <w:pPr>
        <w:spacing w:after="0" w:line="103" w:lineRule="exact"/>
        <w:rPr>
          <w:sz w:val="20"/>
          <w:szCs w:val="20"/>
          <w:color w:val="auto"/>
        </w:rPr>
      </w:pPr>
    </w:p>
    <w:p>
      <w:pPr>
        <w:ind w:left="880" w:right="579"/>
        <w:spacing w:after="0" w:line="259" w:lineRule="auto"/>
        <w:rPr>
          <w:sz w:val="20"/>
          <w:szCs w:val="20"/>
          <w:color w:val="auto"/>
        </w:rPr>
      </w:pPr>
      <w:r>
        <w:rPr>
          <w:rFonts w:ascii="Arial" w:cs="Arial" w:eastAsia="Arial" w:hAnsi="Arial"/>
          <w:sz w:val="18"/>
          <w:szCs w:val="18"/>
          <w:color w:val="auto"/>
        </w:rPr>
        <w:t>The Business Combination closed on September 9, 2021 (refer to note 12 for details). In connection with the Business Combination, SOAC, a Cayman entity, redomiciled to Canada. Accordingly, DeepGreen remains a Canadian entity and became a wholly-owned subsidiary of TMC, which is listed in the United States on the NASDAQ.</w:t>
      </w:r>
    </w:p>
    <w:p>
      <w:pPr>
        <w:spacing w:after="0" w:line="119" w:lineRule="exact"/>
        <w:rPr>
          <w:sz w:val="20"/>
          <w:szCs w:val="20"/>
          <w:color w:val="auto"/>
        </w:rPr>
      </w:pPr>
    </w:p>
    <w:p>
      <w:pPr>
        <w:ind w:left="880" w:right="539"/>
        <w:spacing w:after="0" w:line="257" w:lineRule="auto"/>
        <w:rPr>
          <w:sz w:val="20"/>
          <w:szCs w:val="20"/>
          <w:color w:val="auto"/>
        </w:rPr>
      </w:pPr>
      <w:r>
        <w:rPr>
          <w:rFonts w:ascii="Arial" w:cs="Arial" w:eastAsia="Arial" w:hAnsi="Arial"/>
          <w:sz w:val="18"/>
          <w:szCs w:val="18"/>
          <w:color w:val="auto"/>
        </w:rPr>
        <w:t>The recovery of the Company’s exploration licenses and attainment of profitable operations is dependent upon many factors including, among other things: financing being arranged by the Company to continue operations, explore and develop the ocean floor for the extraction of polymetallic nodules as well as develop processing technology for the treatment of polymetallic nodules, the establishment of a mineable resource,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4" w:name="page255"/>
    <w:bookmarkEnd w:id="25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(cont.)</w:t>
      </w:r>
    </w:p>
    <w:p>
      <w:pPr>
        <w:spacing w:after="0" w:line="189" w:lineRule="exact"/>
        <w:rPr>
          <w:sz w:val="20"/>
          <w:szCs w:val="20"/>
          <w:color w:val="auto"/>
        </w:rPr>
      </w:pPr>
    </w:p>
    <w:p>
      <w:pPr>
        <w:ind w:left="880" w:right="539"/>
        <w:spacing w:after="0" w:line="263" w:lineRule="auto"/>
        <w:rPr>
          <w:sz w:val="20"/>
          <w:szCs w:val="20"/>
          <w:color w:val="auto"/>
        </w:rPr>
      </w:pPr>
      <w:r>
        <w:rPr>
          <w:rFonts w:ascii="Arial" w:cs="Arial" w:eastAsia="Arial" w:hAnsi="Arial"/>
          <w:sz w:val="18"/>
          <w:szCs w:val="18"/>
          <w:color w:val="auto"/>
        </w:rPr>
        <w:t>commercial and technical feasibility of seafloor polymetallic nodule mining and processing, metal prices, and regulatory approval for mining and environmental permitting. The outcome of these matters cannot presently be determined because they are contingent on future events.</w:t>
      </w:r>
    </w:p>
    <w:p>
      <w:pPr>
        <w:spacing w:after="0" w:line="116" w:lineRule="exact"/>
        <w:rPr>
          <w:sz w:val="20"/>
          <w:szCs w:val="20"/>
          <w:color w:val="auto"/>
        </w:rPr>
      </w:pPr>
    </w:p>
    <w:p>
      <w:pPr>
        <w:ind w:left="880" w:right="539"/>
        <w:spacing w:after="0" w:line="273" w:lineRule="auto"/>
        <w:rPr>
          <w:sz w:val="20"/>
          <w:szCs w:val="20"/>
          <w:color w:val="auto"/>
        </w:rPr>
      </w:pPr>
      <w:r>
        <w:rPr>
          <w:rFonts w:ascii="Arial" w:cs="Arial" w:eastAsia="Arial" w:hAnsi="Arial"/>
          <w:sz w:val="17"/>
          <w:szCs w:val="17"/>
          <w:color w:val="auto"/>
        </w:rPr>
        <w:t>Despite the expected completion of the Business Combination, the Company will require additional funding in the future for administration and to execute its exploration and development plans. While the Company has been successful in obtaining its required funding in the past, there is no assurance that such financing will continue to be available. Factors that could affect the availability of financing include, among other things, progress and exploration results, the state of international debt and equity markets, investor perceptions and expectations, and the global financial and metals markets.</w:t>
      </w:r>
    </w:p>
    <w:p>
      <w:pPr>
        <w:spacing w:after="0" w:line="110" w:lineRule="exact"/>
        <w:rPr>
          <w:sz w:val="20"/>
          <w:szCs w:val="20"/>
          <w:color w:val="auto"/>
        </w:rPr>
      </w:pPr>
    </w:p>
    <w:p>
      <w:pPr>
        <w:ind w:left="880" w:right="539"/>
        <w:spacing w:after="0" w:line="273" w:lineRule="auto"/>
        <w:rPr>
          <w:sz w:val="20"/>
          <w:szCs w:val="20"/>
          <w:color w:val="auto"/>
        </w:rPr>
      </w:pPr>
      <w:r>
        <w:rPr>
          <w:rFonts w:ascii="Arial" w:cs="Arial" w:eastAsia="Arial" w:hAnsi="Arial"/>
          <w:sz w:val="17"/>
          <w:szCs w:val="17"/>
          <w:color w:val="auto"/>
        </w:rPr>
        <w:t>Since March 2020, several measures have been implemented by the governments in Canada, the United States, Australia, and the rest of the world in the form of office closures and limiting the movement of personnel in response to the increased impact from the novel coronavirus (“COVID-19”). While the impact of COVID-19 is expected to be temporary, the current circumstances are dynamic and the impact on our business operations, exploration and development plans, results of operations, financial position, and cash flows cannot be reasonably estimated at this time.</w:t>
      </w:r>
    </w:p>
    <w:p>
      <w:pPr>
        <w:spacing w:after="0" w:line="174" w:lineRule="exact"/>
        <w:rPr>
          <w:sz w:val="20"/>
          <w:szCs w:val="20"/>
          <w:color w:val="auto"/>
        </w:rPr>
      </w:pPr>
    </w:p>
    <w:p>
      <w:pPr>
        <w:ind w:left="860" w:hanging="406"/>
        <w:spacing w:after="0"/>
        <w:tabs>
          <w:tab w:leader="none" w:pos="8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left="880" w:right="479"/>
        <w:spacing w:after="0" w:line="269" w:lineRule="auto"/>
        <w:rPr>
          <w:sz w:val="20"/>
          <w:szCs w:val="20"/>
          <w:color w:val="auto"/>
        </w:rPr>
      </w:pPr>
      <w:r>
        <w:rPr>
          <w:rFonts w:ascii="Arial" w:cs="Arial" w:eastAsia="Arial" w:hAnsi="Arial"/>
          <w:sz w:val="17"/>
          <w:szCs w:val="17"/>
          <w:color w:val="auto"/>
        </w:rPr>
        <w:t>These unaudited condensed consolidated financial statements are prepared in accordance with US Generally Accepted Accounting Principles (“US GAAP”) for interim financial statements. Accordingly, certain information and footnote disclosures required by US GAAP have been condensed or omitted in these unaudited consolidated financial statements pursuant to such rules and regulation. In management’s opinion, these unaudited consolidated interim financial statements include all adjustments of a normal recurring nature necessary for the fair presentation of the Company’s statement of financial position, operating results for the periods presented, comprehensive loss, stockholder’s equity and cash flows for the interim periods, but are not necessarily indicative of the results of operations to be expected for the full year ending December 31, 2021 or for any other period. These unaudited condensed consolidated financial statements should be read in conjunction with the audited annual consolidated financial statements for the year ended December 31, 2020. The Company has applied the same accounting policies as in the prior year.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Basis of Measurement</w:t>
      </w:r>
    </w:p>
    <w:p>
      <w:pPr>
        <w:spacing w:after="0" w:line="162" w:lineRule="exact"/>
        <w:rPr>
          <w:sz w:val="20"/>
          <w:szCs w:val="20"/>
          <w:color w:val="auto"/>
        </w:rPr>
      </w:pPr>
    </w:p>
    <w:p>
      <w:pPr>
        <w:ind w:left="880" w:right="499"/>
        <w:spacing w:after="0" w:line="277" w:lineRule="auto"/>
        <w:rPr>
          <w:sz w:val="20"/>
          <w:szCs w:val="20"/>
          <w:color w:val="auto"/>
        </w:rPr>
      </w:pPr>
      <w:r>
        <w:rPr>
          <w:rFonts w:ascii="Arial" w:cs="Arial" w:eastAsia="Arial" w:hAnsi="Arial"/>
          <w:sz w:val="18"/>
          <w:szCs w:val="18"/>
          <w:color w:val="auto"/>
        </w:rPr>
        <w:t>These unaudited condensed consolidated financial statements have been prepared under the historical cost convention and are presented in United States (“US”) dollars.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880" w:right="719"/>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in the unaudited consolidated financial statements and the notes thereto. Significant estimates and assumptions reflected in these unaudited consolidated financial statements include, but are not limited to, the valuation of common-share based payments, including valuation of the incentive stock options (Note 7) and the common shares issued to Maersk Supply Service A/S (“Maersk”) (Note 4 &amp; 6). Actual results could differ materially from those estimates.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5" w:name="page256"/>
    <w:bookmarkEnd w:id="25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Recent Accounting Pronouncements Issued and Adopted</w:t>
      </w:r>
    </w:p>
    <w:p>
      <w:pPr>
        <w:spacing w:after="0" w:line="158" w:lineRule="exact"/>
        <w:rPr>
          <w:sz w:val="20"/>
          <w:szCs w:val="20"/>
          <w:color w:val="auto"/>
        </w:rPr>
      </w:pPr>
    </w:p>
    <w:p>
      <w:pPr>
        <w:ind w:left="1280" w:hanging="394"/>
        <w:spacing w:after="0"/>
        <w:tabs>
          <w:tab w:leader="none" w:pos="12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Debt with Conversion and Other Options</w:t>
      </w:r>
    </w:p>
    <w:p>
      <w:pPr>
        <w:spacing w:after="0" w:line="148" w:lineRule="exact"/>
        <w:rPr>
          <w:sz w:val="20"/>
          <w:szCs w:val="20"/>
          <w:color w:val="auto"/>
        </w:rPr>
      </w:pPr>
    </w:p>
    <w:p>
      <w:pPr>
        <w:ind w:left="880" w:right="499"/>
        <w:spacing w:after="0" w:line="286" w:lineRule="auto"/>
        <w:rPr>
          <w:sz w:val="20"/>
          <w:szCs w:val="20"/>
          <w:color w:val="auto"/>
        </w:rPr>
      </w:pPr>
      <w:r>
        <w:rPr>
          <w:rFonts w:ascii="Arial" w:cs="Arial" w:eastAsia="Arial" w:hAnsi="Arial"/>
          <w:sz w:val="16"/>
          <w:szCs w:val="16"/>
          <w:color w:val="auto"/>
        </w:rPr>
        <w:t xml:space="preserve">In August 2020, the Financial Accounting Standards Board (the “FASB”) issued Accounting Standards Update (“ASU” 2020-08, </w:t>
      </w:r>
      <w:r>
        <w:rPr>
          <w:rFonts w:ascii="Arial" w:cs="Arial" w:eastAsia="Arial" w:hAnsi="Arial"/>
          <w:sz w:val="16"/>
          <w:szCs w:val="16"/>
          <w:i w:val="1"/>
          <w:iCs w:val="1"/>
          <w:color w:val="auto"/>
        </w:rPr>
        <w:t>“Debt — Debt with Conversion and Other Options (Subtopic 470-20) and</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 and Hedging — Contracts in Entity’s Own Equity (Subtopic 815-40)”</w:t>
      </w:r>
      <w:r>
        <w:rPr>
          <w:rFonts w:ascii="Arial" w:cs="Arial" w:eastAsia="Arial" w:hAnsi="Arial"/>
          <w:sz w:val="16"/>
          <w:szCs w:val="16"/>
          <w:color w:val="auto"/>
        </w:rPr>
        <w:t>, which simplifies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convertible instruments by reducing the number of accounting models and requiring that a convertible instrument be accounted for as a single liability measured at amortized cost. Further the ASU 2020-08 amends the earnings per share guidance by requiring the diluted earnings per share calculation for convertible instruments to follow the if-converted method, with the use of the treasury stock method no longer permitted. The ASU 2020-08 is effective for fiscal period after December 15, 2021, with early adoption permitted, but no earlier than fiscal years and interim periods within those fiscal years, beginning after December 15, 2020. The ASU 2020-08 allows either a modified retrospective method of transition or a fully retrospective method of transition, with any adjustments recognized as an adjustment to the opening balance of deficit. The Company adopted this standard on January 1, 2021. The standard did not have any impact on the Company’s historical financial statements but was applied to recognize the impact of the convertible debentures issued during February 2021 (Note 5).</w:t>
      </w:r>
    </w:p>
    <w:p>
      <w:pPr>
        <w:spacing w:after="0" w:line="167" w:lineRule="exact"/>
        <w:rPr>
          <w:sz w:val="20"/>
          <w:szCs w:val="20"/>
          <w:color w:val="auto"/>
        </w:rPr>
      </w:pPr>
    </w:p>
    <w:p>
      <w:pPr>
        <w:ind w:left="860" w:hanging="406"/>
        <w:spacing w:after="0"/>
        <w:tabs>
          <w:tab w:leader="none" w:pos="8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TOML Acquisition</w:t>
      </w:r>
    </w:p>
    <w:p>
      <w:pPr>
        <w:spacing w:after="0" w:line="162" w:lineRule="exact"/>
        <w:rPr>
          <w:sz w:val="20"/>
          <w:szCs w:val="20"/>
          <w:color w:val="auto"/>
        </w:rPr>
      </w:pPr>
    </w:p>
    <w:p>
      <w:pPr>
        <w:ind w:left="880" w:right="479"/>
        <w:spacing w:after="0" w:line="266" w:lineRule="auto"/>
        <w:rPr>
          <w:sz w:val="20"/>
          <w:szCs w:val="20"/>
          <w:color w:val="auto"/>
        </w:rPr>
      </w:pPr>
      <w:r>
        <w:rPr>
          <w:rFonts w:ascii="Arial" w:cs="Arial" w:eastAsia="Arial" w:hAnsi="Arial"/>
          <w:sz w:val="17"/>
          <w:szCs w:val="17"/>
          <w:color w:val="auto"/>
        </w:rPr>
        <w:t>On March 31, 2020, the Company entered into an acquisition agreement (“TOML Acquisition”) to acquire the nodules business unit of Tonga Offshore Mining Ltd (“TOML”) and other entities in the group (the “TOML Group”), from Deep Sea Mining Finance Ltd. (“Deep Sea Mining”). Total purchase price of the TOML Acquisition, before transaction costs, was $32,000,000. TOML holds an ISA Exploration Contract in the CCZ (“TOML Exploration Contract”). The TOML Acquisition includes the exclusive rights held by TOML to explore for polymetallic nodules in an area covering 74,713 km</w:t>
      </w:r>
      <w:r>
        <w:rPr>
          <w:rFonts w:ascii="Arial" w:cs="Arial" w:eastAsia="Arial" w:hAnsi="Arial"/>
          <w:sz w:val="19"/>
          <w:szCs w:val="19"/>
          <w:color w:val="auto"/>
          <w:vertAlign w:val="superscript"/>
        </w:rPr>
        <w:t>2</w:t>
      </w:r>
      <w:r>
        <w:rPr>
          <w:rFonts w:ascii="Arial" w:cs="Arial" w:eastAsia="Arial" w:hAnsi="Arial"/>
          <w:sz w:val="17"/>
          <w:szCs w:val="17"/>
          <w:color w:val="auto"/>
        </w:rPr>
        <w:t>, a priority right to apply for an exploitation contract to mine polymetallic nodules in the same area, and some exploration related equipment. The TOML group also holds various patents and an application right with respect to a prospecting exploration license in the Republic of Kiribati.</w:t>
      </w:r>
    </w:p>
    <w:p>
      <w:pPr>
        <w:spacing w:after="0" w:line="117" w:lineRule="exact"/>
        <w:rPr>
          <w:sz w:val="20"/>
          <w:szCs w:val="20"/>
          <w:color w:val="auto"/>
        </w:rPr>
      </w:pPr>
    </w:p>
    <w:p>
      <w:pPr>
        <w:ind w:left="880" w:right="519"/>
        <w:spacing w:after="0" w:line="272" w:lineRule="auto"/>
        <w:rPr>
          <w:sz w:val="20"/>
          <w:szCs w:val="20"/>
          <w:color w:val="auto"/>
        </w:rPr>
      </w:pPr>
      <w:r>
        <w:rPr>
          <w:rFonts w:ascii="Arial" w:cs="Arial" w:eastAsia="Arial" w:hAnsi="Arial"/>
          <w:sz w:val="17"/>
          <w:szCs w:val="17"/>
          <w:color w:val="auto"/>
        </w:rPr>
        <w:t>The purchase price of $32,000,000 was settled through initial cash payments of $500,000 in two tranches of $250,000 each (paid on March 31, 2020 and May 31, 2020, respectively), issuance of 7,777,777 common shares of the Company, $60,000 payment to ISA on behalf of Deep Sea Mining and deferred consideration of $3.44 million to be paid on January 31, 2021. As long as the deferred consideration remains outstanding, it is secured by the shares of the TOML Group. The Common Share consideration paid by the Company was valued at $3.60 per share, based on the recent private placements completed by the Company, for a total of $28 million.</w:t>
      </w:r>
    </w:p>
    <w:p>
      <w:pPr>
        <w:spacing w:after="0" w:line="96" w:lineRule="exact"/>
        <w:rPr>
          <w:sz w:val="20"/>
          <w:szCs w:val="20"/>
          <w:color w:val="auto"/>
        </w:rPr>
      </w:pPr>
    </w:p>
    <w:p>
      <w:pPr>
        <w:ind w:left="880" w:right="699"/>
        <w:spacing w:after="0" w:line="311" w:lineRule="auto"/>
        <w:rPr>
          <w:sz w:val="20"/>
          <w:szCs w:val="20"/>
          <w:color w:val="auto"/>
        </w:rPr>
      </w:pPr>
      <w:r>
        <w:rPr>
          <w:rFonts w:ascii="Arial" w:cs="Arial" w:eastAsia="Arial" w:hAnsi="Arial"/>
          <w:sz w:val="16"/>
          <w:szCs w:val="16"/>
          <w:color w:val="auto"/>
        </w:rPr>
        <w:t>The Company had the option of settling the deferred consideration in either cash or Common Shares of the Company at its sole discretion. During January 2021, the arrangement with Deep Sea Mining was amended to pay the entire deferred consideration with cash in tranches by June 30, 2021.</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incurred legal and regulatory fees to complete the acquisition, totalling $47,375.</w:t>
      </w:r>
    </w:p>
    <w:p>
      <w:pPr>
        <w:spacing w:after="0" w:line="158" w:lineRule="exact"/>
        <w:rPr>
          <w:sz w:val="20"/>
          <w:szCs w:val="20"/>
          <w:color w:val="auto"/>
        </w:rPr>
      </w:pPr>
    </w:p>
    <w:p>
      <w:pPr>
        <w:ind w:left="880" w:right="579"/>
        <w:spacing w:after="0" w:line="259" w:lineRule="auto"/>
        <w:rPr>
          <w:sz w:val="20"/>
          <w:szCs w:val="20"/>
          <w:color w:val="auto"/>
        </w:rPr>
      </w:pPr>
      <w:r>
        <w:rPr>
          <w:rFonts w:ascii="Arial" w:cs="Arial" w:eastAsia="Arial" w:hAnsi="Arial"/>
          <w:sz w:val="18"/>
          <w:szCs w:val="18"/>
          <w:color w:val="auto"/>
        </w:rPr>
        <w:t>The Company determined that the value of TOML Acquisition was substantially concentrated in the TOML Exploration Contract and therefore considered this to be an acquisition of a group of connected assets rather than an acquisition of business. Consequently, the total cost of the transaction was primarily allocated to exploration licenses.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6" w:name="page257"/>
    <w:bookmarkEnd w:id="25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3.</w:t>
            </w:r>
          </w:p>
        </w:tc>
        <w:tc>
          <w:tcPr>
            <w:tcW w:w="6520" w:type="dxa"/>
            <w:vAlign w:val="bottom"/>
            <w:gridSpan w:val="2"/>
          </w:tcPr>
          <w:p>
            <w:pPr>
              <w:ind w:left="140"/>
              <w:spacing w:after="0"/>
              <w:rPr>
                <w:sz w:val="20"/>
                <w:szCs w:val="20"/>
                <w:color w:val="auto"/>
              </w:rPr>
            </w:pPr>
            <w:r>
              <w:rPr>
                <w:rFonts w:ascii="Arial" w:cs="Arial" w:eastAsia="Arial" w:hAnsi="Arial"/>
                <w:sz w:val="18"/>
                <w:szCs w:val="18"/>
                <w:b w:val="1"/>
                <w:bCs w:val="1"/>
                <w:color w:val="auto"/>
              </w:rPr>
              <w:t xml:space="preserve">TOML Acquisition </w:t>
            </w:r>
            <w:r>
              <w:rPr>
                <w:rFonts w:ascii="Arial" w:cs="Arial" w:eastAsia="Arial" w:hAnsi="Arial"/>
                <w:sz w:val="18"/>
                <w:szCs w:val="18"/>
                <w:color w:val="auto"/>
              </w:rPr>
              <w:t>(cont.)</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1"/>
        </w:trPr>
        <w:tc>
          <w:tcPr>
            <w:tcW w:w="260" w:type="dxa"/>
            <w:vAlign w:val="bottom"/>
          </w:tcPr>
          <w:p>
            <w:pPr>
              <w:spacing w:after="0"/>
              <w:rPr>
                <w:sz w:val="24"/>
                <w:szCs w:val="24"/>
                <w:color w:val="auto"/>
              </w:rPr>
            </w:pPr>
          </w:p>
        </w:tc>
        <w:tc>
          <w:tcPr>
            <w:tcW w:w="6520" w:type="dxa"/>
            <w:vAlign w:val="bottom"/>
            <w:gridSpan w:val="2"/>
          </w:tcPr>
          <w:p>
            <w:pPr>
              <w:ind w:left="160"/>
              <w:spacing w:after="0"/>
              <w:rPr>
                <w:sz w:val="20"/>
                <w:szCs w:val="20"/>
                <w:color w:val="auto"/>
              </w:rPr>
            </w:pPr>
            <w:r>
              <w:rPr>
                <w:rFonts w:ascii="Arial" w:cs="Arial" w:eastAsia="Arial" w:hAnsi="Arial"/>
                <w:sz w:val="18"/>
                <w:szCs w:val="18"/>
                <w:color w:val="auto"/>
              </w:rPr>
              <w:t>The net assets acquired as part of the TOML acquisition were as follows: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6"/>
        </w:trPr>
        <w:tc>
          <w:tcPr>
            <w:tcW w:w="6780" w:type="dxa"/>
            <w:vAlign w:val="bottom"/>
            <w:gridSpan w:val="3"/>
          </w:tcPr>
          <w:p>
            <w:pPr>
              <w:spacing w:after="0"/>
              <w:rPr>
                <w:sz w:val="20"/>
                <w:szCs w:val="20"/>
                <w:color w:val="auto"/>
              </w:rPr>
            </w:pPr>
            <w:r>
              <w:rPr>
                <w:rFonts w:ascii="Arial" w:cs="Arial" w:eastAsia="Arial" w:hAnsi="Arial"/>
                <w:sz w:val="16"/>
                <w:szCs w:val="16"/>
                <w:b w:val="1"/>
                <w:bCs w:val="1"/>
                <w:color w:val="auto"/>
              </w:rPr>
              <w:t>Net Assets acquired</w:t>
            </w:r>
          </w:p>
        </w:tc>
        <w:tc>
          <w:tcPr>
            <w:tcW w:w="116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r>
      <w:tr>
        <w:trPr>
          <w:trHeight w:val="46"/>
        </w:trPr>
        <w:tc>
          <w:tcPr>
            <w:tcW w:w="66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payment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560,000</w:t>
            </w:r>
          </w:p>
        </w:tc>
      </w:tr>
      <w:tr>
        <w:trPr>
          <w:trHeight w:val="243"/>
        </w:trPr>
        <w:tc>
          <w:tcPr>
            <w:tcW w:w="6780" w:type="dxa"/>
            <w:vAlign w:val="bottom"/>
            <w:gridSpan w:val="3"/>
          </w:tcPr>
          <w:p>
            <w:pPr>
              <w:spacing w:after="0"/>
              <w:rPr>
                <w:sz w:val="20"/>
                <w:szCs w:val="20"/>
                <w:color w:val="auto"/>
              </w:rPr>
            </w:pPr>
            <w:r>
              <w:rPr>
                <w:rFonts w:ascii="Arial" w:cs="Arial" w:eastAsia="Arial" w:hAnsi="Arial"/>
                <w:sz w:val="18"/>
                <w:szCs w:val="18"/>
                <w:color w:val="auto"/>
              </w:rPr>
              <w:t>Common shares issued for TOML acquisition (7,777,777 @ $3.60)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27,999,997</w:t>
            </w:r>
          </w:p>
        </w:tc>
      </w:tr>
      <w:tr>
        <w:trPr>
          <w:trHeight w:val="41"/>
        </w:trPr>
        <w:tc>
          <w:tcPr>
            <w:tcW w:w="66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Transaction costs paid</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47,375</w:t>
            </w:r>
          </w:p>
        </w:tc>
      </w:tr>
      <w:tr>
        <w:trPr>
          <w:trHeight w:val="257"/>
        </w:trPr>
        <w:tc>
          <w:tcPr>
            <w:tcW w:w="6780" w:type="dxa"/>
            <w:vAlign w:val="bottom"/>
            <w:gridSpan w:val="3"/>
          </w:tcPr>
          <w:p>
            <w:pPr>
              <w:spacing w:after="0"/>
              <w:rPr>
                <w:sz w:val="20"/>
                <w:szCs w:val="20"/>
                <w:color w:val="auto"/>
              </w:rPr>
            </w:pPr>
            <w:r>
              <w:rPr>
                <w:rFonts w:ascii="Arial" w:cs="Arial" w:eastAsia="Arial" w:hAnsi="Arial"/>
                <w:sz w:val="18"/>
                <w:szCs w:val="18"/>
                <w:color w:val="auto"/>
              </w:rPr>
              <w:t>Deferred consideration</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3,440,000</w:t>
            </w:r>
          </w:p>
        </w:tc>
      </w:tr>
      <w:tr>
        <w:trPr>
          <w:trHeight w:val="27"/>
        </w:trPr>
        <w:tc>
          <w:tcPr>
            <w:tcW w:w="66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6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Acquisition Cost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32,047,372</w:t>
            </w:r>
          </w:p>
        </w:tc>
      </w:tr>
      <w:tr>
        <w:trPr>
          <w:trHeight w:val="277"/>
        </w:trPr>
        <w:tc>
          <w:tcPr>
            <w:tcW w:w="2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6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Allocated to</w:t>
            </w:r>
          </w:p>
        </w:tc>
        <w:tc>
          <w:tcPr>
            <w:tcW w:w="1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6780" w:type="dxa"/>
            <w:vAlign w:val="bottom"/>
            <w:gridSpan w:val="3"/>
          </w:tcPr>
          <w:p>
            <w:pPr>
              <w:spacing w:after="0"/>
              <w:rPr>
                <w:sz w:val="20"/>
                <w:szCs w:val="20"/>
                <w:color w:val="auto"/>
              </w:rPr>
            </w:pPr>
            <w:r>
              <w:rPr>
                <w:rFonts w:ascii="Arial" w:cs="Arial" w:eastAsia="Arial" w:hAnsi="Arial"/>
                <w:sz w:val="18"/>
                <w:szCs w:val="18"/>
                <w:color w:val="auto"/>
              </w:rPr>
              <w:t>Equipment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21,274</w:t>
            </w:r>
          </w:p>
        </w:tc>
      </w:tr>
      <w:tr>
        <w:trPr>
          <w:trHeight w:val="41"/>
        </w:trPr>
        <w:tc>
          <w:tcPr>
            <w:tcW w:w="66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Exploration licenses (Note 4)</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42,701,464</w:t>
            </w:r>
          </w:p>
        </w:tc>
      </w:tr>
      <w:tr>
        <w:trPr>
          <w:trHeight w:val="291"/>
        </w:trPr>
        <w:tc>
          <w:tcPr>
            <w:tcW w:w="6780" w:type="dxa"/>
            <w:vAlign w:val="bottom"/>
            <w:gridSpan w:val="3"/>
          </w:tcPr>
          <w:p>
            <w:pPr>
              <w:spacing w:after="0"/>
              <w:rPr>
                <w:sz w:val="20"/>
                <w:szCs w:val="20"/>
                <w:color w:val="auto"/>
              </w:rPr>
            </w:pPr>
            <w:r>
              <w:rPr>
                <w:rFonts w:ascii="Arial" w:cs="Arial" w:eastAsia="Arial" w:hAnsi="Arial"/>
                <w:sz w:val="18"/>
                <w:szCs w:val="18"/>
                <w:color w:val="auto"/>
              </w:rPr>
              <w:t>Deferred tax liability</w:t>
            </w:r>
            <w:r>
              <w:rPr>
                <w:rFonts w:ascii="Arial" w:cs="Arial" w:eastAsia="Arial" w:hAnsi="Arial"/>
                <w:sz w:val="20"/>
                <w:szCs w:val="20"/>
                <w:color w:val="auto"/>
                <w:vertAlign w:val="superscript"/>
              </w:rPr>
              <w:t>(1)</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(10,675,366)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-3810</wp:posOffset>
            </wp:positionV>
            <wp:extent cx="7454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1320" w:right="459" w:hanging="434"/>
        <w:spacing w:after="0" w:line="276" w:lineRule="auto"/>
        <w:tabs>
          <w:tab w:leader="none" w:pos="131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 deferred tax liability of $10,675,366 was recognized by the Company on acquisition during the year ended December 31, 2020 related to the difference between the book value and the tax basis of the TOML exploration license.</w:t>
      </w:r>
    </w:p>
    <w:p>
      <w:pPr>
        <w:spacing w:after="0" w:line="99" w:lineRule="exact"/>
        <w:rPr>
          <w:sz w:val="20"/>
          <w:szCs w:val="20"/>
          <w:color w:val="auto"/>
        </w:rPr>
      </w:pPr>
    </w:p>
    <w:p>
      <w:pPr>
        <w:ind w:left="880" w:right="619"/>
        <w:spacing w:after="0" w:line="301" w:lineRule="auto"/>
        <w:rPr>
          <w:sz w:val="20"/>
          <w:szCs w:val="20"/>
          <w:color w:val="auto"/>
        </w:rPr>
      </w:pPr>
      <w:r>
        <w:rPr>
          <w:rFonts w:ascii="Arial" w:cs="Arial" w:eastAsia="Arial" w:hAnsi="Arial"/>
          <w:sz w:val="16"/>
          <w:szCs w:val="16"/>
          <w:color w:val="auto"/>
        </w:rPr>
        <w:t>The Company made payments to Deep Sea Mining as follow in connection with the deferred consideration: $1,250,000 on January 26, 2021, $440,000 on February 26, 2021, $500,000 on March 31, 2021, $500,000 on April 30, 2021, $500,000 on May 31, 2021, and $250,000 on June 30, 2021. As at June 30, 2021, the Company has no further deferred consideration outstanding for this acquisition.</w:t>
      </w:r>
    </w:p>
    <w:p>
      <w:pPr>
        <w:spacing w:after="0" w:line="153" w:lineRule="exact"/>
        <w:rPr>
          <w:sz w:val="20"/>
          <w:szCs w:val="20"/>
          <w:color w:val="auto"/>
        </w:rPr>
      </w:pPr>
    </w:p>
    <w:p>
      <w:pPr>
        <w:ind w:left="860" w:hanging="406"/>
        <w:spacing w:after="0"/>
        <w:tabs>
          <w:tab w:leader="none" w:pos="8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Exploration Licenses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Significant Exploration Agreements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158" w:lineRule="exact"/>
        <w:rPr>
          <w:sz w:val="20"/>
          <w:szCs w:val="20"/>
          <w:color w:val="auto"/>
        </w:rPr>
      </w:pPr>
    </w:p>
    <w:p>
      <w:pPr>
        <w:ind w:left="880" w:right="559"/>
        <w:spacing w:after="0" w:line="287" w:lineRule="auto"/>
        <w:rPr>
          <w:sz w:val="20"/>
          <w:szCs w:val="20"/>
          <w:color w:val="auto"/>
        </w:rPr>
      </w:pPr>
      <w:r>
        <w:rPr>
          <w:rFonts w:ascii="Arial" w:cs="Arial" w:eastAsia="Arial" w:hAnsi="Arial"/>
          <w:sz w:val="16"/>
          <w:szCs w:val="16"/>
          <w:color w:val="auto"/>
        </w:rPr>
        <w:t>The Company’s wholly-owned subsidiary, NORI, was granted a polymetallic nodule exploration contract in the CCZ by the ISA on July 22, 2011. The contract was acquired for $250,000, and provides NORI with exclusive rights to explore for polymetallic nodules in an area covering 74,830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for 15 years subject to complying with the exploration contract terms (Note 9) and provides NORI with the priority right to apply for an exploitation contract to mine polymetallic nodules in the same area.</w:t>
      </w:r>
    </w:p>
    <w:p>
      <w:pPr>
        <w:spacing w:after="0" w:line="101" w:lineRule="exact"/>
        <w:rPr>
          <w:sz w:val="20"/>
          <w:szCs w:val="20"/>
          <w:color w:val="auto"/>
        </w:rPr>
      </w:pPr>
    </w:p>
    <w:p>
      <w:pPr>
        <w:ind w:left="880" w:right="499"/>
        <w:spacing w:after="0" w:line="308" w:lineRule="auto"/>
        <w:rPr>
          <w:sz w:val="20"/>
          <w:szCs w:val="20"/>
          <w:color w:val="auto"/>
        </w:rPr>
      </w:pPr>
      <w:r>
        <w:rPr>
          <w:rFonts w:ascii="Arial" w:cs="Arial" w:eastAsia="Arial" w:hAnsi="Arial"/>
          <w:sz w:val="17"/>
          <w:szCs w:val="17"/>
          <w:color w:val="auto"/>
        </w:rPr>
        <w:t>NORI has a right to renounce, without penalty, the whole or part of its rights in the exploration area at any time and therefore doesn’t have a fixed commitment with relation to the NORI License (Note 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March 17, 2012 the Company’s wholly-owned subsidiary, DeepGreen Engineering Pte. Ltd. (“DGE”),</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entered into an Option Agreement (the “Marawa Option Agreement”) with Marawa and the Republic of</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Kiribati (the “State”). This Marawa Option Agreement was amended on October 1, 2013. Under the</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amended Marawa Option Agreement, for an option fee of $250,000, DGE has the right to purchase</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tenements, as may be granted to Marawa by the ISA or any other regulatory body, for the greater of</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$300,000 or the value of any amounts owing to DGE by Marawa. This Marawa Option, can be exercised</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when a default event, as defined by the amendment agreement, occurs and anytime within 40 years after</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date of execution of the Marawa Option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7" w:name="page258"/>
    <w:bookmarkEnd w:id="25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Exploration Licenses </w:t>
      </w:r>
      <w:r>
        <w:rPr>
          <w:rFonts w:ascii="Arial" w:cs="Arial" w:eastAsia="Arial" w:hAnsi="Arial"/>
          <w:sz w:val="18"/>
          <w:szCs w:val="18"/>
          <w:color w:val="auto"/>
        </w:rPr>
        <w:t>(cont.)</w:t>
      </w:r>
    </w:p>
    <w:p>
      <w:pPr>
        <w:spacing w:after="0" w:line="189" w:lineRule="exact"/>
        <w:rPr>
          <w:sz w:val="20"/>
          <w:szCs w:val="20"/>
          <w:color w:val="auto"/>
        </w:rPr>
      </w:pPr>
    </w:p>
    <w:p>
      <w:pPr>
        <w:ind w:left="880" w:right="899"/>
        <w:spacing w:after="0" w:line="277" w:lineRule="auto"/>
        <w:rPr>
          <w:sz w:val="20"/>
          <w:szCs w:val="20"/>
          <w:color w:val="auto"/>
        </w:rPr>
      </w:pPr>
      <w:r>
        <w:rPr>
          <w:rFonts w:ascii="Arial" w:cs="Arial" w:eastAsia="Arial" w:hAnsi="Arial"/>
          <w:sz w:val="18"/>
          <w:szCs w:val="18"/>
          <w:color w:val="auto"/>
        </w:rPr>
        <w:t>As at June 30, 2021, Marawa had no amounts owing to DGE under the Marawa Services Agreement (defined below) and no purchase tenements had been granted to Marawa.</w:t>
      </w:r>
    </w:p>
    <w:p>
      <w:pPr>
        <w:spacing w:after="0" w:line="103" w:lineRule="exact"/>
        <w:rPr>
          <w:sz w:val="20"/>
          <w:szCs w:val="20"/>
          <w:color w:val="auto"/>
        </w:rPr>
      </w:pPr>
    </w:p>
    <w:p>
      <w:pPr>
        <w:ind w:left="880" w:right="619"/>
        <w:spacing w:after="0" w:line="296" w:lineRule="auto"/>
        <w:rPr>
          <w:sz w:val="20"/>
          <w:szCs w:val="20"/>
          <w:color w:val="auto"/>
        </w:rPr>
      </w:pPr>
      <w:r>
        <w:rPr>
          <w:rFonts w:ascii="Arial" w:cs="Arial" w:eastAsia="Arial" w:hAnsi="Arial"/>
          <w:sz w:val="16"/>
          <w:szCs w:val="16"/>
          <w:color w:val="auto"/>
        </w:rPr>
        <w:t>On October 1, 2013, DGE entered into a services agreement (the “Marawa Services Agreement”) with Marawa and the State, which grants the Company the exclusive right to carry out all exploration and mining in the Marawa Area. Under this agreement DGE will pay to the ISA on behalf of Marawa the following dues: $47,000 annual exploration fees, the ISA royalty and taxes and the ISA exploitation application fee of $250,000. Also, DGE will ensure that the activities carried out in the Marawa Area by DGE and any other service contractor complies with the ISA regulations and any other required regulations. The Marawa Area is situated in close proximity to the 74,830 km</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NORI Area.</w:t>
      </w:r>
    </w:p>
    <w:p>
      <w:pPr>
        <w:spacing w:after="0" w:line="44" w:lineRule="exact"/>
        <w:rPr>
          <w:sz w:val="20"/>
          <w:szCs w:val="20"/>
          <w:color w:val="auto"/>
        </w:rPr>
      </w:pPr>
    </w:p>
    <w:p>
      <w:pPr>
        <w:ind w:left="880" w:right="619"/>
        <w:spacing w:after="0" w:line="263" w:lineRule="auto"/>
        <w:rPr>
          <w:sz w:val="20"/>
          <w:szCs w:val="20"/>
          <w:color w:val="auto"/>
        </w:rPr>
      </w:pPr>
      <w:r>
        <w:rPr>
          <w:rFonts w:ascii="Arial" w:cs="Arial" w:eastAsia="Arial" w:hAnsi="Arial"/>
          <w:sz w:val="18"/>
          <w:szCs w:val="18"/>
          <w:color w:val="auto"/>
        </w:rPr>
        <w:t>The Marawa Services Agreement grants DGE the right to recover any and all polymetallic nodules from the Marawa Area by paying the Republic of Kiribati a royalty per wet tonne of polymetallic nodules (adjusted for inflation from October 1, 2013 onwards).</w:t>
      </w:r>
    </w:p>
    <w:p>
      <w:pPr>
        <w:spacing w:after="0" w:line="103" w:lineRule="exact"/>
        <w:rPr>
          <w:sz w:val="20"/>
          <w:szCs w:val="20"/>
          <w:color w:val="auto"/>
        </w:rPr>
      </w:pPr>
    </w:p>
    <w:p>
      <w:pPr>
        <w:ind w:left="880" w:right="479"/>
        <w:spacing w:after="0" w:line="254" w:lineRule="auto"/>
        <w:rPr>
          <w:sz w:val="20"/>
          <w:szCs w:val="20"/>
          <w:color w:val="auto"/>
        </w:rPr>
      </w:pPr>
      <w:r>
        <w:rPr>
          <w:rFonts w:ascii="Arial" w:cs="Arial" w:eastAsia="Arial" w:hAnsi="Arial"/>
          <w:sz w:val="18"/>
          <w:szCs w:val="18"/>
          <w:color w:val="auto"/>
        </w:rPr>
        <w:t>DGE has the right to terminate the Marawa Services Agreement at its sole discretion by giving written notice to Marawa and the State,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and the Marawa Services Agreement.</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158" w:lineRule="exact"/>
        <w:rPr>
          <w:sz w:val="20"/>
          <w:szCs w:val="20"/>
          <w:color w:val="auto"/>
        </w:rPr>
      </w:pPr>
    </w:p>
    <w:p>
      <w:pPr>
        <w:ind w:left="880" w:right="479"/>
        <w:spacing w:after="0" w:line="250" w:lineRule="auto"/>
        <w:rPr>
          <w:sz w:val="20"/>
          <w:szCs w:val="20"/>
          <w:color w:val="auto"/>
        </w:rPr>
      </w:pPr>
      <w:r>
        <w:rPr>
          <w:rFonts w:ascii="Arial" w:cs="Arial" w:eastAsia="Arial" w:hAnsi="Arial"/>
          <w:sz w:val="18"/>
          <w:szCs w:val="18"/>
          <w:color w:val="auto"/>
        </w:rPr>
        <w:t>The Company’s wholly-owned subsidiary, TOML, was granted a polymetallic nodule exploration contract in the six areas of CCZ by the ISA on Jan 11 2012. The TOML Group was acquired by the Company for $32 million from Deep Sea Mining (Note 3). TOML has the exclusive rights to explore for polymetallic nodules in an area covering 74,713 km</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for 15 years and a priority right to apply for an exploitation contract to mine polymetallic nodules in the TOML area.</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Strategic Partnerships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Marine Vessel Services:</w:t>
      </w:r>
    </w:p>
    <w:p>
      <w:pPr>
        <w:spacing w:after="0" w:line="158" w:lineRule="exact"/>
        <w:rPr>
          <w:sz w:val="20"/>
          <w:szCs w:val="20"/>
          <w:color w:val="auto"/>
        </w:rPr>
      </w:pPr>
    </w:p>
    <w:p>
      <w:pPr>
        <w:ind w:left="880" w:right="479"/>
        <w:spacing w:after="0" w:line="288" w:lineRule="auto"/>
        <w:rPr>
          <w:sz w:val="20"/>
          <w:szCs w:val="20"/>
          <w:color w:val="auto"/>
        </w:rPr>
      </w:pPr>
      <w:r>
        <w:rPr>
          <w:rFonts w:ascii="Arial" w:cs="Arial" w:eastAsia="Arial" w:hAnsi="Arial"/>
          <w:sz w:val="16"/>
          <w:szCs w:val="16"/>
          <w:color w:val="auto"/>
        </w:rPr>
        <w:t>Effective March 15, 2017, the Company entered into a strategic partnership with Maersk to undertake the exploration, environmental base line and offshore testing required to support development of feasibility studies for economic production of polymetallic nodules from the CCZ. Under the agreement, Maersk provides marine vessel services and project management services, enabling DeepGreen to undertake the various marine cruises to support required prefeasibility studies. During these marine cruises DeepGreen undertook baseline studies required to complete an Environmental and Social Impact Assessment (“ESIA”), collected nodules for metallurgical test work and collected samples for resource evaluation. Up until February 5, 2021, the costs related to the marine vessel use was settled through DeepGreen Common Shares, the number of which was based on a contractual price of $1.25 per Common Share. Project management services provided by Maersk are paid in cash.</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8" w:name="page259"/>
    <w:bookmarkEnd w:id="25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Exploration Licenses </w:t>
      </w:r>
      <w:r>
        <w:rPr>
          <w:rFonts w:ascii="Arial" w:cs="Arial" w:eastAsia="Arial" w:hAnsi="Arial"/>
          <w:sz w:val="18"/>
          <w:szCs w:val="18"/>
          <w:color w:val="auto"/>
        </w:rPr>
        <w:t>(cont.)</w:t>
      </w:r>
    </w:p>
    <w:p>
      <w:pPr>
        <w:spacing w:after="0" w:line="189" w:lineRule="exact"/>
        <w:rPr>
          <w:sz w:val="20"/>
          <w:szCs w:val="20"/>
          <w:color w:val="auto"/>
        </w:rPr>
      </w:pPr>
    </w:p>
    <w:p>
      <w:pPr>
        <w:ind w:left="880" w:right="499"/>
        <w:spacing w:after="0" w:line="277" w:lineRule="auto"/>
        <w:rPr>
          <w:sz w:val="20"/>
          <w:szCs w:val="20"/>
          <w:color w:val="auto"/>
        </w:rPr>
      </w:pPr>
      <w:r>
        <w:rPr>
          <w:rFonts w:ascii="Arial" w:cs="Arial" w:eastAsia="Arial" w:hAnsi="Arial"/>
          <w:sz w:val="18"/>
          <w:szCs w:val="18"/>
          <w:color w:val="auto"/>
        </w:rPr>
        <w:t>Common Shares transactions with Maersk since the inception of the strategic partnership with DeepGreen are as follows:</w:t>
      </w:r>
    </w:p>
    <w:p>
      <w:pPr>
        <w:spacing w:after="0" w:line="144"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Fair value of</w:t>
            </w:r>
          </w:p>
        </w:tc>
        <w:tc>
          <w:tcPr>
            <w:tcW w:w="1120" w:type="dxa"/>
            <w:vAlign w:val="bottom"/>
          </w:tcPr>
          <w:p>
            <w:pPr>
              <w:spacing w:after="0"/>
              <w:rPr>
                <w:sz w:val="17"/>
                <w:szCs w:val="17"/>
                <w:color w:val="auto"/>
              </w:rPr>
            </w:pPr>
          </w:p>
        </w:tc>
      </w:tr>
      <w:tr>
        <w:trPr>
          <w:trHeight w:val="202"/>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Invoiced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 of</w:t>
            </w: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Common</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Cost</w:t>
            </w:r>
          </w:p>
        </w:tc>
      </w:t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amount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Share Price</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6"/>
              </w:rPr>
              <w:t>Recognized</w:t>
            </w:r>
          </w:p>
        </w:tc>
      </w:tr>
      <w:tr>
        <w:trPr>
          <w:trHeight w:val="257"/>
        </w:trPr>
        <w:tc>
          <w:tcPr>
            <w:tcW w:w="2140" w:type="dxa"/>
            <w:vAlign w:val="bottom"/>
            <w:gridSpan w:val="2"/>
          </w:tcPr>
          <w:p>
            <w:pPr>
              <w:spacing w:after="0"/>
              <w:rPr>
                <w:sz w:val="20"/>
                <w:szCs w:val="20"/>
                <w:color w:val="auto"/>
              </w:rPr>
            </w:pPr>
            <w:r>
              <w:rPr>
                <w:rFonts w:ascii="Arial" w:cs="Arial" w:eastAsia="Arial" w:hAnsi="Arial"/>
                <w:sz w:val="16"/>
                <w:szCs w:val="16"/>
                <w:b w:val="1"/>
                <w:bCs w:val="1"/>
                <w:color w:val="auto"/>
              </w:rPr>
              <w:t>Year of Service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22"/>
                <w:szCs w:val="22"/>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020" w:type="dxa"/>
            <w:vAlign w:val="bottom"/>
          </w:tcPr>
          <w:p>
            <w:pPr>
              <w:jc w:val="center"/>
              <w:spacing w:after="0" w:line="256" w:lineRule="exact"/>
              <w:rPr>
                <w:sz w:val="20"/>
                <w:szCs w:val="20"/>
                <w:color w:val="auto"/>
              </w:rPr>
            </w:pPr>
            <w:r>
              <w:rPr>
                <w:rFonts w:ascii="Arial" w:cs="Arial" w:eastAsia="Arial" w:hAnsi="Arial"/>
                <w:sz w:val="29"/>
                <w:szCs w:val="29"/>
                <w:b w:val="1"/>
                <w:bCs w:val="1"/>
                <w:color w:val="auto"/>
                <w:w w:val="82"/>
                <w:vertAlign w:val="subscript"/>
              </w:rPr>
              <w:t>$</w:t>
            </w:r>
            <w:r>
              <w:rPr>
                <w:rFonts w:ascii="Arial" w:cs="Arial" w:eastAsia="Arial" w:hAnsi="Arial"/>
                <w:sz w:val="9"/>
                <w:szCs w:val="9"/>
                <w:b w:val="1"/>
                <w:bCs w:val="1"/>
                <w:color w:val="auto"/>
                <w:w w:val="82"/>
              </w:rPr>
              <w:t>(1)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r>
      <w:tr>
        <w:trPr>
          <w:trHeight w:val="243"/>
        </w:trPr>
        <w:tc>
          <w:tcPr>
            <w:tcW w:w="20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2017/2018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2,052,400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1,539,300</w:t>
            </w:r>
          </w:p>
        </w:tc>
      </w:tr>
      <w:tr>
        <w:trPr>
          <w:trHeight w:val="243"/>
        </w:trPr>
        <w:tc>
          <w:tcPr>
            <w:tcW w:w="204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4,593,828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3,675,062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120" w:type="dxa"/>
            <w:vAlign w:val="bottom"/>
          </w:tcPr>
          <w:p>
            <w:pPr>
              <w:jc w:val="right"/>
              <w:spacing w:after="0"/>
              <w:rPr>
                <w:sz w:val="20"/>
                <w:szCs w:val="20"/>
                <w:color w:val="auto"/>
              </w:rPr>
            </w:pPr>
            <w:r>
              <w:rPr>
                <w:rFonts w:ascii="Arial" w:cs="Arial" w:eastAsia="Arial" w:hAnsi="Arial"/>
                <w:sz w:val="18"/>
                <w:szCs w:val="18"/>
                <w:color w:val="auto"/>
              </w:rPr>
              <w:t>6,431,359</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5,615,480</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4,492,384</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16,172,582</w:t>
            </w:r>
          </w:p>
        </w:tc>
      </w:tr>
      <w:tr>
        <w:trPr>
          <w:trHeight w:val="243"/>
        </w:trPr>
        <w:tc>
          <w:tcPr>
            <w:tcW w:w="2040" w:type="dxa"/>
            <w:vAlign w:val="bottom"/>
          </w:tcPr>
          <w:p>
            <w:pPr>
              <w:spacing w:after="0"/>
              <w:rPr>
                <w:sz w:val="20"/>
                <w:szCs w:val="20"/>
                <w:color w:val="auto"/>
              </w:rPr>
            </w:pPr>
            <w:r>
              <w:rPr>
                <w:rFonts w:ascii="Arial" w:cs="Arial" w:eastAsia="Arial" w:hAnsi="Arial"/>
                <w:sz w:val="18"/>
                <w:szCs w:val="18"/>
                <w:color w:val="auto"/>
              </w:rPr>
              <w:t>2019/2020</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5,120,013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4,096,011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120" w:type="dxa"/>
            <w:vAlign w:val="bottom"/>
          </w:tcPr>
          <w:p>
            <w:pPr>
              <w:jc w:val="right"/>
              <w:spacing w:after="0"/>
              <w:rPr>
                <w:sz w:val="20"/>
                <w:szCs w:val="20"/>
                <w:color w:val="auto"/>
              </w:rPr>
            </w:pPr>
            <w:r>
              <w:rPr>
                <w:rFonts w:ascii="Arial" w:cs="Arial" w:eastAsia="Arial" w:hAnsi="Arial"/>
                <w:sz w:val="18"/>
                <w:szCs w:val="18"/>
                <w:color w:val="auto"/>
              </w:rPr>
              <w:t>14,745,639</w:t>
            </w:r>
          </w:p>
        </w:tc>
      </w:tr>
      <w:tr>
        <w:trPr>
          <w:trHeight w:val="41"/>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3"/>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2020/2021</w:t>
            </w:r>
            <w:r>
              <w:rPr>
                <w:rFonts w:ascii="Arial" w:cs="Arial" w:eastAsia="Arial" w:hAnsi="Arial"/>
                <w:sz w:val="20"/>
                <w:szCs w:val="20"/>
                <w:color w:val="auto"/>
                <w:vertAlign w:val="superscript"/>
              </w:rPr>
              <w:t>(2)</w:t>
            </w:r>
          </w:p>
        </w:tc>
        <w:tc>
          <w:tcPr>
            <w:tcW w:w="10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4,582,834</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3,666,267</w:t>
            </w:r>
          </w:p>
        </w:tc>
        <w:tc>
          <w:tcPr>
            <w:tcW w:w="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25,663,869</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22,477,655</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17,982,124</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64,552,749</w:t>
            </w: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1320" w:right="599" w:hanging="434"/>
        <w:spacing w:after="0" w:line="264" w:lineRule="auto"/>
        <w:tabs>
          <w:tab w:leader="none" w:pos="131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fair value of the Company’s Common Shares was determined based on the private placements completed around the time of Common Share issuances to Maersk, including the application of weighted average probability for the closing of the Business Combination.</w:t>
      </w:r>
    </w:p>
    <w:p>
      <w:pPr>
        <w:ind w:left="1320" w:right="479" w:hanging="434"/>
        <w:spacing w:after="0" w:line="272" w:lineRule="auto"/>
        <w:tabs>
          <w:tab w:leader="none" w:pos="13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During the six months ended June 30, 2021, the Company issued 3,666,267 Common Shares to Maersk of which, 3,577,516 pertained to the marine vessel use during the year ended December 31, 2020. These Common Shares were recognized at their estimated fair value of $7.00 (December 31, 2020 — $3.60 per Common Share).</w:t>
      </w:r>
    </w:p>
    <w:p>
      <w:pPr>
        <w:spacing w:after="0" w:line="103" w:lineRule="exact"/>
        <w:rPr>
          <w:sz w:val="20"/>
          <w:szCs w:val="20"/>
          <w:color w:val="auto"/>
        </w:rPr>
      </w:pPr>
    </w:p>
    <w:p>
      <w:pPr>
        <w:ind w:left="880" w:right="719"/>
        <w:spacing w:after="0" w:line="342" w:lineRule="auto"/>
        <w:rPr>
          <w:sz w:val="20"/>
          <w:szCs w:val="20"/>
          <w:color w:val="auto"/>
        </w:rPr>
      </w:pPr>
      <w:r>
        <w:rPr>
          <w:rFonts w:ascii="Arial" w:cs="Arial" w:eastAsia="Arial" w:hAnsi="Arial"/>
          <w:sz w:val="16"/>
          <w:szCs w:val="16"/>
          <w:color w:val="auto"/>
        </w:rPr>
        <w:t>As at June 30, 2021, Maersk owned 17,982,123 Common Shares of the Company which constituted 10.53% of the total Common Shares outstanding. Maersk is considered a related party to the Company.</w:t>
      </w:r>
    </w:p>
    <w:p>
      <w:pPr>
        <w:spacing w:after="0" w:line="56" w:lineRule="exact"/>
        <w:rPr>
          <w:sz w:val="20"/>
          <w:szCs w:val="20"/>
          <w:color w:val="auto"/>
        </w:rPr>
      </w:pPr>
    </w:p>
    <w:p>
      <w:pPr>
        <w:jc w:val="both"/>
        <w:ind w:left="880" w:right="519"/>
        <w:spacing w:after="0" w:line="277" w:lineRule="auto"/>
        <w:rPr>
          <w:sz w:val="20"/>
          <w:szCs w:val="20"/>
          <w:color w:val="auto"/>
        </w:rPr>
      </w:pPr>
      <w:r>
        <w:rPr>
          <w:rFonts w:ascii="Arial" w:cs="Arial" w:eastAsia="Arial" w:hAnsi="Arial"/>
          <w:sz w:val="18"/>
          <w:szCs w:val="18"/>
          <w:color w:val="auto"/>
        </w:rPr>
        <w:t>Total cost incurred to Maersk for marine campaigns during the six months ended June 30, 2021 amounted to $22,056,802 (June 30, 2020 - $15,547,941).</w:t>
      </w:r>
    </w:p>
    <w:p>
      <w:pPr>
        <w:spacing w:after="0" w:line="103" w:lineRule="exact"/>
        <w:rPr>
          <w:sz w:val="20"/>
          <w:szCs w:val="20"/>
          <w:color w:val="auto"/>
        </w:rPr>
      </w:pPr>
    </w:p>
    <w:p>
      <w:pPr>
        <w:jc w:val="both"/>
        <w:ind w:left="880" w:right="539"/>
        <w:spacing w:after="0" w:line="279" w:lineRule="auto"/>
        <w:rPr>
          <w:sz w:val="20"/>
          <w:szCs w:val="20"/>
          <w:color w:val="auto"/>
        </w:rPr>
      </w:pPr>
      <w:r>
        <w:rPr>
          <w:rFonts w:ascii="Arial" w:cs="Arial" w:eastAsia="Arial" w:hAnsi="Arial"/>
          <w:sz w:val="17"/>
          <w:szCs w:val="17"/>
          <w:color w:val="auto"/>
        </w:rPr>
        <w:t>On March 4, 2021, the agreement with Maersk was amended whereby all costs incurred from February 5, 2021 pertaining to the use of the marine vessel would be paid in cash rather than through issuance of the Common Shares of the Company. The amended agreement is in place until early 2022, at which point the parties will finalize the potential offshore engagement beyond 2022.</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at June 30, 2021, amount payable to Maersk was $5,904,606 (December 31, 2020 - $1,829,268).</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Pilot Mining Test Project</w:t>
      </w:r>
    </w:p>
    <w:p>
      <w:pPr>
        <w:spacing w:after="0" w:line="158" w:lineRule="exact"/>
        <w:rPr>
          <w:sz w:val="20"/>
          <w:szCs w:val="20"/>
          <w:color w:val="auto"/>
        </w:rPr>
      </w:pPr>
    </w:p>
    <w:p>
      <w:pPr>
        <w:ind w:left="880" w:right="559"/>
        <w:spacing w:after="0" w:line="289" w:lineRule="auto"/>
        <w:rPr>
          <w:sz w:val="20"/>
          <w:szCs w:val="20"/>
          <w:color w:val="auto"/>
        </w:rPr>
      </w:pPr>
      <w:r>
        <w:rPr>
          <w:rFonts w:ascii="Arial" w:cs="Arial" w:eastAsia="Arial" w:hAnsi="Arial"/>
          <w:sz w:val="16"/>
          <w:szCs w:val="16"/>
          <w:color w:val="auto"/>
        </w:rPr>
        <w:t>On March 29, 2019, DeepGreen and Allseas entered into a strategic alliance to conduct a Pilot Mining Test System (“PMTS”), the successful completion of which would aid DeepGreen’s application for an exploitation contract with the ISA. Under the terms of this strategic alliance, Allseas subscribed for 6,666,668 Common Shares of DeepGreen for a total of $20,000,000 in cash (received during the year ended December 31, 2019) and in consideration for a successful PMTS, DeepGreen committed to paying Allseas $30,000,000 in cash and further issuing 10,000,000 Common Shares (with a contractual price of $3.00 per share) for an additional anticipated cost of $30,000,000 to Allseas. This additional payment is contingent upon successful delivery of the PMTS. Allseas will cover all the development cost of the project and will own all intellectual property used and generated in the development of the PMTS.</w:t>
      </w:r>
    </w:p>
    <w:p>
      <w:pPr>
        <w:spacing w:after="0" w:line="99" w:lineRule="exact"/>
        <w:rPr>
          <w:sz w:val="20"/>
          <w:szCs w:val="20"/>
          <w:color w:val="auto"/>
        </w:rPr>
      </w:pPr>
    </w:p>
    <w:p>
      <w:pPr>
        <w:jc w:val="both"/>
        <w:ind w:left="880" w:right="519"/>
        <w:spacing w:after="0" w:line="311" w:lineRule="auto"/>
        <w:rPr>
          <w:sz w:val="20"/>
          <w:szCs w:val="20"/>
          <w:color w:val="auto"/>
        </w:rPr>
      </w:pPr>
      <w:r>
        <w:rPr>
          <w:rFonts w:ascii="Arial" w:cs="Arial" w:eastAsia="Arial" w:hAnsi="Arial"/>
          <w:sz w:val="16"/>
          <w:szCs w:val="16"/>
          <w:color w:val="auto"/>
        </w:rPr>
        <w:t>Upon successful completion of the PMTS, DeepGreen and Allseas have also agreed to enter into a nodule collection and shipping agreement whereby Allseas will provide production services for the production of the first 200 million metric tonnes of polymetallic nodules on a cost plus 50% profit basis.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9" w:name="page260"/>
    <w:bookmarkEnd w:id="25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Exploration Licenses </w:t>
      </w:r>
      <w:r>
        <w:rPr>
          <w:rFonts w:ascii="Arial" w:cs="Arial" w:eastAsia="Arial" w:hAnsi="Arial"/>
          <w:sz w:val="18"/>
          <w:szCs w:val="18"/>
          <w:color w:val="auto"/>
        </w:rPr>
        <w:t>(cont.)</w:t>
      </w:r>
    </w:p>
    <w:p>
      <w:pPr>
        <w:spacing w:after="0" w:line="189" w:lineRule="exact"/>
        <w:rPr>
          <w:sz w:val="20"/>
          <w:szCs w:val="20"/>
          <w:color w:val="auto"/>
        </w:rPr>
      </w:pPr>
    </w:p>
    <w:p>
      <w:pPr>
        <w:ind w:left="880" w:right="999"/>
        <w:spacing w:after="0" w:line="277" w:lineRule="auto"/>
        <w:rPr>
          <w:sz w:val="20"/>
          <w:szCs w:val="20"/>
          <w:color w:val="auto"/>
        </w:rPr>
      </w:pPr>
      <w:r>
        <w:rPr>
          <w:rFonts w:ascii="Arial" w:cs="Arial" w:eastAsia="Arial" w:hAnsi="Arial"/>
          <w:sz w:val="18"/>
          <w:szCs w:val="18"/>
          <w:color w:val="auto"/>
        </w:rPr>
        <w:t>DeepGreen and Allseas can terminate the strategic alliance without cause at any time subject to the following:</w:t>
      </w:r>
    </w:p>
    <w:p>
      <w:pPr>
        <w:spacing w:after="0" w:line="103" w:lineRule="exact"/>
        <w:rPr>
          <w:sz w:val="20"/>
          <w:szCs w:val="20"/>
          <w:color w:val="auto"/>
        </w:rPr>
      </w:pPr>
    </w:p>
    <w:p>
      <w:pPr>
        <w:ind w:left="1760" w:right="959" w:hanging="442"/>
        <w:spacing w:after="0" w:line="277" w:lineRule="auto"/>
        <w:tabs>
          <w:tab w:leader="none" w:pos="175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DeepGreen will have a call option to buy Allseas’ Common Shares in DeepGreen at the original contractual price.</w:t>
      </w:r>
    </w:p>
    <w:p>
      <w:pPr>
        <w:spacing w:after="0" w:line="102" w:lineRule="exact"/>
        <w:rPr>
          <w:rFonts w:ascii="Arial" w:cs="Arial" w:eastAsia="Arial" w:hAnsi="Arial"/>
          <w:sz w:val="18"/>
          <w:szCs w:val="18"/>
          <w:color w:val="auto"/>
        </w:rPr>
      </w:pPr>
    </w:p>
    <w:p>
      <w:pPr>
        <w:ind w:left="1760" w:right="779" w:hanging="442"/>
        <w:spacing w:after="0" w:line="263" w:lineRule="auto"/>
        <w:tabs>
          <w:tab w:leader="none" w:pos="175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Allseas will have the right to collect 100 million metric tonnes (wet) of manganese nodule resources held by the Company by paying DeepGreen a royalty equivalent to 50% of the royalty charged by the ISA on the nodules collected.</w:t>
      </w:r>
    </w:p>
    <w:p>
      <w:pPr>
        <w:spacing w:after="0" w:line="102" w:lineRule="exact"/>
        <w:rPr>
          <w:rFonts w:ascii="Arial" w:cs="Arial" w:eastAsia="Arial" w:hAnsi="Arial"/>
          <w:sz w:val="18"/>
          <w:szCs w:val="18"/>
          <w:color w:val="auto"/>
        </w:rPr>
      </w:pPr>
    </w:p>
    <w:p>
      <w:pPr>
        <w:ind w:left="1760" w:right="859" w:hanging="442"/>
        <w:spacing w:after="0" w:line="277" w:lineRule="auto"/>
        <w:tabs>
          <w:tab w:leader="none" w:pos="175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DeepGreen will have the right of first refusal to acquire and process all nodules collected using Allseas nodule collection and shipping systems.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Upon termination without successful commissioning of the PMTS, Allseas will be compelled to either (at</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Allseas’ sole election):</w:t>
      </w:r>
    </w:p>
    <w:p>
      <w:pPr>
        <w:spacing w:after="0" w:line="143" w:lineRule="exact"/>
        <w:rPr>
          <w:sz w:val="20"/>
          <w:szCs w:val="20"/>
          <w:color w:val="auto"/>
        </w:rPr>
      </w:pPr>
    </w:p>
    <w:p>
      <w:pPr>
        <w:ind w:left="1760" w:right="979" w:hanging="442"/>
        <w:spacing w:after="0" w:line="277" w:lineRule="auto"/>
        <w:tabs>
          <w:tab w:leader="none" w:pos="175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Acquire an additional 10,000,000 Common Shares in DeepGreen for a consideration of $30,000,000; or</w:t>
      </w:r>
    </w:p>
    <w:p>
      <w:pPr>
        <w:spacing w:after="0" w:line="89" w:lineRule="exact"/>
        <w:rPr>
          <w:rFonts w:ascii="Arial" w:cs="Arial" w:eastAsia="Arial" w:hAnsi="Arial"/>
          <w:sz w:val="18"/>
          <w:szCs w:val="18"/>
          <w:color w:val="auto"/>
        </w:rPr>
      </w:pPr>
    </w:p>
    <w:p>
      <w:pPr>
        <w:ind w:left="1760" w:right="1219" w:hanging="442"/>
        <w:spacing w:after="0" w:line="277" w:lineRule="auto"/>
        <w:tabs>
          <w:tab w:leader="none" w:pos="175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Sell at least 6,666,667 Common Shares held in DeepGreen to the Company for total consideration of $1.</w:t>
      </w:r>
    </w:p>
    <w:p>
      <w:pPr>
        <w:spacing w:after="0" w:line="103" w:lineRule="exact"/>
        <w:rPr>
          <w:sz w:val="20"/>
          <w:szCs w:val="20"/>
          <w:color w:val="auto"/>
        </w:rPr>
      </w:pPr>
    </w:p>
    <w:p>
      <w:pPr>
        <w:ind w:left="880" w:right="539"/>
        <w:spacing w:after="0" w:line="275" w:lineRule="auto"/>
        <w:rPr>
          <w:sz w:val="20"/>
          <w:szCs w:val="20"/>
          <w:color w:val="auto"/>
        </w:rPr>
      </w:pPr>
      <w:r>
        <w:rPr>
          <w:rFonts w:ascii="Arial" w:cs="Arial" w:eastAsia="Arial" w:hAnsi="Arial"/>
          <w:sz w:val="17"/>
          <w:szCs w:val="17"/>
          <w:color w:val="auto"/>
        </w:rPr>
        <w:t>The fair value of the Company’s Common Shares at the time of the initial subscription of $20,000,000 by Allseas was determined to be $1.75 per Common Share, based on the recent private placements completed by the Company at the time. As a result, the difference between the fair value and the total proceeds of $8,333,335 (i.e. $1.25 per Common Share) was considered to be an additional initial contribution by Allseas during the year ended December 31, 2019.</w:t>
      </w:r>
    </w:p>
    <w:p>
      <w:pPr>
        <w:spacing w:after="0" w:line="109" w:lineRule="exact"/>
        <w:rPr>
          <w:sz w:val="20"/>
          <w:szCs w:val="20"/>
          <w:color w:val="auto"/>
        </w:rPr>
      </w:pPr>
    </w:p>
    <w:p>
      <w:pPr>
        <w:jc w:val="both"/>
        <w:ind w:left="880" w:right="519"/>
        <w:spacing w:after="0" w:line="279" w:lineRule="auto"/>
        <w:rPr>
          <w:sz w:val="20"/>
          <w:szCs w:val="20"/>
          <w:color w:val="auto"/>
        </w:rPr>
      </w:pPr>
      <w:r>
        <w:rPr>
          <w:rFonts w:ascii="Arial" w:cs="Arial" w:eastAsia="Arial" w:hAnsi="Arial"/>
          <w:sz w:val="17"/>
          <w:szCs w:val="17"/>
          <w:color w:val="auto"/>
        </w:rPr>
        <w:t>During 2020, the PMTS agreement was amended and DeepGreen paid an additional $10,000,000 in cash and issued 2,777,778 common shares valued at $3.60 per share for an additional $10,000,000 to allow for higher costs that had been incurred by Allseas. The expense related to the payment and issuance of shares was offset by the additional initial contribution by Allseas received in 2019.</w:t>
      </w:r>
    </w:p>
    <w:p>
      <w:pPr>
        <w:spacing w:after="0" w:line="90" w:lineRule="exact"/>
        <w:rPr>
          <w:sz w:val="20"/>
          <w:szCs w:val="20"/>
          <w:color w:val="auto"/>
        </w:rPr>
      </w:pPr>
    </w:p>
    <w:p>
      <w:pPr>
        <w:ind w:left="880" w:right="919"/>
        <w:spacing w:after="0" w:line="277" w:lineRule="auto"/>
        <w:rPr>
          <w:sz w:val="20"/>
          <w:szCs w:val="20"/>
          <w:color w:val="auto"/>
        </w:rPr>
      </w:pPr>
      <w:r>
        <w:rPr>
          <w:rFonts w:ascii="Arial" w:cs="Arial" w:eastAsia="Arial" w:hAnsi="Arial"/>
          <w:sz w:val="18"/>
          <w:szCs w:val="18"/>
          <w:color w:val="auto"/>
        </w:rPr>
        <w:t>During the year ended December 31, 2020, Allseas subscribed for an additional 2,777,778 Common Shares for cash proceeds of $10 million.</w:t>
      </w:r>
    </w:p>
    <w:p>
      <w:pPr>
        <w:spacing w:after="0" w:line="103" w:lineRule="exact"/>
        <w:rPr>
          <w:sz w:val="20"/>
          <w:szCs w:val="20"/>
          <w:color w:val="auto"/>
        </w:rPr>
      </w:pPr>
    </w:p>
    <w:p>
      <w:pPr>
        <w:ind w:left="880" w:right="499"/>
        <w:spacing w:after="0" w:line="289" w:lineRule="auto"/>
        <w:rPr>
          <w:sz w:val="20"/>
          <w:szCs w:val="20"/>
          <w:color w:val="auto"/>
        </w:rPr>
      </w:pPr>
      <w:r>
        <w:rPr>
          <w:rFonts w:ascii="Arial" w:cs="Arial" w:eastAsia="Arial" w:hAnsi="Arial"/>
          <w:sz w:val="16"/>
          <w:szCs w:val="16"/>
          <w:color w:val="auto"/>
        </w:rPr>
        <w:t>On March 4, 2021 and June 30, 2021, DeepGreen entered into an amended agreement with Allseas (the “Amendment #3 and “Amendment #4”, respectively”) whereby, upon successful completion of the Business Combination (Note 1), instead of issuing 10 million Common Shares to Allseas in connection with the PMTS, DeepGreen issued to Allseas, on March 4, 2021, a warrant to acquire 10 million DeepGreen Common Shares at a nominal value (the “Allseas Warrant”). The Allseas Warrant will vest and become exercisable upon successful completion of the PMTS and will expire on September 30, 2026. There are vesting conditions associated with the Allseas Warrant whereby a maximum of 10 million DeepGreen Common Shares would be issued if the PMTS is completed by September 30, 2023, gradually decreasing to 5 million DeepGreen Common Shares if PMTS is completed after September 30, 2025.</w:t>
      </w:r>
    </w:p>
    <w:p>
      <w:pPr>
        <w:spacing w:after="0" w:line="99" w:lineRule="exact"/>
        <w:rPr>
          <w:sz w:val="20"/>
          <w:szCs w:val="20"/>
          <w:color w:val="auto"/>
        </w:rPr>
      </w:pPr>
    </w:p>
    <w:p>
      <w:pPr>
        <w:ind w:left="880" w:right="499"/>
        <w:spacing w:after="0" w:line="255" w:lineRule="auto"/>
        <w:rPr>
          <w:sz w:val="20"/>
          <w:szCs w:val="20"/>
          <w:color w:val="auto"/>
        </w:rPr>
      </w:pPr>
      <w:r>
        <w:rPr>
          <w:rFonts w:ascii="Arial" w:cs="Arial" w:eastAsia="Arial" w:hAnsi="Arial"/>
          <w:sz w:val="18"/>
          <w:szCs w:val="18"/>
          <w:color w:val="auto"/>
        </w:rPr>
        <w:t>The Allseas Warrant was assumed by SOAC at the closing of the Business Combination (Note 1) to become a warrant to purchase TMC common shares, adjusted for the exchange ratio for the transaction. If the market price of the TMC common shares on June 1, 2022 is higher than $15 per share (as adjusted based on the exchange ratio for the closing of the Business Combination), the aggregate value of the shares underlying the warrant above $150 million as at June 1, 2022 will automatically become a commercial credit from Allseas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0" w:name="page261"/>
    <w:bookmarkEnd w:id="26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Exploration Licenses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799"/>
        <w:spacing w:after="0" w:line="259" w:lineRule="auto"/>
        <w:rPr>
          <w:sz w:val="20"/>
          <w:szCs w:val="20"/>
          <w:color w:val="auto"/>
        </w:rPr>
      </w:pPr>
      <w:r>
        <w:rPr>
          <w:rFonts w:ascii="Arial" w:cs="Arial" w:eastAsia="Arial" w:hAnsi="Arial"/>
          <w:sz w:val="18"/>
          <w:szCs w:val="18"/>
          <w:color w:val="auto"/>
        </w:rPr>
        <w:t>to TMC equal to the excess value. This commercial credit will be effective on the vesting date of the Allseas Warrant and the Company will be able to exchange this excess value for any future goods and services from Allseas under the nodule collection and shipping contract for one year after commercial production.</w:t>
      </w:r>
    </w:p>
    <w:p>
      <w:pPr>
        <w:spacing w:after="0" w:line="119" w:lineRule="exact"/>
        <w:rPr>
          <w:sz w:val="20"/>
          <w:szCs w:val="20"/>
          <w:color w:val="auto"/>
        </w:rPr>
      </w:pPr>
    </w:p>
    <w:p>
      <w:pPr>
        <w:ind w:left="880" w:right="899"/>
        <w:spacing w:after="0" w:line="277" w:lineRule="auto"/>
        <w:rPr>
          <w:sz w:val="20"/>
          <w:szCs w:val="20"/>
          <w:color w:val="auto"/>
        </w:rPr>
      </w:pPr>
      <w:r>
        <w:rPr>
          <w:rFonts w:ascii="Arial" w:cs="Arial" w:eastAsia="Arial" w:hAnsi="Arial"/>
          <w:sz w:val="18"/>
          <w:szCs w:val="18"/>
          <w:color w:val="auto"/>
        </w:rPr>
        <w:t>The cash payment of $30 million in the original agreements was also amended to be paid as follows, provided that the Business Combination is completed:</w:t>
      </w:r>
    </w:p>
    <w:p>
      <w:pPr>
        <w:spacing w:after="0" w:line="103" w:lineRule="exact"/>
        <w:rPr>
          <w:sz w:val="20"/>
          <w:szCs w:val="20"/>
          <w:color w:val="auto"/>
        </w:rPr>
      </w:pPr>
    </w:p>
    <w:p>
      <w:pPr>
        <w:ind w:left="1760" w:right="539" w:hanging="442"/>
        <w:spacing w:after="0" w:line="263" w:lineRule="auto"/>
        <w:tabs>
          <w:tab w:leader="none" w:pos="175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with Allseas providing confirmation of placing an order of certain equipment and demonstrating certain progress on construction of the collector vehicle;</w:t>
      </w:r>
    </w:p>
    <w:p>
      <w:pPr>
        <w:spacing w:after="0" w:line="102" w:lineRule="exact"/>
        <w:rPr>
          <w:rFonts w:ascii="Arial" w:cs="Arial" w:eastAsia="Arial" w:hAnsi="Arial"/>
          <w:sz w:val="18"/>
          <w:szCs w:val="18"/>
          <w:color w:val="auto"/>
        </w:rPr>
      </w:pPr>
    </w:p>
    <w:p>
      <w:pPr>
        <w:ind w:left="1760" w:right="479" w:hanging="442"/>
        <w:spacing w:after="0" w:line="277" w:lineRule="auto"/>
        <w:tabs>
          <w:tab w:leader="none" w:pos="175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$10 million on the later of (i) January 1, 2022, and (ii) confirmation of successful collection of the North Sea test; and</w:t>
      </w:r>
    </w:p>
    <w:p>
      <w:pPr>
        <w:spacing w:after="0" w:line="102" w:lineRule="exact"/>
        <w:rPr>
          <w:rFonts w:ascii="Arial" w:cs="Arial" w:eastAsia="Arial" w:hAnsi="Arial"/>
          <w:sz w:val="18"/>
          <w:szCs w:val="18"/>
          <w:color w:val="auto"/>
        </w:rPr>
      </w:pPr>
    </w:p>
    <w:p>
      <w:pPr>
        <w:ind w:left="1740" w:hanging="422"/>
        <w:spacing w:after="0"/>
        <w:tabs>
          <w:tab w:leader="none" w:pos="1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$10 million upon successful completion of the PMTS.</w:t>
      </w:r>
    </w:p>
    <w:p>
      <w:pPr>
        <w:spacing w:after="0" w:line="158" w:lineRule="exact"/>
        <w:rPr>
          <w:sz w:val="20"/>
          <w:szCs w:val="20"/>
          <w:color w:val="auto"/>
        </w:rPr>
      </w:pPr>
    </w:p>
    <w:p>
      <w:pPr>
        <w:ind w:left="880" w:right="699"/>
        <w:spacing w:after="0" w:line="277" w:lineRule="auto"/>
        <w:rPr>
          <w:sz w:val="20"/>
          <w:szCs w:val="20"/>
          <w:color w:val="auto"/>
        </w:rPr>
      </w:pPr>
      <w:r>
        <w:rPr>
          <w:rFonts w:ascii="Arial" w:cs="Arial" w:eastAsia="Arial" w:hAnsi="Arial"/>
          <w:sz w:val="18"/>
          <w:szCs w:val="18"/>
          <w:color w:val="auto"/>
        </w:rPr>
        <w:t>As at June 30, 2021, Allseas has successfully reached the progress milestone for the construction of the collector vehicle and confirmed the order of the required equipment.</w:t>
      </w:r>
    </w:p>
    <w:p>
      <w:pPr>
        <w:spacing w:after="0" w:line="89" w:lineRule="exact"/>
        <w:rPr>
          <w:sz w:val="20"/>
          <w:szCs w:val="20"/>
          <w:color w:val="auto"/>
        </w:rPr>
      </w:pPr>
    </w:p>
    <w:p>
      <w:pPr>
        <w:ind w:left="880" w:right="699"/>
        <w:spacing w:after="0" w:line="342" w:lineRule="auto"/>
        <w:rPr>
          <w:sz w:val="20"/>
          <w:szCs w:val="20"/>
          <w:color w:val="auto"/>
        </w:rPr>
      </w:pPr>
      <w:r>
        <w:rPr>
          <w:rFonts w:ascii="Arial" w:cs="Arial" w:eastAsia="Arial" w:hAnsi="Arial"/>
          <w:sz w:val="16"/>
          <w:szCs w:val="16"/>
          <w:color w:val="auto"/>
        </w:rPr>
        <w:t>The Amendment #3 and Amendment #4 became effective upon the completion of the Business Combination and will be payable within 10 days of the closing of the Business Combination (Note 12).</w:t>
      </w:r>
    </w:p>
    <w:p>
      <w:pPr>
        <w:spacing w:after="0" w:line="56" w:lineRule="exact"/>
        <w:rPr>
          <w:sz w:val="20"/>
          <w:szCs w:val="20"/>
          <w:color w:val="auto"/>
        </w:rPr>
      </w:pPr>
    </w:p>
    <w:p>
      <w:pPr>
        <w:ind w:left="880" w:right="939"/>
        <w:spacing w:after="0" w:line="277" w:lineRule="auto"/>
        <w:rPr>
          <w:sz w:val="20"/>
          <w:szCs w:val="20"/>
          <w:color w:val="auto"/>
        </w:rPr>
      </w:pPr>
      <w:r>
        <w:rPr>
          <w:rFonts w:ascii="Arial" w:cs="Arial" w:eastAsia="Arial" w:hAnsi="Arial"/>
          <w:sz w:val="18"/>
          <w:szCs w:val="18"/>
          <w:color w:val="auto"/>
        </w:rPr>
        <w:t>As at June 30, 2021, Allseas owned 12,222,224 Common Shares of the Company which constituted 7.15% of total Common Shares outstanding.</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Exploration Expenses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exploration expenses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NORI</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Marawa</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0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w w:val="99"/>
              </w:rPr>
              <w:t>For the six months period ended</w:t>
            </w:r>
          </w:p>
        </w:tc>
        <w:tc>
          <w:tcPr>
            <w:tcW w:w="9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General</w:t>
            </w:r>
          </w:p>
        </w:tc>
        <w:tc>
          <w:tcPr>
            <w:tcW w:w="6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License</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Option</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TOML</w:t>
            </w:r>
          </w:p>
        </w:tc>
        <w:tc>
          <w:tcPr>
            <w:tcW w:w="1060" w:type="dxa"/>
            <w:vAlign w:val="bottom"/>
          </w:tcPr>
          <w:p>
            <w:pPr>
              <w:jc w:val="right"/>
              <w:ind w:right="272"/>
              <w:spacing w:after="0"/>
              <w:rPr>
                <w:sz w:val="20"/>
                <w:szCs w:val="20"/>
                <w:color w:val="auto"/>
              </w:rPr>
            </w:pPr>
            <w:r>
              <w:rPr>
                <w:rFonts w:ascii="Arial" w:cs="Arial" w:eastAsia="Arial" w:hAnsi="Arial"/>
                <w:sz w:val="16"/>
                <w:szCs w:val="16"/>
                <w:b w:val="1"/>
                <w:bCs w:val="1"/>
                <w:color w:val="auto"/>
              </w:rPr>
              <w:t>Total</w:t>
            </w:r>
          </w:p>
        </w:tc>
      </w:tr>
      <w:tr>
        <w:trPr>
          <w:trHeight w:val="210"/>
        </w:trPr>
        <w:tc>
          <w:tcPr>
            <w:tcW w:w="4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92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w:t>
            </w:r>
          </w:p>
        </w:tc>
      </w:tr>
      <w:tr>
        <w:trPr>
          <w:trHeight w:val="46"/>
        </w:trPr>
        <w:tc>
          <w:tcPr>
            <w:tcW w:w="40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57"/>
        </w:trPr>
        <w:tc>
          <w:tcPr>
            <w:tcW w:w="400" w:type="dxa"/>
            <w:vAlign w:val="bottom"/>
          </w:tcPr>
          <w:p>
            <w:pPr>
              <w:spacing w:after="0"/>
              <w:rPr>
                <w:sz w:val="22"/>
                <w:szCs w:val="22"/>
                <w:color w:val="auto"/>
              </w:rPr>
            </w:pP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Exploration expenses</w:t>
            </w: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400" w:type="dxa"/>
            <w:vAlign w:val="bottom"/>
          </w:tcPr>
          <w:p>
            <w:pPr>
              <w:spacing w:after="0"/>
              <w:rPr>
                <w:sz w:val="21"/>
                <w:szCs w:val="21"/>
                <w:color w:val="auto"/>
              </w:rPr>
            </w:pPr>
          </w:p>
        </w:tc>
        <w:tc>
          <w:tcPr>
            <w:tcW w:w="2500" w:type="dxa"/>
            <w:vAlign w:val="bottom"/>
            <w:gridSpan w:val="2"/>
          </w:tcPr>
          <w:p>
            <w:pPr>
              <w:ind w:left="180"/>
              <w:spacing w:after="0"/>
              <w:rPr>
                <w:sz w:val="20"/>
                <w:szCs w:val="20"/>
                <w:color w:val="auto"/>
              </w:rPr>
            </w:pPr>
            <w:r>
              <w:rPr>
                <w:rFonts w:ascii="Arial" w:cs="Arial" w:eastAsia="Arial" w:hAnsi="Arial"/>
                <w:sz w:val="18"/>
                <w:szCs w:val="18"/>
                <w:color w:val="auto"/>
              </w:rPr>
              <w:t>Exploration labour</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846,167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353,119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338,382</w:t>
            </w:r>
          </w:p>
        </w:tc>
        <w:tc>
          <w:tcPr>
            <w:tcW w:w="1060" w:type="dxa"/>
            <w:vAlign w:val="bottom"/>
          </w:tcPr>
          <w:p>
            <w:pPr>
              <w:jc w:val="right"/>
              <w:spacing w:after="0"/>
              <w:rPr>
                <w:sz w:val="20"/>
                <w:szCs w:val="20"/>
                <w:color w:val="auto"/>
              </w:rPr>
            </w:pPr>
            <w:r>
              <w:rPr>
                <w:rFonts w:ascii="Arial" w:cs="Arial" w:eastAsia="Arial" w:hAnsi="Arial"/>
                <w:sz w:val="18"/>
                <w:szCs w:val="18"/>
                <w:color w:val="auto"/>
              </w:rPr>
              <w:t>1,537,668</w:t>
            </w:r>
          </w:p>
        </w:tc>
      </w:tr>
      <w:tr>
        <w:trPr>
          <w:trHeight w:val="40"/>
        </w:trPr>
        <w:tc>
          <w:tcPr>
            <w:tcW w:w="4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400" w:type="dxa"/>
            <w:vAlign w:val="bottom"/>
          </w:tcPr>
          <w:p>
            <w:pPr>
              <w:spacing w:after="0"/>
              <w:rPr>
                <w:sz w:val="22"/>
                <w:szCs w:val="22"/>
                <w:color w:val="auto"/>
              </w:rPr>
            </w:pPr>
          </w:p>
        </w:tc>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Marine cruise</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16,883,359</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2,053,866</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2,053,866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20,991,091</w:t>
            </w:r>
          </w:p>
        </w:tc>
      </w:tr>
      <w:tr>
        <w:trPr>
          <w:trHeight w:val="202"/>
        </w:trPr>
        <w:tc>
          <w:tcPr>
            <w:tcW w:w="400" w:type="dxa"/>
            <w:vAlign w:val="bottom"/>
          </w:tcPr>
          <w:p>
            <w:pPr>
              <w:spacing w:after="0"/>
              <w:rPr>
                <w:sz w:val="17"/>
                <w:szCs w:val="17"/>
                <w:color w:val="auto"/>
              </w:rPr>
            </w:pPr>
          </w:p>
        </w:tc>
        <w:tc>
          <w:tcPr>
            <w:tcW w:w="25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Common Share options-based</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p>
        </w:tc>
        <w:tc>
          <w:tcPr>
            <w:tcW w:w="2500" w:type="dxa"/>
            <w:vAlign w:val="bottom"/>
            <w:gridSpan w:val="2"/>
          </w:tcPr>
          <w:p>
            <w:pPr>
              <w:ind w:left="36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18"/>
                <w:szCs w:val="18"/>
                <w:i w:val="1"/>
                <w:iCs w:val="1"/>
                <w:color w:val="auto"/>
              </w:rPr>
              <w:t>(Note 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15,824,192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6,455,350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6,332,012</w:t>
            </w:r>
          </w:p>
        </w:tc>
        <w:tc>
          <w:tcPr>
            <w:tcW w:w="1060" w:type="dxa"/>
            <w:vAlign w:val="bottom"/>
          </w:tcPr>
          <w:p>
            <w:pPr>
              <w:jc w:val="right"/>
              <w:spacing w:after="0"/>
              <w:rPr>
                <w:sz w:val="20"/>
                <w:szCs w:val="20"/>
                <w:color w:val="auto"/>
              </w:rPr>
            </w:pPr>
            <w:r>
              <w:rPr>
                <w:rFonts w:ascii="Arial" w:cs="Arial" w:eastAsia="Arial" w:hAnsi="Arial"/>
                <w:sz w:val="18"/>
                <w:szCs w:val="18"/>
                <w:color w:val="auto"/>
              </w:rPr>
              <w:t>28,611,554</w:t>
            </w:r>
          </w:p>
        </w:tc>
      </w:tr>
      <w:tr>
        <w:trPr>
          <w:trHeight w:val="40"/>
        </w:trPr>
        <w:tc>
          <w:tcPr>
            <w:tcW w:w="4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400" w:type="dxa"/>
            <w:vAlign w:val="bottom"/>
          </w:tcPr>
          <w:p>
            <w:pPr>
              <w:spacing w:after="0"/>
              <w:rPr>
                <w:sz w:val="22"/>
                <w:szCs w:val="22"/>
                <w:color w:val="auto"/>
              </w:rPr>
            </w:pPr>
          </w:p>
        </w:tc>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193,846</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196,080</w:t>
            </w:r>
          </w:p>
        </w:tc>
      </w:tr>
      <w:tr>
        <w:trPr>
          <w:trHeight w:val="243"/>
        </w:trPr>
        <w:tc>
          <w:tcPr>
            <w:tcW w:w="400" w:type="dxa"/>
            <w:vAlign w:val="bottom"/>
          </w:tcPr>
          <w:p>
            <w:pPr>
              <w:spacing w:after="0"/>
              <w:rPr>
                <w:sz w:val="21"/>
                <w:szCs w:val="21"/>
                <w:color w:val="auto"/>
              </w:rPr>
            </w:pPr>
          </w:p>
        </w:tc>
        <w:tc>
          <w:tcPr>
            <w:tcW w:w="2500" w:type="dxa"/>
            <w:vAlign w:val="bottom"/>
            <w:gridSpan w:val="2"/>
          </w:tcPr>
          <w:p>
            <w:pPr>
              <w:ind w:left="180"/>
              <w:spacing w:after="0"/>
              <w:rPr>
                <w:sz w:val="20"/>
                <w:szCs w:val="20"/>
                <w:color w:val="auto"/>
              </w:rPr>
            </w:pPr>
            <w:r>
              <w:rPr>
                <w:rFonts w:ascii="Arial" w:cs="Arial" w:eastAsia="Arial" w:hAnsi="Arial"/>
                <w:sz w:val="18"/>
                <w:szCs w:val="18"/>
                <w:color w:val="auto"/>
              </w:rPr>
              <w:t>External consulting</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2,084,525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419,941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446,390</w:t>
            </w:r>
          </w:p>
        </w:tc>
        <w:tc>
          <w:tcPr>
            <w:tcW w:w="1060" w:type="dxa"/>
            <w:vAlign w:val="bottom"/>
          </w:tcPr>
          <w:p>
            <w:pPr>
              <w:jc w:val="right"/>
              <w:spacing w:after="0"/>
              <w:rPr>
                <w:sz w:val="20"/>
                <w:szCs w:val="20"/>
                <w:color w:val="auto"/>
              </w:rPr>
            </w:pPr>
            <w:r>
              <w:rPr>
                <w:rFonts w:ascii="Arial" w:cs="Arial" w:eastAsia="Arial" w:hAnsi="Arial"/>
                <w:sz w:val="18"/>
                <w:szCs w:val="18"/>
                <w:color w:val="auto"/>
              </w:rPr>
              <w:t>2,951,367</w:t>
            </w:r>
          </w:p>
        </w:tc>
      </w:tr>
      <w:tr>
        <w:trPr>
          <w:trHeight w:val="40"/>
        </w:trPr>
        <w:tc>
          <w:tcPr>
            <w:tcW w:w="4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400" w:type="dxa"/>
            <w:vAlign w:val="bottom"/>
          </w:tcPr>
          <w:p>
            <w:pPr>
              <w:spacing w:after="0"/>
              <w:rPr>
                <w:sz w:val="22"/>
                <w:szCs w:val="22"/>
                <w:color w:val="auto"/>
              </w:rPr>
            </w:pPr>
          </w:p>
        </w:tc>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Travel, workshop and other</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249,790</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92,837</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105,649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448,276</w:t>
            </w:r>
          </w:p>
        </w:tc>
      </w:tr>
      <w:tr>
        <w:trPr>
          <w:trHeight w:val="20"/>
        </w:trPr>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43"/>
        </w:trPr>
        <w:tc>
          <w:tcPr>
            <w:tcW w:w="4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511</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36,081,879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9,375,113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9,278,533</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54,736,036</w:t>
            </w:r>
          </w:p>
        </w:tc>
      </w:tr>
      <w:tr>
        <w:trPr>
          <w:trHeight w:val="20"/>
        </w:trPr>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8"/>
                <w:szCs w:val="18"/>
                <w:color w:val="auto"/>
                <w:w w:val="91"/>
              </w:rPr>
              <w:t>F-83</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61" w:name="page262"/>
    <w:bookmarkEnd w:id="26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4.   Exploration Licenses </w:t>
            </w:r>
            <w:r>
              <w:rPr>
                <w:rFonts w:ascii="Arial" w:cs="Arial" w:eastAsia="Arial" w:hAnsi="Arial"/>
                <w:sz w:val="18"/>
                <w:szCs w:val="18"/>
                <w:color w:val="auto"/>
              </w:rPr>
              <w:t>(cont.)</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64"/>
        </w:trPr>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NORI</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Marawa</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0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w w:val="99"/>
              </w:rPr>
              <w:t>For the six months period ended</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General</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License</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Option</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TOML</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r>
      <w:tr>
        <w:trPr>
          <w:trHeight w:val="210"/>
        </w:trPr>
        <w:tc>
          <w:tcPr>
            <w:tcW w:w="4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June 30, 2020</w:t>
            </w: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r>
      <w:tr>
        <w:trPr>
          <w:trHeight w:val="47"/>
        </w:trPr>
        <w:tc>
          <w:tcPr>
            <w:tcW w:w="40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7"/>
        </w:trPr>
        <w:tc>
          <w:tcPr>
            <w:tcW w:w="400" w:type="dxa"/>
            <w:vAlign w:val="bottom"/>
          </w:tcPr>
          <w:p>
            <w:pPr>
              <w:spacing w:after="0"/>
              <w:rPr>
                <w:sz w:val="20"/>
                <w:szCs w:val="20"/>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Exploration expenses</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40"/>
        </w:trPr>
        <w:tc>
          <w:tcPr>
            <w:tcW w:w="400" w:type="dxa"/>
            <w:vAlign w:val="bottom"/>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3"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Exploration labour</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748,548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384,537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143,068</w:t>
            </w:r>
          </w:p>
        </w:tc>
        <w:tc>
          <w:tcPr>
            <w:tcW w:w="1060" w:type="dxa"/>
            <w:vAlign w:val="bottom"/>
          </w:tcPr>
          <w:p>
            <w:pPr>
              <w:jc w:val="right"/>
              <w:spacing w:after="0"/>
              <w:rPr>
                <w:sz w:val="20"/>
                <w:szCs w:val="20"/>
                <w:color w:val="auto"/>
              </w:rPr>
            </w:pPr>
            <w:r>
              <w:rPr>
                <w:rFonts w:ascii="Arial" w:cs="Arial" w:eastAsia="Arial" w:hAnsi="Arial"/>
                <w:sz w:val="18"/>
                <w:szCs w:val="18"/>
                <w:color w:val="auto"/>
              </w:rPr>
              <w:t>1,276,153</w:t>
            </w:r>
          </w:p>
        </w:tc>
      </w:tr>
      <w:tr>
        <w:trPr>
          <w:trHeight w:val="40"/>
        </w:trPr>
        <w:tc>
          <w:tcPr>
            <w:tcW w:w="2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Marine cruise</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11,785,427</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2,524,460</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510,121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14,820,008</w:t>
            </w: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Pilot Mining Test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9,333,333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1,166,667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1,166,666</w:t>
            </w:r>
          </w:p>
        </w:tc>
        <w:tc>
          <w:tcPr>
            <w:tcW w:w="1060" w:type="dxa"/>
            <w:vAlign w:val="bottom"/>
          </w:tcPr>
          <w:p>
            <w:pPr>
              <w:jc w:val="right"/>
              <w:spacing w:after="0"/>
              <w:rPr>
                <w:sz w:val="20"/>
                <w:szCs w:val="20"/>
                <w:color w:val="auto"/>
              </w:rPr>
            </w:pPr>
            <w:r>
              <w:rPr>
                <w:rFonts w:ascii="Arial" w:cs="Arial" w:eastAsia="Arial" w:hAnsi="Arial"/>
                <w:sz w:val="18"/>
                <w:szCs w:val="18"/>
                <w:color w:val="auto"/>
              </w:rPr>
              <w:t>11,666,666</w:t>
            </w:r>
          </w:p>
        </w:tc>
      </w:tr>
      <w:tr>
        <w:trPr>
          <w:trHeight w:val="41"/>
        </w:trPr>
        <w:tc>
          <w:tcPr>
            <w:tcW w:w="2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2"/>
        </w:trPr>
        <w:tc>
          <w:tcPr>
            <w:tcW w:w="2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Share options-based</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51"/>
        </w:trPr>
        <w:tc>
          <w:tcPr>
            <w:tcW w:w="2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18"/>
                <w:szCs w:val="18"/>
                <w:i w:val="1"/>
                <w:iCs w:val="1"/>
                <w:color w:val="auto"/>
              </w:rPr>
              <w:t>(Note 7)</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116,533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83,822</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200,355</w:t>
            </w: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277,870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2,127</w:t>
            </w:r>
          </w:p>
        </w:tc>
        <w:tc>
          <w:tcPr>
            <w:tcW w:w="1060" w:type="dxa"/>
            <w:vAlign w:val="bottom"/>
          </w:tcPr>
          <w:p>
            <w:pPr>
              <w:jc w:val="right"/>
              <w:spacing w:after="0"/>
              <w:rPr>
                <w:sz w:val="20"/>
                <w:szCs w:val="20"/>
                <w:color w:val="auto"/>
              </w:rPr>
            </w:pPr>
            <w:r>
              <w:rPr>
                <w:rFonts w:ascii="Arial" w:cs="Arial" w:eastAsia="Arial" w:hAnsi="Arial"/>
                <w:sz w:val="18"/>
                <w:szCs w:val="18"/>
                <w:color w:val="auto"/>
              </w:rPr>
              <w:t>279,997</w:t>
            </w:r>
          </w:p>
        </w:tc>
      </w:tr>
      <w:tr>
        <w:trPr>
          <w:trHeight w:val="41"/>
        </w:trPr>
        <w:tc>
          <w:tcPr>
            <w:tcW w:w="2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consulting</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20,550</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1,537,775</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337,650</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236,455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2,132,430</w:t>
            </w:r>
          </w:p>
        </w:tc>
      </w:tr>
      <w:tr>
        <w:trPr>
          <w:trHeight w:val="257"/>
        </w:trPr>
        <w:tc>
          <w:tcPr>
            <w:tcW w:w="2500" w:type="dxa"/>
            <w:vAlign w:val="bottom"/>
          </w:tcPr>
          <w:p>
            <w:pPr>
              <w:ind w:left="180"/>
              <w:spacing w:after="0"/>
              <w:rPr>
                <w:sz w:val="20"/>
                <w:szCs w:val="20"/>
                <w:color w:val="auto"/>
              </w:rPr>
            </w:pPr>
            <w:r>
              <w:rPr>
                <w:rFonts w:ascii="Arial" w:cs="Arial" w:eastAsia="Arial" w:hAnsi="Arial"/>
                <w:sz w:val="18"/>
                <w:szCs w:val="18"/>
                <w:color w:val="auto"/>
              </w:rPr>
              <w:t>Travel, workshop and other</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572,424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173,064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66,896</w:t>
            </w:r>
          </w:p>
        </w:tc>
        <w:tc>
          <w:tcPr>
            <w:tcW w:w="1060" w:type="dxa"/>
            <w:vAlign w:val="bottom"/>
          </w:tcPr>
          <w:p>
            <w:pPr>
              <w:jc w:val="right"/>
              <w:spacing w:after="0"/>
              <w:rPr>
                <w:sz w:val="20"/>
                <w:szCs w:val="20"/>
                <w:color w:val="auto"/>
              </w:rPr>
            </w:pPr>
            <w:r>
              <w:rPr>
                <w:rFonts w:ascii="Arial" w:cs="Arial" w:eastAsia="Arial" w:hAnsi="Arial"/>
                <w:sz w:val="18"/>
                <w:szCs w:val="18"/>
                <w:color w:val="auto"/>
              </w:rPr>
              <w:t>812,384</w:t>
            </w:r>
          </w:p>
        </w:tc>
      </w:tr>
      <w:tr>
        <w:trPr>
          <w:trHeight w:val="27"/>
        </w:trPr>
        <w:tc>
          <w:tcPr>
            <w:tcW w:w="2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25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20,550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24,371,910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4,670,200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2,125,333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31,187,993</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60" w:hanging="406"/>
        <w:spacing w:after="0"/>
        <w:tabs>
          <w:tab w:leader="none" w:pos="8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w:t>
      </w:r>
    </w:p>
    <w:p>
      <w:pPr>
        <w:spacing w:after="0" w:line="162" w:lineRule="exact"/>
        <w:rPr>
          <w:sz w:val="20"/>
          <w:szCs w:val="20"/>
          <w:color w:val="auto"/>
        </w:rPr>
      </w:pPr>
    </w:p>
    <w:p>
      <w:pPr>
        <w:ind w:left="880" w:right="579"/>
        <w:spacing w:after="0" w:line="273" w:lineRule="auto"/>
        <w:rPr>
          <w:sz w:val="20"/>
          <w:szCs w:val="20"/>
          <w:color w:val="auto"/>
        </w:rPr>
      </w:pPr>
      <w:r>
        <w:rPr>
          <w:rFonts w:ascii="Arial" w:cs="Arial" w:eastAsia="Arial" w:hAnsi="Arial"/>
          <w:sz w:val="17"/>
          <w:szCs w:val="17"/>
          <w:color w:val="auto"/>
        </w:rPr>
        <w:t>During February 2021, the Company raised a total of $26 million through a convertible debentures financing. The convertible debentures bear interest at the rate of 7.0% per annum, compounded annually, with a maturity date that is 24 months from the date of the financing. The debentures can be converted into shares of the Company at anytime at the conversion price of $10 per share. Unless any interest is converted prior to the maturity date, all accrued and unpaid interest shall be payable at the maturity date in DeepGreen Common Shares at a conversion price of $10 per share.</w:t>
      </w:r>
    </w:p>
    <w:p>
      <w:pPr>
        <w:spacing w:after="0" w:line="110" w:lineRule="exact"/>
        <w:rPr>
          <w:sz w:val="20"/>
          <w:szCs w:val="20"/>
          <w:color w:val="auto"/>
        </w:rPr>
      </w:pPr>
    </w:p>
    <w:p>
      <w:pPr>
        <w:ind w:left="880" w:right="519"/>
        <w:spacing w:after="0" w:line="272" w:lineRule="auto"/>
        <w:rPr>
          <w:sz w:val="20"/>
          <w:szCs w:val="20"/>
          <w:color w:val="auto"/>
        </w:rPr>
      </w:pPr>
      <w:r>
        <w:rPr>
          <w:rFonts w:ascii="Arial" w:cs="Arial" w:eastAsia="Arial" w:hAnsi="Arial"/>
          <w:sz w:val="17"/>
          <w:szCs w:val="17"/>
          <w:color w:val="auto"/>
        </w:rPr>
        <w:t>In the event that the Company completes the Business Combination (Note 1) or another change of control transaction at any time prior to the maturity date, the debenture value will be automatically converted into the common shares at the conversion price immediately prior to the Business Combination or the change of control transaction. If the debentures, or any portion thereof, are not converted by the holder upon the earlier of the maturity date or the completion of the Business Combination or the change of control transaction, the outstanding debenture value will automatically convert into the common shares of the Company at the conversion price of $10 per share.</w:t>
      </w:r>
    </w:p>
    <w:p>
      <w:pPr>
        <w:spacing w:after="0" w:line="96" w:lineRule="exact"/>
        <w:rPr>
          <w:sz w:val="20"/>
          <w:szCs w:val="20"/>
          <w:color w:val="auto"/>
        </w:rPr>
      </w:pPr>
    </w:p>
    <w:p>
      <w:pPr>
        <w:ind w:left="880" w:right="679"/>
        <w:spacing w:after="0" w:line="277" w:lineRule="auto"/>
        <w:rPr>
          <w:sz w:val="20"/>
          <w:szCs w:val="20"/>
          <w:color w:val="auto"/>
        </w:rPr>
      </w:pPr>
      <w:r>
        <w:rPr>
          <w:rFonts w:ascii="Arial" w:cs="Arial" w:eastAsia="Arial" w:hAnsi="Arial"/>
          <w:sz w:val="18"/>
          <w:szCs w:val="18"/>
          <w:color w:val="auto"/>
        </w:rPr>
        <w:t>On February 18, 2021, convertible debentures with a principal amount of $500,000 were converted into 50,000 Common Shares of the Company.</w:t>
      </w:r>
    </w:p>
    <w:p>
      <w:pPr>
        <w:spacing w:after="0" w:line="103" w:lineRule="exact"/>
        <w:rPr>
          <w:sz w:val="20"/>
          <w:szCs w:val="20"/>
          <w:color w:val="auto"/>
        </w:rPr>
      </w:pPr>
    </w:p>
    <w:p>
      <w:pPr>
        <w:ind w:left="880" w:right="779"/>
        <w:spacing w:after="0" w:line="277" w:lineRule="auto"/>
        <w:rPr>
          <w:sz w:val="20"/>
          <w:szCs w:val="20"/>
          <w:color w:val="auto"/>
        </w:rPr>
      </w:pPr>
      <w:r>
        <w:rPr>
          <w:rFonts w:ascii="Arial" w:cs="Arial" w:eastAsia="Arial" w:hAnsi="Arial"/>
          <w:sz w:val="18"/>
          <w:szCs w:val="18"/>
          <w:color w:val="auto"/>
        </w:rPr>
        <w:t>During the six months ended June 30, 2021, the Company accrued $660,589 as interest on convertible debentures.</w:t>
      </w:r>
    </w:p>
    <w:p>
      <w:pPr>
        <w:spacing w:after="0" w:line="103" w:lineRule="exact"/>
        <w:rPr>
          <w:sz w:val="20"/>
          <w:szCs w:val="20"/>
          <w:color w:val="auto"/>
        </w:rPr>
      </w:pPr>
    </w:p>
    <w:p>
      <w:pPr>
        <w:jc w:val="both"/>
        <w:ind w:left="880" w:right="579"/>
        <w:spacing w:after="0" w:line="263" w:lineRule="auto"/>
        <w:rPr>
          <w:sz w:val="20"/>
          <w:szCs w:val="20"/>
          <w:color w:val="auto"/>
        </w:rPr>
      </w:pPr>
      <w:r>
        <w:rPr>
          <w:rFonts w:ascii="Arial" w:cs="Arial" w:eastAsia="Arial" w:hAnsi="Arial"/>
          <w:sz w:val="18"/>
          <w:szCs w:val="18"/>
          <w:color w:val="auto"/>
        </w:rPr>
        <w:t>As at June 30, 2021, the Company has reserved 2,594,014 Common Shares to be issued upon conversion of the outstanding debentures, consisting of $25,500,000 and $440,137 of principal and accrued interest,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2" w:name="page263"/>
    <w:bookmarkEnd w:id="26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Authorized and Issued</w:t>
      </w:r>
    </w:p>
    <w:p>
      <w:pPr>
        <w:spacing w:after="0" w:line="162" w:lineRule="exact"/>
        <w:rPr>
          <w:sz w:val="20"/>
          <w:szCs w:val="20"/>
          <w:color w:val="auto"/>
        </w:rPr>
      </w:pPr>
    </w:p>
    <w:p>
      <w:pPr>
        <w:ind w:left="880" w:right="819"/>
        <w:spacing w:after="0" w:line="277" w:lineRule="auto"/>
        <w:rPr>
          <w:sz w:val="20"/>
          <w:szCs w:val="20"/>
          <w:color w:val="auto"/>
        </w:rPr>
      </w:pPr>
      <w:r>
        <w:rPr>
          <w:rFonts w:ascii="Arial" w:cs="Arial" w:eastAsia="Arial" w:hAnsi="Arial"/>
          <w:sz w:val="18"/>
          <w:szCs w:val="18"/>
          <w:color w:val="auto"/>
        </w:rPr>
        <w:t>The Company has two classes of shares, being its Common Shares and Class B Preferred Shares. The authorized and issued share capital of the Company is as follows:</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35"/>
              <w:spacing w:after="0"/>
              <w:rPr>
                <w:sz w:val="20"/>
                <w:szCs w:val="20"/>
                <w:color w:val="auto"/>
              </w:rPr>
            </w:pPr>
            <w:r>
              <w:rPr>
                <w:rFonts w:ascii="Arial" w:cs="Arial" w:eastAsia="Arial" w:hAnsi="Arial"/>
                <w:sz w:val="16"/>
                <w:szCs w:val="16"/>
                <w:b w:val="1"/>
                <w:bCs w:val="1"/>
                <w:color w:val="auto"/>
              </w:rPr>
              <w:t>Issued and</w:t>
            </w:r>
          </w:p>
        </w:tc>
      </w:tr>
      <w:tr>
        <w:trPr>
          <w:trHeight w:val="210"/>
        </w:trPr>
        <w:tc>
          <w:tcPr>
            <w:tcW w:w="482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Authorized</w:t>
            </w:r>
          </w:p>
        </w:tc>
        <w:tc>
          <w:tcPr>
            <w:tcW w:w="1160" w:type="dxa"/>
            <w:vAlign w:val="bottom"/>
          </w:tcPr>
          <w:p>
            <w:pPr>
              <w:jc w:val="right"/>
              <w:ind w:right="75"/>
              <w:spacing w:after="0"/>
              <w:rPr>
                <w:sz w:val="20"/>
                <w:szCs w:val="20"/>
                <w:color w:val="auto"/>
              </w:rPr>
            </w:pPr>
            <w:r>
              <w:rPr>
                <w:rFonts w:ascii="Arial" w:cs="Arial" w:eastAsia="Arial" w:hAnsi="Arial"/>
                <w:sz w:val="16"/>
                <w:szCs w:val="16"/>
                <w:b w:val="1"/>
                <w:bCs w:val="1"/>
                <w:color w:val="auto"/>
              </w:rPr>
              <w:t>Outstanding</w:t>
            </w:r>
          </w:p>
        </w:tc>
      </w:tr>
      <w:tr>
        <w:trPr>
          <w:trHeight w:val="47"/>
        </w:trPr>
        <w:tc>
          <w:tcPr>
            <w:tcW w:w="482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91"/>
        </w:trPr>
        <w:tc>
          <w:tcPr>
            <w:tcW w:w="4820" w:type="dxa"/>
            <w:vAlign w:val="bottom"/>
            <w:shd w:val="clear" w:color="auto" w:fill="CCEEFF"/>
          </w:tcPr>
          <w:p>
            <w:pPr>
              <w:spacing w:after="0"/>
              <w:rPr>
                <w:sz w:val="16"/>
                <w:szCs w:val="16"/>
                <w:color w:val="auto"/>
              </w:rPr>
            </w:pPr>
          </w:p>
        </w:tc>
        <w:tc>
          <w:tcPr>
            <w:tcW w:w="160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1"/>
              </w:rPr>
              <w:t>Unlimited,</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55"/>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2"/>
              </w:rPr>
              <w:t>with no par value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170,827,222</w:t>
            </w:r>
          </w:p>
        </w:tc>
      </w:tr>
      <w:tr>
        <w:trPr>
          <w:trHeight w:val="198"/>
        </w:trPr>
        <w:tc>
          <w:tcPr>
            <w:tcW w:w="4820" w:type="dxa"/>
            <w:vAlign w:val="bottom"/>
          </w:tcPr>
          <w:p>
            <w:pPr>
              <w:spacing w:after="0"/>
              <w:rPr>
                <w:sz w:val="17"/>
                <w:szCs w:val="17"/>
                <w:color w:val="auto"/>
              </w:rPr>
            </w:pPr>
          </w:p>
        </w:tc>
        <w:tc>
          <w:tcPr>
            <w:tcW w:w="170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1"/>
              </w:rPr>
              <w:t>Unlimited,</w:t>
            </w:r>
          </w:p>
        </w:tc>
        <w:tc>
          <w:tcPr>
            <w:tcW w:w="1160" w:type="dxa"/>
            <w:vAlign w:val="bottom"/>
          </w:tcPr>
          <w:p>
            <w:pPr>
              <w:spacing w:after="0"/>
              <w:rPr>
                <w:sz w:val="17"/>
                <w:szCs w:val="17"/>
                <w:color w:val="auto"/>
              </w:rPr>
            </w:pPr>
          </w:p>
        </w:tc>
      </w:tr>
      <w:tr>
        <w:trPr>
          <w:trHeight w:val="234"/>
        </w:trPr>
        <w:tc>
          <w:tcPr>
            <w:tcW w:w="4820" w:type="dxa"/>
            <w:vAlign w:val="bottom"/>
          </w:tcPr>
          <w:p>
            <w:pPr>
              <w:spacing w:after="0"/>
              <w:rPr>
                <w:sz w:val="20"/>
                <w:szCs w:val="20"/>
                <w:color w:val="auto"/>
              </w:rPr>
            </w:pPr>
            <w:r>
              <w:rPr>
                <w:rFonts w:ascii="Arial" w:cs="Arial" w:eastAsia="Arial" w:hAnsi="Arial"/>
                <w:sz w:val="18"/>
                <w:szCs w:val="18"/>
                <w:color w:val="auto"/>
              </w:rPr>
              <w:t>Class B Preferred Shares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with no par value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440,000</w:t>
            </w:r>
          </w:p>
        </w:tc>
      </w:tr>
    </w:tbl>
    <w:p>
      <w:pPr>
        <w:spacing w:after="0" w:line="202" w:lineRule="exact"/>
        <w:rPr>
          <w:sz w:val="20"/>
          <w:szCs w:val="20"/>
          <w:color w:val="auto"/>
        </w:rPr>
      </w:pPr>
    </w:p>
    <w:p>
      <w:pPr>
        <w:ind w:left="880" w:right="559"/>
        <w:spacing w:after="0" w:line="272" w:lineRule="auto"/>
        <w:rPr>
          <w:sz w:val="20"/>
          <w:szCs w:val="20"/>
          <w:color w:val="auto"/>
        </w:rPr>
      </w:pPr>
      <w:r>
        <w:rPr>
          <w:rFonts w:ascii="Arial" w:cs="Arial" w:eastAsia="Arial" w:hAnsi="Arial"/>
          <w:sz w:val="17"/>
          <w:szCs w:val="17"/>
          <w:color w:val="auto"/>
        </w:rPr>
        <w:t>Class B Preferred Shares are non-dividend earning and include voting rights similar to Common Shares. However, if any dividend is declared on Common Shares, the Company is required to concurrently declare and pay dividend on Class B Preferred Shares in the amount per share equal to the dividend per share paid on the Common shares. These Class B Preferred Shares rank ahead of Common Shares in the event of liquidation and are subject to automatic conversion to Common Shares on the basis of 1 Class B Preferred Share to 1 Common Share upon completion of the Business Combination (Note 1) or any other change in control transaction.</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Continuity of Share Capital</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Common Shares</w:t>
            </w: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120" w:type="dxa"/>
            <w:vAlign w:val="bottom"/>
          </w:tcPr>
          <w:p>
            <w:pPr>
              <w:jc w:val="center"/>
              <w:ind w:left="72"/>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141,063,316</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79,824,445</w:t>
            </w: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Private placement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5,659,920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20,375,712</w:t>
            </w: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Financing cost incurred – Cash</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(28,089)</w:t>
            </w: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Financing cost incurred – Stock options-based payments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(396,568)</w:t>
            </w: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Issued for TOML acquisition (</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7,777,777</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27,999,997</w:t>
            </w: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Issued for services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6,907,121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24,865,637</w:t>
            </w: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2,250,000</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1,790,157</w:t>
            </w:r>
          </w:p>
        </w:tc>
        <w:tc>
          <w:tcPr>
            <w:tcW w:w="0" w:type="dxa"/>
            <w:vAlign w:val="bottom"/>
          </w:tcPr>
          <w:p>
            <w:pPr>
              <w:spacing w:after="0"/>
              <w:rPr>
                <w:sz w:val="1"/>
                <w:szCs w:val="1"/>
                <w:color w:val="auto"/>
              </w:rPr>
            </w:pPr>
          </w:p>
        </w:tc>
      </w:tr>
      <w:tr>
        <w:trPr>
          <w:trHeight w:val="224"/>
        </w:trPr>
        <w:tc>
          <w:tcPr>
            <w:tcW w:w="5200" w:type="dxa"/>
            <w:vAlign w:val="bottom"/>
            <w:gridSpan w:val="2"/>
          </w:tcPr>
          <w:p>
            <w:pPr>
              <w:spacing w:after="0"/>
              <w:rPr>
                <w:sz w:val="20"/>
                <w:szCs w:val="20"/>
                <w:color w:val="auto"/>
              </w:rPr>
            </w:pPr>
            <w:r>
              <w:rPr>
                <w:rFonts w:ascii="Arial" w:cs="Arial" w:eastAsia="Arial" w:hAnsi="Arial"/>
                <w:sz w:val="18"/>
                <w:szCs w:val="18"/>
                <w:color w:val="auto"/>
              </w:rPr>
              <w:t>Balance – December 31, 2020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163,658,134</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154,431,291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Issued for services </w:t>
            </w:r>
            <w:r>
              <w:rPr>
                <w:rFonts w:ascii="Arial" w:cs="Arial" w:eastAsia="Arial" w:hAnsi="Arial"/>
                <w:sz w:val="18"/>
                <w:szCs w:val="18"/>
                <w:i w:val="1"/>
                <w:iCs w:val="1"/>
                <w:color w:val="auto"/>
              </w:rPr>
              <w:t>(Note 4)</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3,672,267</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25,711,869</w:t>
            </w: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3,446,821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8,257,763</w:t>
            </w: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Conversion of debentures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 June 30, 2021</w:t>
            </w: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gridSpan w:val="2"/>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170,827,222</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188,900,923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Class B Preferred Shares</w:t>
            </w: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120" w:type="dxa"/>
            <w:vAlign w:val="bottom"/>
          </w:tcPr>
          <w:p>
            <w:pPr>
              <w:jc w:val="center"/>
              <w:ind w:left="72"/>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 and June 30, 2021</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550,000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Fiscal 2021 Activity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issued 3,666,267 Common Shares to Maersk for services valued at $7.00 per share</w:t>
      </w:r>
    </w:p>
    <w:p>
      <w:pPr>
        <w:spacing w:after="0" w:line="35" w:lineRule="exact"/>
        <w:rPr>
          <w:sz w:val="20"/>
          <w:szCs w:val="20"/>
          <w:color w:val="auto"/>
        </w:rPr>
      </w:pPr>
    </w:p>
    <w:p>
      <w:pPr>
        <w:ind w:left="880" w:right="479"/>
        <w:spacing w:after="0" w:line="290" w:lineRule="auto"/>
        <w:rPr>
          <w:sz w:val="20"/>
          <w:szCs w:val="20"/>
          <w:color w:val="auto"/>
        </w:rPr>
      </w:pPr>
      <w:r>
        <w:rPr>
          <w:rFonts w:ascii="Arial" w:cs="Arial" w:eastAsia="Arial" w:hAnsi="Arial"/>
          <w:sz w:val="16"/>
          <w:szCs w:val="16"/>
          <w:color w:val="auto"/>
        </w:rPr>
        <w:t>(Note 4). The Company estimated the fair value of common stock based on observable transactions in the Company’s common stock and by applying a probability-weighted approach to various outcomes. The approach involves estimates, judgments and assumptions that are highly complex and subjective. Changes in any or all of these estimates and assumptions, or the relationships between these assumptions, impact the Company’s valuation of its common stock as of each valuation date which may have a material impact on the valuation of the Company’s common stock and equity awards for accounting purposes.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3" w:name="page264"/>
    <w:bookmarkEnd w:id="26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w:t>
      </w:r>
    </w:p>
    <w:p>
      <w:pPr>
        <w:spacing w:after="0" w:line="189" w:lineRule="exact"/>
        <w:rPr>
          <w:sz w:val="20"/>
          <w:szCs w:val="20"/>
          <w:color w:val="auto"/>
        </w:rPr>
      </w:pPr>
    </w:p>
    <w:p>
      <w:pPr>
        <w:ind w:left="880" w:right="1099"/>
        <w:spacing w:after="0" w:line="308" w:lineRule="auto"/>
        <w:rPr>
          <w:sz w:val="20"/>
          <w:szCs w:val="20"/>
          <w:color w:val="auto"/>
        </w:rPr>
      </w:pPr>
      <w:r>
        <w:rPr>
          <w:rFonts w:ascii="Arial" w:cs="Arial" w:eastAsia="Arial" w:hAnsi="Arial"/>
          <w:sz w:val="17"/>
          <w:szCs w:val="17"/>
          <w:color w:val="auto"/>
        </w:rPr>
        <w:t>During the period ended June 30, 2021, option holders exercised 3,446,821 stock options for total proceeds of $2,563,156 at a weighted average exercise price of $0.74 per share.</w:t>
      </w:r>
    </w:p>
    <w:p>
      <w:pPr>
        <w:spacing w:after="0" w:line="65" w:lineRule="exact"/>
        <w:rPr>
          <w:sz w:val="20"/>
          <w:szCs w:val="20"/>
          <w:color w:val="auto"/>
        </w:rPr>
      </w:pPr>
    </w:p>
    <w:p>
      <w:pPr>
        <w:ind w:left="880" w:right="679"/>
        <w:spacing w:after="0" w:line="277" w:lineRule="auto"/>
        <w:rPr>
          <w:sz w:val="20"/>
          <w:szCs w:val="20"/>
          <w:color w:val="auto"/>
        </w:rPr>
      </w:pPr>
      <w:r>
        <w:rPr>
          <w:rFonts w:ascii="Arial" w:cs="Arial" w:eastAsia="Arial" w:hAnsi="Arial"/>
          <w:sz w:val="18"/>
          <w:szCs w:val="18"/>
          <w:color w:val="auto"/>
        </w:rPr>
        <w:t>On February 18, 2021, convertible debentures with a principal amount of $500,000 were converted into 50,000 common shares of the Company.</w:t>
      </w:r>
    </w:p>
    <w:p>
      <w:pPr>
        <w:spacing w:after="0" w:line="166" w:lineRule="exact"/>
        <w:rPr>
          <w:sz w:val="20"/>
          <w:szCs w:val="20"/>
          <w:color w:val="auto"/>
        </w:rPr>
      </w:pPr>
    </w:p>
    <w:p>
      <w:pPr>
        <w:ind w:left="860" w:hanging="406"/>
        <w:spacing w:after="0"/>
        <w:tabs>
          <w:tab w:leader="none" w:pos="8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48" w:lineRule="exact"/>
        <w:rPr>
          <w:sz w:val="20"/>
          <w:szCs w:val="20"/>
          <w:color w:val="auto"/>
        </w:rPr>
      </w:pPr>
    </w:p>
    <w:p>
      <w:pPr>
        <w:ind w:left="880" w:right="459"/>
        <w:spacing w:after="0" w:line="270" w:lineRule="auto"/>
        <w:rPr>
          <w:sz w:val="20"/>
          <w:szCs w:val="20"/>
          <w:color w:val="auto"/>
        </w:rPr>
      </w:pPr>
      <w:r>
        <w:rPr>
          <w:rFonts w:ascii="Arial" w:cs="Arial" w:eastAsia="Arial" w:hAnsi="Arial"/>
          <w:sz w:val="17"/>
          <w:szCs w:val="17"/>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the exercise prices determined at its sole discretion. The Company’s stock option plan provides that the aggregate number of Common Shares reserved for issuance under the plan shall not exceed 20% of the total number of issued and outstanding Common Shares of the Company on a non-diluted basis. As at June 30, 2021, there were 15,395,394 stock options outstanding under the Company’s Short-Term Incentive Plan (“STIP”) and 8,450,000 stock options outstanding under the Company’s Long-term Incentive Plan (“LTIP”), leaving 10,320,051 stock options that are reserved for further issuance.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Continuity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continuity schedule of the Company’s stock options in the Company’s STIP is as follows:</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Weighted</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Aggregate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Intrinsic</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exercise</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value of</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price</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stock</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life</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0" w:type="dxa"/>
            <w:vAlign w:val="bottom"/>
          </w:tcPr>
          <w:p>
            <w:pPr>
              <w:spacing w:after="0"/>
              <w:rPr>
                <w:sz w:val="1"/>
                <w:szCs w:val="1"/>
                <w:color w:val="auto"/>
              </w:rPr>
            </w:pPr>
          </w:p>
        </w:tc>
      </w:tr>
      <w:tr>
        <w:trPr>
          <w:trHeight w:val="47"/>
        </w:trPr>
        <w:tc>
          <w:tcPr>
            <w:tcW w:w="35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2020</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13,429,912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79"/>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36,126,463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5,506,303</w:t>
            </w:r>
          </w:p>
        </w:tc>
        <w:tc>
          <w:tcPr>
            <w:tcW w:w="10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2.44</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(44,000)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0.45</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Cancelled/Forfeited</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0.75</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(3,446,821)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0.74</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Outstanding – June 30, 2021</w:t>
            </w: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vMerge w:val="continue"/>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15,395,394</w:t>
            </w:r>
          </w:p>
        </w:tc>
        <w:tc>
          <w:tcPr>
            <w:tcW w:w="10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b w:val="1"/>
                <w:bCs w:val="1"/>
                <w:color w:val="auto"/>
              </w:rPr>
              <w:t>1.39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101,561,190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6.85</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2"/>
              </w:rPr>
              <w:t>Vested and expected to Vest – June 30, 2021</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15,395,394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1.39</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101,561,190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Vested and exercisable – June 30, 2021</w:t>
            </w: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vMerge w:val="continue"/>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13,495,394</w:t>
            </w:r>
          </w:p>
        </w:tc>
        <w:tc>
          <w:tcPr>
            <w:tcW w:w="10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b w:val="1"/>
                <w:bCs w:val="1"/>
                <w:color w:val="auto"/>
              </w:rPr>
              <w:t>0.93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95,473,684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6.84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80" w:right="579"/>
        <w:spacing w:after="0" w:line="277" w:lineRule="auto"/>
        <w:rPr>
          <w:sz w:val="20"/>
          <w:szCs w:val="20"/>
          <w:color w:val="auto"/>
        </w:rPr>
      </w:pPr>
      <w:r>
        <w:rPr>
          <w:rFonts w:ascii="Arial" w:cs="Arial" w:eastAsia="Arial" w:hAnsi="Arial"/>
          <w:sz w:val="18"/>
          <w:szCs w:val="18"/>
          <w:color w:val="auto"/>
        </w:rPr>
        <w:t>A summary of the Company’s stock options outstanding, granted under DeepGreen’s STIP as at June 30, 2021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Weighted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average life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1"/>
              </w:rPr>
              <w:t>Exercise</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 expiry</w:t>
            </w: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Options</w:t>
            </w:r>
          </w:p>
        </w:tc>
        <w:tc>
          <w:tcPr>
            <w:tcW w:w="1180" w:type="dxa"/>
            <w:vAlign w:val="bottom"/>
          </w:tcPr>
          <w:p>
            <w:pPr>
              <w:jc w:val="right"/>
              <w:ind w:right="232"/>
              <w:spacing w:after="0"/>
              <w:rPr>
                <w:sz w:val="20"/>
                <w:szCs w:val="20"/>
                <w:color w:val="auto"/>
              </w:rPr>
            </w:pPr>
            <w:r>
              <w:rPr>
                <w:rFonts w:ascii="Arial" w:cs="Arial" w:eastAsia="Arial" w:hAnsi="Arial"/>
                <w:sz w:val="16"/>
                <w:szCs w:val="16"/>
                <w:b w:val="1"/>
                <w:bCs w:val="1"/>
                <w:color w:val="auto"/>
              </w:rPr>
              <w:t>Options</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b w:val="1"/>
                <w:bCs w:val="1"/>
                <w:color w:val="auto"/>
              </w:rPr>
              <w:t>Expiry Date</w:t>
            </w: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price</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Outstanding</w:t>
            </w: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rPr>
              <w:t>Exercisable</w:t>
            </w:r>
          </w:p>
        </w:tc>
        <w:tc>
          <w:tcPr>
            <w:tcW w:w="0" w:type="dxa"/>
            <w:vAlign w:val="bottom"/>
          </w:tcPr>
          <w:p>
            <w:pPr>
              <w:spacing w:after="0"/>
              <w:rPr>
                <w:sz w:val="1"/>
                <w:szCs w:val="1"/>
                <w:color w:val="auto"/>
              </w:rPr>
            </w:pPr>
          </w:p>
        </w:tc>
      </w:tr>
      <w:tr>
        <w:trPr>
          <w:trHeight w:val="47"/>
        </w:trPr>
        <w:tc>
          <w:tcPr>
            <w:tcW w:w="400" w:type="dxa"/>
            <w:vAlign w:val="bottom"/>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63,748</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December 31, 2025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February 2,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February 17, 2026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1180" w:type="dxa"/>
            <w:vAlign w:val="bottom"/>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February 17,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307,666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307,666</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June 1, 2028</w:t>
            </w:r>
          </w:p>
        </w:tc>
        <w:tc>
          <w:tcPr>
            <w:tcW w:w="1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Various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13,783,980</w:t>
            </w:r>
          </w:p>
        </w:tc>
        <w:tc>
          <w:tcPr>
            <w:tcW w:w="1180" w:type="dxa"/>
            <w:vAlign w:val="bottom"/>
          </w:tcPr>
          <w:p>
            <w:pPr>
              <w:jc w:val="right"/>
              <w:spacing w:after="0"/>
              <w:rPr>
                <w:sz w:val="20"/>
                <w:szCs w:val="20"/>
                <w:color w:val="auto"/>
              </w:rPr>
            </w:pPr>
            <w:r>
              <w:rPr>
                <w:rFonts w:ascii="Arial" w:cs="Arial" w:eastAsia="Arial" w:hAnsi="Arial"/>
                <w:sz w:val="18"/>
                <w:szCs w:val="18"/>
                <w:color w:val="auto"/>
              </w:rPr>
              <w:t>12,383,980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30, 2028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June 30, 2028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15,395,394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13,495,394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gridSpan w:val="2"/>
            <w:vMerge w:val="restart"/>
          </w:tcPr>
          <w:p>
            <w:pPr>
              <w:jc w:val="right"/>
              <w:ind w:right="500"/>
              <w:spacing w:after="0"/>
              <w:rPr>
                <w:sz w:val="20"/>
                <w:szCs w:val="20"/>
                <w:color w:val="auto"/>
              </w:rPr>
            </w:pPr>
            <w:r>
              <w:rPr>
                <w:rFonts w:ascii="Arial" w:cs="Arial" w:eastAsia="Arial" w:hAnsi="Arial"/>
                <w:sz w:val="18"/>
                <w:szCs w:val="18"/>
                <w:color w:val="auto"/>
              </w:rPr>
              <w:t>F-86</w:t>
            </w: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64" w:name="page265"/>
    <w:bookmarkEnd w:id="26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(cont.)</w:t>
      </w:r>
    </w:p>
    <w:p>
      <w:pPr>
        <w:spacing w:after="0" w:line="189" w:lineRule="exact"/>
        <w:rPr>
          <w:sz w:val="20"/>
          <w:szCs w:val="20"/>
          <w:color w:val="auto"/>
        </w:rPr>
      </w:pPr>
    </w:p>
    <w:p>
      <w:pPr>
        <w:ind w:left="880" w:right="579"/>
        <w:spacing w:after="0" w:line="293" w:lineRule="auto"/>
        <w:rPr>
          <w:sz w:val="20"/>
          <w:szCs w:val="20"/>
          <w:color w:val="auto"/>
        </w:rPr>
      </w:pPr>
      <w:r>
        <w:rPr>
          <w:rFonts w:ascii="Arial" w:cs="Arial" w:eastAsia="Arial" w:hAnsi="Arial"/>
          <w:sz w:val="16"/>
          <w:szCs w:val="16"/>
          <w:color w:val="auto"/>
        </w:rPr>
        <w:t>During the six months ended June 30, 2021, the Company also granted 8,450,000 under its LTIP. Such stock options have an exercise price of $0.75 per Common Share and expire on June 1, 2028. The aggregate intrinsic value of such LTIP stock options as at June 30, 2021, was $61,262,500. None of the LTIP stock options were exercisable on June 30, 2021. The Company expects such options to vest as and when the market and performance milestones described below are achieved. As at June 30, 2021, total unrecognized stock-based compensation expense for the LTIP stock options was $36,566,016.</w:t>
      </w:r>
    </w:p>
    <w:p>
      <w:pPr>
        <w:spacing w:after="0" w:line="97" w:lineRule="exact"/>
        <w:rPr>
          <w:sz w:val="20"/>
          <w:szCs w:val="20"/>
          <w:color w:val="auto"/>
        </w:rPr>
      </w:pPr>
    </w:p>
    <w:p>
      <w:pPr>
        <w:ind w:left="880" w:right="519"/>
        <w:spacing w:after="0" w:line="291" w:lineRule="auto"/>
        <w:rPr>
          <w:sz w:val="20"/>
          <w:szCs w:val="20"/>
          <w:color w:val="auto"/>
        </w:rPr>
      </w:pPr>
      <w:r>
        <w:rPr>
          <w:rFonts w:ascii="Arial" w:cs="Arial" w:eastAsia="Arial" w:hAnsi="Arial"/>
          <w:sz w:val="16"/>
          <w:szCs w:val="16"/>
          <w:color w:val="auto"/>
        </w:rPr>
        <w:t>As at June 30, 2021, the fair value of the Company’s Common Shares was $8.00 per share. The Company estimated the fair value of common stock based on observable transactions in the Company’s common stock and by applying a probability-weighted approach to various outcomes. The approach involves estimates, judgments and assumptions that are highly complex and subjective. Changes in any or all of these estimates and assumptions, or the relationships between these assumptions, impact the Company’s valuation of its common stock as of each valuation date which may have a material impact on the valuation of the Company’s common stock and equity awards for accounting purposes.</w:t>
      </w:r>
    </w:p>
    <w:p>
      <w:pPr>
        <w:spacing w:after="0" w:line="99" w:lineRule="exact"/>
        <w:rPr>
          <w:sz w:val="20"/>
          <w:szCs w:val="20"/>
          <w:color w:val="auto"/>
        </w:rPr>
      </w:pPr>
    </w:p>
    <w:p>
      <w:pPr>
        <w:ind w:left="880" w:right="939"/>
        <w:spacing w:after="0" w:line="277" w:lineRule="auto"/>
        <w:rPr>
          <w:sz w:val="20"/>
          <w:szCs w:val="20"/>
          <w:color w:val="auto"/>
        </w:rPr>
      </w:pPr>
      <w:r>
        <w:rPr>
          <w:rFonts w:ascii="Arial" w:cs="Arial" w:eastAsia="Arial" w:hAnsi="Arial"/>
          <w:sz w:val="18"/>
          <w:szCs w:val="18"/>
          <w:color w:val="auto"/>
        </w:rPr>
        <w:t>The aggregate intrinsic value of stock options exercised during the period ended June 30, 2021, was $25,011,412.</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total grant date fair value of STIP stock options that vested during the period ended June 30, 2021,</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was $25,916,669. As of June 30, 2021, total unrecognized stock-based compensation expense of</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$3,749,621 is expected to be recognized over a weighted-average recognition period of approximately</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1.97 years.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Activity and Valuation</w:t>
      </w:r>
    </w:p>
    <w:p>
      <w:pPr>
        <w:spacing w:after="0" w:line="162" w:lineRule="exact"/>
        <w:rPr>
          <w:sz w:val="20"/>
          <w:szCs w:val="20"/>
          <w:color w:val="auto"/>
        </w:rPr>
      </w:pPr>
    </w:p>
    <w:p>
      <w:pPr>
        <w:jc w:val="both"/>
        <w:ind w:left="880" w:right="499"/>
        <w:spacing w:after="0" w:line="311" w:lineRule="auto"/>
        <w:rPr>
          <w:sz w:val="20"/>
          <w:szCs w:val="20"/>
          <w:color w:val="auto"/>
        </w:rPr>
      </w:pPr>
      <w:r>
        <w:rPr>
          <w:rFonts w:ascii="Arial" w:cs="Arial" w:eastAsia="Arial" w:hAnsi="Arial"/>
          <w:sz w:val="16"/>
          <w:szCs w:val="16"/>
          <w:color w:val="auto"/>
        </w:rPr>
        <w:t>On February 17, 2021, the Company granted a total of 490,666 incentive stock options to certain directors and non-employees. These options have an exercise price of between $0.25 per share and $0.75 per share, vested immediately upon grant, and expire between February 17, 2026 and February 26, 2026.</w:t>
      </w:r>
    </w:p>
    <w:p>
      <w:pPr>
        <w:spacing w:after="0" w:line="81" w:lineRule="exact"/>
        <w:rPr>
          <w:sz w:val="20"/>
          <w:szCs w:val="20"/>
          <w:color w:val="auto"/>
        </w:rPr>
      </w:pPr>
    </w:p>
    <w:p>
      <w:pPr>
        <w:ind w:left="880" w:right="539"/>
        <w:spacing w:after="0" w:line="263" w:lineRule="auto"/>
        <w:rPr>
          <w:sz w:val="20"/>
          <w:szCs w:val="20"/>
          <w:color w:val="auto"/>
        </w:rPr>
      </w:pPr>
      <w:r>
        <w:rPr>
          <w:rFonts w:ascii="Arial" w:cs="Arial" w:eastAsia="Arial" w:hAnsi="Arial"/>
          <w:sz w:val="18"/>
          <w:szCs w:val="18"/>
          <w:color w:val="auto"/>
        </w:rPr>
        <w:t>On February 26, 2021, the Company granted a total of 40,400 incentive stock options to a consultant. These options have an exercise price between $0.25 per share, vested immediately upon grant, and expire on February 26, 2026.</w:t>
      </w:r>
    </w:p>
    <w:p>
      <w:pPr>
        <w:spacing w:after="0" w:line="103" w:lineRule="exact"/>
        <w:rPr>
          <w:sz w:val="20"/>
          <w:szCs w:val="20"/>
          <w:color w:val="auto"/>
        </w:rPr>
      </w:pPr>
    </w:p>
    <w:p>
      <w:pPr>
        <w:ind w:left="880" w:right="659"/>
        <w:spacing w:after="0" w:line="263" w:lineRule="auto"/>
        <w:rPr>
          <w:sz w:val="20"/>
          <w:szCs w:val="20"/>
          <w:color w:val="auto"/>
        </w:rPr>
      </w:pPr>
      <w:r>
        <w:rPr>
          <w:rFonts w:ascii="Arial" w:cs="Arial" w:eastAsia="Arial" w:hAnsi="Arial"/>
          <w:sz w:val="18"/>
          <w:szCs w:val="18"/>
          <w:color w:val="auto"/>
        </w:rPr>
        <w:t>On March 4, 2021, the Company granted 4,973,237 incentive stock options to certain employees, directors and consultants under the Company’s STIP, as well as 8,450,000 incentive stock options to the same individuals under its LTIP.</w:t>
      </w:r>
    </w:p>
    <w:p>
      <w:pPr>
        <w:spacing w:after="0" w:line="116" w:lineRule="exact"/>
        <w:rPr>
          <w:sz w:val="20"/>
          <w:szCs w:val="20"/>
          <w:color w:val="auto"/>
        </w:rPr>
      </w:pPr>
    </w:p>
    <w:p>
      <w:pPr>
        <w:jc w:val="both"/>
        <w:ind w:left="880" w:right="1019"/>
        <w:spacing w:after="0" w:line="342" w:lineRule="auto"/>
        <w:rPr>
          <w:sz w:val="20"/>
          <w:szCs w:val="20"/>
          <w:color w:val="auto"/>
        </w:rPr>
      </w:pPr>
      <w:r>
        <w:rPr>
          <w:rFonts w:ascii="Arial" w:cs="Arial" w:eastAsia="Arial" w:hAnsi="Arial"/>
          <w:sz w:val="16"/>
          <w:szCs w:val="16"/>
          <w:color w:val="auto"/>
        </w:rPr>
        <w:t>The stock options granted under the STIP expire on June 1, 2028, have and exercise prices ranging between $0.75 per share and $10 per share, and have vesting periods to a maximum of three years.</w:t>
      </w:r>
    </w:p>
    <w:p>
      <w:pPr>
        <w:spacing w:after="0" w:line="56" w:lineRule="exact"/>
        <w:rPr>
          <w:sz w:val="20"/>
          <w:szCs w:val="20"/>
          <w:color w:val="auto"/>
        </w:rPr>
      </w:pPr>
    </w:p>
    <w:p>
      <w:pPr>
        <w:ind w:left="880" w:right="579"/>
        <w:spacing w:after="0" w:line="277" w:lineRule="auto"/>
        <w:rPr>
          <w:sz w:val="20"/>
          <w:szCs w:val="20"/>
          <w:color w:val="auto"/>
        </w:rPr>
      </w:pPr>
      <w:r>
        <w:rPr>
          <w:rFonts w:ascii="Arial" w:cs="Arial" w:eastAsia="Arial" w:hAnsi="Arial"/>
          <w:sz w:val="18"/>
          <w:szCs w:val="18"/>
          <w:color w:val="auto"/>
        </w:rPr>
        <w:t>The stock options granted under the LTIP have an exercise price of $0.75 per share and expire on June 1, 2028. The LTIP awards vest as follows:</w:t>
      </w:r>
    </w:p>
    <w:p>
      <w:pPr>
        <w:spacing w:after="0" w:line="89" w:lineRule="exact"/>
        <w:rPr>
          <w:sz w:val="20"/>
          <w:szCs w:val="20"/>
          <w:color w:val="auto"/>
        </w:rPr>
      </w:pPr>
    </w:p>
    <w:p>
      <w:pPr>
        <w:ind w:left="1700" w:hanging="382"/>
        <w:spacing w:after="0"/>
        <w:tabs>
          <w:tab w:leader="none" w:pos="1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25% when the Company’s market capitalization equals $3 billion (“Tranche 1”);</w:t>
      </w:r>
    </w:p>
    <w:p>
      <w:pPr>
        <w:spacing w:after="0" w:line="157" w:lineRule="exact"/>
        <w:rPr>
          <w:rFonts w:ascii="Arial" w:cs="Arial" w:eastAsia="Arial" w:hAnsi="Arial"/>
          <w:sz w:val="18"/>
          <w:szCs w:val="18"/>
          <w:color w:val="auto"/>
        </w:rPr>
      </w:pPr>
    </w:p>
    <w:p>
      <w:pPr>
        <w:ind w:left="1700" w:hanging="382"/>
        <w:spacing w:after="0"/>
        <w:tabs>
          <w:tab w:leader="none" w:pos="1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35% when the Company’s market capitalization equals $6 billion (“Tranche 2”);</w:t>
      </w:r>
    </w:p>
    <w:p>
      <w:pPr>
        <w:spacing w:after="0" w:line="157" w:lineRule="exact"/>
        <w:rPr>
          <w:rFonts w:ascii="Arial" w:cs="Arial" w:eastAsia="Arial" w:hAnsi="Arial"/>
          <w:sz w:val="18"/>
          <w:szCs w:val="18"/>
          <w:color w:val="auto"/>
        </w:rPr>
      </w:pPr>
    </w:p>
    <w:p>
      <w:pPr>
        <w:ind w:left="1760" w:right="539" w:hanging="442"/>
        <w:spacing w:after="0" w:line="277" w:lineRule="auto"/>
        <w:tabs>
          <w:tab w:leader="none" w:pos="171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20% upon the date that the ISA grants an exploitation contract to the Company (“Tranche 3”); and</w:t>
      </w:r>
    </w:p>
    <w:p>
      <w:pPr>
        <w:spacing w:after="0" w:line="89" w:lineRule="exact"/>
        <w:rPr>
          <w:rFonts w:ascii="Arial" w:cs="Arial" w:eastAsia="Arial" w:hAnsi="Arial"/>
          <w:sz w:val="18"/>
          <w:szCs w:val="18"/>
          <w:color w:val="auto"/>
        </w:rPr>
      </w:pPr>
    </w:p>
    <w:p>
      <w:pPr>
        <w:ind w:left="1760" w:right="739" w:hanging="442"/>
        <w:spacing w:after="0" w:line="277" w:lineRule="auto"/>
        <w:tabs>
          <w:tab w:leader="none" w:pos="171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20% upon the commencement of the first commercial production following the grant of the exploitation contract (“Tranche 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5" w:name="page266"/>
    <w:bookmarkEnd w:id="26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(cont.)</w:t>
      </w:r>
    </w:p>
    <w:p>
      <w:pPr>
        <w:spacing w:after="0" w:line="189" w:lineRule="exact"/>
        <w:rPr>
          <w:sz w:val="20"/>
          <w:szCs w:val="20"/>
          <w:color w:val="auto"/>
        </w:rPr>
      </w:pPr>
    </w:p>
    <w:p>
      <w:pPr>
        <w:ind w:left="880" w:right="559"/>
        <w:spacing w:after="0" w:line="293" w:lineRule="auto"/>
        <w:rPr>
          <w:sz w:val="20"/>
          <w:szCs w:val="20"/>
          <w:color w:val="auto"/>
        </w:rPr>
      </w:pPr>
      <w:r>
        <w:rPr>
          <w:rFonts w:ascii="Arial" w:cs="Arial" w:eastAsia="Arial" w:hAnsi="Arial"/>
          <w:sz w:val="16"/>
          <w:szCs w:val="16"/>
          <w:color w:val="auto"/>
        </w:rPr>
        <w:t>As the vesting of Tranche 1 and Tranche 2 is based on the Company’s market capitalization of $3 billion and $6 billion, respectively, these options are determined to be market-based awards (“Market Based Awards”) for which the Company has calculated fair value and derived a service period through which to expense the related fair value. The options included in Tranche 1 and Tranche 2 had a day one fair value of $6.47 per share and $6.28 per share and derived service periods of 0.33 years and 1.41 years, respectively. The Company will expense these awards rateably over the remaining service period.</w:t>
      </w:r>
    </w:p>
    <w:p>
      <w:pPr>
        <w:spacing w:after="0" w:line="97" w:lineRule="exact"/>
        <w:rPr>
          <w:sz w:val="20"/>
          <w:szCs w:val="20"/>
          <w:color w:val="auto"/>
        </w:rPr>
      </w:pPr>
    </w:p>
    <w:p>
      <w:pPr>
        <w:ind w:left="880" w:right="479"/>
        <w:spacing w:after="0" w:line="290" w:lineRule="auto"/>
        <w:rPr>
          <w:sz w:val="20"/>
          <w:szCs w:val="20"/>
          <w:color w:val="auto"/>
        </w:rPr>
      </w:pPr>
      <w:r>
        <w:rPr>
          <w:rFonts w:ascii="Arial" w:cs="Arial" w:eastAsia="Arial" w:hAnsi="Arial"/>
          <w:sz w:val="16"/>
          <w:szCs w:val="16"/>
          <w:color w:val="auto"/>
        </w:rPr>
        <w:t>Tranche 3 and Tranche 4 of the LTIP stock options vest based on the ISA contract and the commencement of commercial production. These options are determined to be performance-based awards (“Performance Based Awards”). The Company will recognize compensation costs for the Performance Based Awards if and when the Company concludes that it is probable that the performance conditions will be achieved. As of June 30, 2021, no compensation expense related to the Performance Based Awards was recorded as the awarding of an ISA contract is outside the control of the Company. The Company will reassess the probability of the vesting of the Performance Based Awards at each reporting period and adjust the compensation cost when determined to be probable.</w:t>
      </w:r>
    </w:p>
    <w:p>
      <w:pPr>
        <w:spacing w:after="0" w:line="98" w:lineRule="exact"/>
        <w:rPr>
          <w:sz w:val="20"/>
          <w:szCs w:val="20"/>
          <w:color w:val="auto"/>
        </w:rPr>
      </w:pPr>
    </w:p>
    <w:p>
      <w:pPr>
        <w:ind w:left="880" w:right="559"/>
        <w:spacing w:after="0" w:line="308" w:lineRule="auto"/>
        <w:rPr>
          <w:sz w:val="20"/>
          <w:szCs w:val="20"/>
          <w:color w:val="auto"/>
        </w:rPr>
      </w:pPr>
      <w:r>
        <w:rPr>
          <w:rFonts w:ascii="Arial" w:cs="Arial" w:eastAsia="Arial" w:hAnsi="Arial"/>
          <w:sz w:val="17"/>
          <w:szCs w:val="17"/>
          <w:color w:val="auto"/>
        </w:rPr>
        <w:t>The fair value of the options granted under the Company’s STIP was estimated on the date of grant using the Black-Scholes option pricing model, with the following weighted average assumptions:</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12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64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80" w:type="dxa"/>
            <w:vAlign w:val="bottom"/>
          </w:tcPr>
          <w:p>
            <w:pPr>
              <w:jc w:val="right"/>
              <w:spacing w:after="0"/>
              <w:rPr>
                <w:sz w:val="20"/>
                <w:szCs w:val="20"/>
                <w:color w:val="auto"/>
              </w:rPr>
            </w:pPr>
            <w:r>
              <w:rPr>
                <w:rFonts w:ascii="Arial" w:cs="Arial" w:eastAsia="Arial" w:hAnsi="Arial"/>
                <w:sz w:val="18"/>
                <w:szCs w:val="18"/>
                <w:color w:val="auto"/>
              </w:rPr>
              <w:t>89.44%</w:t>
            </w:r>
          </w:p>
        </w:tc>
      </w:tr>
      <w:tr>
        <w:trPr>
          <w:trHeight w:val="40"/>
        </w:trPr>
        <w:tc>
          <w:tcPr>
            <w:tcW w:w="6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3.73</w:t>
            </w:r>
          </w:p>
        </w:tc>
      </w:tr>
      <w:tr>
        <w:trPr>
          <w:trHeight w:val="40"/>
        </w:trPr>
        <w:tc>
          <w:tcPr>
            <w:tcW w:w="6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7.00</w:t>
            </w:r>
          </w:p>
        </w:tc>
      </w:tr>
      <w:tr>
        <w:trPr>
          <w:trHeight w:val="40"/>
        </w:trPr>
        <w:tc>
          <w:tcPr>
            <w:tcW w:w="64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880" w:right="679"/>
        <w:spacing w:after="0" w:line="263" w:lineRule="auto"/>
        <w:rPr>
          <w:sz w:val="20"/>
          <w:szCs w:val="20"/>
          <w:color w:val="auto"/>
        </w:rPr>
      </w:pPr>
      <w:r>
        <w:rPr>
          <w:rFonts w:ascii="Arial" w:cs="Arial" w:eastAsia="Arial" w:hAnsi="Arial"/>
          <w:sz w:val="18"/>
          <w:szCs w:val="18"/>
          <w:color w:val="auto"/>
        </w:rPr>
        <w:t>The fair value of the Market Based Awards granted under the LTIP was estimated on the date of grant using a Monte Carlo model to simulate a distribution of future stock prices with the following weighted average assumptions:</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Tranche 1</w:t>
            </w:r>
          </w:p>
        </w:tc>
      </w:tr>
      <w:tr>
        <w:trPr>
          <w:trHeight w:val="210"/>
        </w:trPr>
        <w:tc>
          <w:tcPr>
            <w:tcW w:w="6420" w:type="dxa"/>
            <w:vAlign w:val="bottom"/>
          </w:tcPr>
          <w:p>
            <w:pPr>
              <w:spacing w:after="0"/>
              <w:rPr>
                <w:sz w:val="18"/>
                <w:szCs w:val="18"/>
                <w:color w:val="auto"/>
              </w:rPr>
            </w:pPr>
          </w:p>
        </w:tc>
        <w:tc>
          <w:tcPr>
            <w:tcW w:w="1280" w:type="dxa"/>
            <w:vAlign w:val="bottom"/>
          </w:tcPr>
          <w:p>
            <w:pPr>
              <w:jc w:val="right"/>
              <w:ind w:right="53"/>
              <w:spacing w:after="0"/>
              <w:rPr>
                <w:sz w:val="20"/>
                <w:szCs w:val="20"/>
                <w:color w:val="auto"/>
              </w:rPr>
            </w:pPr>
            <w:r>
              <w:rPr>
                <w:rFonts w:ascii="Arial" w:cs="Arial" w:eastAsia="Arial" w:hAnsi="Arial"/>
                <w:sz w:val="16"/>
                <w:szCs w:val="16"/>
                <w:b w:val="1"/>
                <w:bCs w:val="1"/>
                <w:color w:val="auto"/>
              </w:rPr>
              <w:t>and Tranche 2</w:t>
            </w:r>
          </w:p>
        </w:tc>
      </w:tr>
      <w:tr>
        <w:trPr>
          <w:trHeight w:val="46"/>
        </w:trPr>
        <w:tc>
          <w:tcPr>
            <w:tcW w:w="64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80" w:type="dxa"/>
            <w:vAlign w:val="bottom"/>
          </w:tcPr>
          <w:p>
            <w:pPr>
              <w:jc w:val="right"/>
              <w:spacing w:after="0"/>
              <w:rPr>
                <w:sz w:val="20"/>
                <w:szCs w:val="20"/>
                <w:color w:val="auto"/>
              </w:rPr>
            </w:pPr>
            <w:r>
              <w:rPr>
                <w:rFonts w:ascii="Arial" w:cs="Arial" w:eastAsia="Arial" w:hAnsi="Arial"/>
                <w:sz w:val="18"/>
                <w:szCs w:val="18"/>
                <w:color w:val="auto"/>
              </w:rPr>
              <w:t>90.98%</w:t>
            </w:r>
          </w:p>
        </w:tc>
      </w:tr>
      <w:tr>
        <w:trPr>
          <w:trHeight w:val="40"/>
        </w:trPr>
        <w:tc>
          <w:tcPr>
            <w:tcW w:w="6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7.25</w:t>
            </w:r>
          </w:p>
        </w:tc>
      </w:tr>
      <w:tr>
        <w:trPr>
          <w:trHeight w:val="40"/>
        </w:trPr>
        <w:tc>
          <w:tcPr>
            <w:tcW w:w="6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7.00</w:t>
            </w:r>
          </w:p>
        </w:tc>
      </w:tr>
      <w:tr>
        <w:trPr>
          <w:trHeight w:val="40"/>
        </w:trPr>
        <w:tc>
          <w:tcPr>
            <w:tcW w:w="64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880" w:right="759"/>
        <w:spacing w:after="0" w:line="342" w:lineRule="auto"/>
        <w:rPr>
          <w:sz w:val="20"/>
          <w:szCs w:val="20"/>
          <w:color w:val="auto"/>
        </w:rPr>
      </w:pPr>
      <w:r>
        <w:rPr>
          <w:rFonts w:ascii="Arial" w:cs="Arial" w:eastAsia="Arial" w:hAnsi="Arial"/>
          <w:sz w:val="16"/>
          <w:szCs w:val="16"/>
          <w:color w:val="auto"/>
        </w:rPr>
        <w:t>The fair value of the Performance Based Awards granted under the LTIP was estimated on the date of grant using the Black-Scholes option pricing model with the following weighted average assumptions:</w:t>
      </w:r>
    </w:p>
    <w:p>
      <w:pPr>
        <w:spacing w:after="0" w:line="124"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Arial" w:cs="Arial" w:eastAsia="Arial" w:hAnsi="Arial"/>
                <w:sz w:val="16"/>
                <w:szCs w:val="16"/>
                <w:b w:val="1"/>
                <w:bCs w:val="1"/>
                <w:color w:val="auto"/>
              </w:rPr>
              <w:t>Tranche 3</w:t>
            </w:r>
          </w:p>
        </w:tc>
        <w:tc>
          <w:tcPr>
            <w:tcW w:w="1280" w:type="dxa"/>
            <w:vAlign w:val="bottom"/>
          </w:tcPr>
          <w:p>
            <w:pPr>
              <w:jc w:val="right"/>
              <w:ind w:right="212"/>
              <w:spacing w:after="0"/>
              <w:rPr>
                <w:sz w:val="20"/>
                <w:szCs w:val="20"/>
                <w:color w:val="auto"/>
              </w:rPr>
            </w:pPr>
            <w:r>
              <w:rPr>
                <w:rFonts w:ascii="Arial" w:cs="Arial" w:eastAsia="Arial" w:hAnsi="Arial"/>
                <w:sz w:val="16"/>
                <w:szCs w:val="16"/>
                <w:b w:val="1"/>
                <w:bCs w:val="1"/>
                <w:color w:val="auto"/>
              </w:rPr>
              <w:t>Tranche 4</w:t>
            </w:r>
          </w:p>
        </w:tc>
      </w:tr>
      <w:tr>
        <w:trPr>
          <w:trHeight w:val="46"/>
        </w:trPr>
        <w:tc>
          <w:tcPr>
            <w:tcW w:w="51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180" w:type="dxa"/>
            <w:vAlign w:val="bottom"/>
          </w:tcPr>
          <w:p>
            <w:pPr>
              <w:jc w:val="right"/>
              <w:spacing w:after="0"/>
              <w:rPr>
                <w:sz w:val="20"/>
                <w:szCs w:val="20"/>
                <w:color w:val="auto"/>
              </w:rPr>
            </w:pPr>
            <w:r>
              <w:rPr>
                <w:rFonts w:ascii="Arial" w:cs="Arial" w:eastAsia="Arial" w:hAnsi="Arial"/>
                <w:sz w:val="18"/>
                <w:szCs w:val="18"/>
                <w:color w:val="auto"/>
              </w:rPr>
              <w:t>91.23%</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91.23%</w:t>
            </w:r>
          </w:p>
        </w:tc>
      </w:tr>
      <w:tr>
        <w:trPr>
          <w:trHeight w:val="41"/>
        </w:trPr>
        <w:tc>
          <w:tcPr>
            <w:tcW w:w="5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Expected term (years)</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5.35</w:t>
            </w:r>
          </w:p>
        </w:tc>
      </w:tr>
      <w:tr>
        <w:trPr>
          <w:trHeight w:val="41"/>
        </w:trPr>
        <w:tc>
          <w:tcPr>
            <w:tcW w:w="5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Estimated per share fair value of the Company’s Common Shares</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7.00</w:t>
            </w:r>
          </w:p>
        </w:tc>
      </w:tr>
      <w:tr>
        <w:trPr>
          <w:trHeight w:val="41"/>
        </w:trPr>
        <w:tc>
          <w:tcPr>
            <w:tcW w:w="51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880" w:right="739"/>
        <w:spacing w:after="0" w:line="277" w:lineRule="auto"/>
        <w:rPr>
          <w:sz w:val="20"/>
          <w:szCs w:val="20"/>
          <w:color w:val="auto"/>
        </w:rPr>
      </w:pPr>
      <w:r>
        <w:rPr>
          <w:rFonts w:ascii="Arial" w:cs="Arial" w:eastAsia="Arial" w:hAnsi="Arial"/>
          <w:sz w:val="18"/>
          <w:szCs w:val="18"/>
          <w:color w:val="auto"/>
        </w:rPr>
        <w:t>Changes in these assumptions could have a material impact on the Company’s loss and comprehensive loss.</w:t>
      </w:r>
    </w:p>
    <w:p>
      <w:pPr>
        <w:spacing w:after="0" w:line="89" w:lineRule="exact"/>
        <w:rPr>
          <w:sz w:val="20"/>
          <w:szCs w:val="20"/>
          <w:color w:val="auto"/>
        </w:rPr>
      </w:pPr>
    </w:p>
    <w:p>
      <w:pPr>
        <w:ind w:left="880" w:right="779"/>
        <w:spacing w:after="0" w:line="308" w:lineRule="auto"/>
        <w:rPr>
          <w:sz w:val="20"/>
          <w:szCs w:val="20"/>
          <w:color w:val="auto"/>
        </w:rPr>
      </w:pPr>
      <w:r>
        <w:rPr>
          <w:rFonts w:ascii="Arial" w:cs="Arial" w:eastAsia="Arial" w:hAnsi="Arial"/>
          <w:sz w:val="17"/>
          <w:szCs w:val="17"/>
          <w:color w:val="auto"/>
        </w:rPr>
        <w:t>During the six months ended June 30, 2021, a total of 3,446,821 stock options were exercised for total proceeds of $2,563,156 with a weighted average exercise price of $0.74 per stock option.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6" w:name="page267"/>
    <w:bookmarkEnd w:id="26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the six months ended June 30, 2021, the Company recognized $47,295,676 as common share</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option-based payments expense in the statement of loss and comprehensive loss (June 30, 2020 –</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$234,115). A total of $18,684,122 related to corporate matters and was charged to the statement of loss</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and comprehensive loss as common share options-based payments ($33,760 for the six months ended</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June 30, 2020). $28,611,554 represents the allocation of Company’s common share options-based</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payments to exploration activities, included within exploration expenses for the six months ended</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June 30, 2020 (June 30, 2020 – $200,355).</w:t>
      </w:r>
    </w:p>
    <w:p>
      <w:pPr>
        <w:spacing w:after="0" w:line="207" w:lineRule="exact"/>
        <w:rPr>
          <w:sz w:val="20"/>
          <w:szCs w:val="20"/>
          <w:color w:val="auto"/>
        </w:rPr>
      </w:pPr>
    </w:p>
    <w:p>
      <w:pPr>
        <w:ind w:left="860" w:hanging="406"/>
        <w:spacing w:after="0"/>
        <w:tabs>
          <w:tab w:leader="none" w:pos="8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Company’s subsidiary, DGE, is party to a consulting agreement with SSCS Pte. Ltd. (“SSCS”) to</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manage offshore engineering studies. A director of DGE is employed through SSCS Pte. Ltd. Consulting</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services during the six months period ended June 30, 2021, amounted to $137,500 (June 30, 2020 –</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$161,820) and are disclosed as external consulting and Exploration labour within exploration expenses</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(Note 4). As at June 30, 2021, the amount payable to SSCS amounted to $22,917 (December 31, 2020 –</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$22,917).</w:t>
      </w:r>
    </w:p>
    <w:p>
      <w:pPr>
        <w:spacing w:after="0" w:line="143" w:lineRule="exact"/>
        <w:rPr>
          <w:sz w:val="20"/>
          <w:szCs w:val="20"/>
          <w:color w:val="auto"/>
        </w:rPr>
      </w:pPr>
    </w:p>
    <w:p>
      <w:pPr>
        <w:ind w:left="880" w:right="979"/>
        <w:spacing w:after="0" w:line="291" w:lineRule="auto"/>
        <w:rPr>
          <w:sz w:val="20"/>
          <w:szCs w:val="20"/>
          <w:color w:val="auto"/>
        </w:rPr>
      </w:pPr>
      <w:r>
        <w:rPr>
          <w:rFonts w:ascii="Arial" w:cs="Arial" w:eastAsia="Arial" w:hAnsi="Arial"/>
          <w:sz w:val="16"/>
          <w:szCs w:val="16"/>
          <w:color w:val="auto"/>
        </w:rPr>
        <w:t>The Company’s Chief Ocean Scientist provides consulting services to the Company through Ocean Renaissance LLC (“Ocean Renaissance”) where he is a principal. Consulting services during the</w:t>
      </w:r>
    </w:p>
    <w:p>
      <w:pPr>
        <w:ind w:left="880" w:right="659"/>
        <w:spacing w:after="0" w:line="255" w:lineRule="auto"/>
        <w:rPr>
          <w:sz w:val="20"/>
          <w:szCs w:val="20"/>
          <w:color w:val="auto"/>
        </w:rPr>
      </w:pPr>
      <w:r>
        <w:rPr>
          <w:rFonts w:ascii="Arial" w:cs="Arial" w:eastAsia="Arial" w:hAnsi="Arial"/>
          <w:sz w:val="18"/>
          <w:szCs w:val="18"/>
          <w:color w:val="auto"/>
        </w:rPr>
        <w:t>six months ended June 30, 2021 amounted to $187,529 (June 30, 2020 – $186,264) and are disclosed as exploration labour within exploration expenses (Note 4). As at June 30, 2021, the amount payable to Ocean Renaissance amounted to $489 (December 31, 2020 – $175).</w:t>
      </w:r>
    </w:p>
    <w:p>
      <w:pPr>
        <w:spacing w:after="0" w:line="186" w:lineRule="exact"/>
        <w:rPr>
          <w:sz w:val="20"/>
          <w:szCs w:val="20"/>
          <w:color w:val="auto"/>
        </w:rPr>
      </w:pPr>
    </w:p>
    <w:p>
      <w:pPr>
        <w:ind w:left="860" w:hanging="406"/>
        <w:spacing w:after="0"/>
        <w:tabs>
          <w:tab w:leader="none" w:pos="8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144" w:lineRule="exact"/>
        <w:rPr>
          <w:sz w:val="20"/>
          <w:szCs w:val="20"/>
          <w:color w:val="auto"/>
        </w:rPr>
      </w:pPr>
    </w:p>
    <w:p>
      <w:pPr>
        <w:ind w:left="880" w:right="599"/>
        <w:spacing w:after="0" w:line="259" w:lineRule="auto"/>
        <w:rPr>
          <w:sz w:val="20"/>
          <w:szCs w:val="20"/>
          <w:color w:val="auto"/>
        </w:rPr>
      </w:pPr>
      <w:r>
        <w:rPr>
          <w:rFonts w:ascii="Arial" w:cs="Arial" w:eastAsia="Arial" w:hAnsi="Arial"/>
          <w:sz w:val="18"/>
          <w:szCs w:val="18"/>
          <w:color w:val="auto"/>
        </w:rPr>
        <w:t>As part of NORI’s exploration contract with the ISA with respect to the NORI Area (Note 4), NORI committed to expending $5 million over the five-year period from 2017 to 2021. Such commitment has already been met. Such commitment is negotiated with the ISA and has flexibility where the amount can be reduced.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Marawa Exploration Contract</w:t>
      </w:r>
    </w:p>
    <w:p>
      <w:pPr>
        <w:spacing w:after="0" w:line="158" w:lineRule="exact"/>
        <w:rPr>
          <w:sz w:val="20"/>
          <w:szCs w:val="20"/>
          <w:color w:val="auto"/>
        </w:rPr>
      </w:pPr>
    </w:p>
    <w:p>
      <w:pPr>
        <w:jc w:val="both"/>
        <w:ind w:left="880" w:right="479"/>
        <w:spacing w:after="0" w:line="311" w:lineRule="auto"/>
        <w:rPr>
          <w:sz w:val="20"/>
          <w:szCs w:val="20"/>
          <w:color w:val="auto"/>
        </w:rPr>
      </w:pPr>
      <w:r>
        <w:rPr>
          <w:rFonts w:ascii="Arial" w:cs="Arial" w:eastAsia="Arial" w:hAnsi="Arial"/>
          <w:sz w:val="16"/>
          <w:szCs w:val="16"/>
          <w:color w:val="auto"/>
        </w:rPr>
        <w:t>As part of Marawa’s exploration contract with the ISA with respect to the Marawa Area (Note 4), Marawa commits to expending funds on exploration activities on an annual basis. The Commitment for fiscal 2021 is Australian dollar $2 million. Such commitment is negotiated with the ISA on an annual basis.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158" w:lineRule="exact"/>
        <w:rPr>
          <w:sz w:val="20"/>
          <w:szCs w:val="20"/>
          <w:color w:val="auto"/>
        </w:rPr>
      </w:pPr>
    </w:p>
    <w:p>
      <w:pPr>
        <w:ind w:left="880" w:right="499"/>
        <w:spacing w:after="0" w:line="254" w:lineRule="auto"/>
        <w:rPr>
          <w:sz w:val="20"/>
          <w:szCs w:val="20"/>
          <w:color w:val="auto"/>
        </w:rPr>
      </w:pPr>
      <w:r>
        <w:rPr>
          <w:rFonts w:ascii="Arial" w:cs="Arial" w:eastAsia="Arial" w:hAnsi="Arial"/>
          <w:sz w:val="18"/>
          <w:szCs w:val="18"/>
          <w:color w:val="auto"/>
        </w:rPr>
        <w:t>As part of TOML’s exploration contract with the ISA with respect to the TOML Area (Note 4), TOML has committed to expending $30 million for a period from 2016 to 2021 in the first five-year review finalized in 2016. Such commitment has flexibility where the amount can be reduced by the ISA and such reduction would be dependent upon various factors including the success of the exploration programs and the availability of funding. As at June 30, 2021, the Company expended approximately $14.1 million. DeepGreen is expecting to discuss the progress since the acquisition of the TOML Group with the ISA later during 2021.</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Offtake Agreements,</w:t>
      </w:r>
    </w:p>
    <w:p>
      <w:pPr>
        <w:spacing w:after="0" w:line="144" w:lineRule="exact"/>
        <w:rPr>
          <w:sz w:val="20"/>
          <w:szCs w:val="20"/>
          <w:color w:val="auto"/>
        </w:rPr>
      </w:pPr>
    </w:p>
    <w:p>
      <w:pPr>
        <w:ind w:left="880" w:right="579"/>
        <w:spacing w:after="0" w:line="259" w:lineRule="auto"/>
        <w:rPr>
          <w:sz w:val="20"/>
          <w:szCs w:val="20"/>
          <w:color w:val="auto"/>
        </w:rPr>
      </w:pPr>
      <w:r>
        <w:rPr>
          <w:rFonts w:ascii="Arial" w:cs="Arial" w:eastAsia="Arial" w:hAnsi="Arial"/>
          <w:sz w:val="18"/>
          <w:szCs w:val="18"/>
          <w:color w:val="auto"/>
        </w:rPr>
        <w:t>On May 25, 2012, the Company’s wholly owned subsidiary, DGE, and Glencore International AG (“Glencore”) entered into a copper offtake agreement and a nickel offtake agreement. DGE has agreed to deliver to Glencore 50% of the annual quantity of copper and nickel produced at a DGE owned processing facility from</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7" w:name="page268"/>
    <w:bookmarkEnd w:id="26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41" w:lineRule="exact"/>
        <w:rPr>
          <w:sz w:val="20"/>
          <w:szCs w:val="20"/>
          <w:color w:val="auto"/>
        </w:rPr>
      </w:pPr>
    </w:p>
    <w:p>
      <w:pPr>
        <w:ind w:left="860" w:hanging="406"/>
        <w:spacing w:after="0"/>
        <w:tabs>
          <w:tab w:leader="none" w:pos="8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color w:val="auto"/>
        </w:rPr>
        <w:t>(cont.)</w:t>
      </w:r>
    </w:p>
    <w:p>
      <w:pPr>
        <w:spacing w:after="0" w:line="189" w:lineRule="exact"/>
        <w:rPr>
          <w:sz w:val="20"/>
          <w:szCs w:val="20"/>
          <w:color w:val="auto"/>
        </w:rPr>
      </w:pPr>
    </w:p>
    <w:p>
      <w:pPr>
        <w:ind w:left="880" w:right="559"/>
        <w:spacing w:after="0" w:line="257" w:lineRule="auto"/>
        <w:rPr>
          <w:sz w:val="20"/>
          <w:szCs w:val="20"/>
          <w:color w:val="auto"/>
        </w:rPr>
      </w:pPr>
      <w:r>
        <w:rPr>
          <w:rFonts w:ascii="Arial" w:cs="Arial" w:eastAsia="Arial" w:hAnsi="Arial"/>
          <w:sz w:val="18"/>
          <w:szCs w:val="18"/>
          <w:color w:val="auto"/>
        </w:rPr>
        <w:t>nodules derived from the NORI Area at LME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158" w:lineRule="exact"/>
        <w:rPr>
          <w:sz w:val="20"/>
          <w:szCs w:val="20"/>
          <w:color w:val="auto"/>
        </w:rPr>
      </w:pPr>
    </w:p>
    <w:p>
      <w:pPr>
        <w:ind w:left="880" w:right="539"/>
        <w:spacing w:after="0" w:line="254" w:lineRule="auto"/>
        <w:rPr>
          <w:sz w:val="20"/>
          <w:szCs w:val="20"/>
          <w:color w:val="auto"/>
        </w:rPr>
      </w:pPr>
      <w:r>
        <w:rPr>
          <w:rFonts w:ascii="Arial" w:cs="Arial" w:eastAsia="Arial" w:hAnsi="Arial"/>
          <w:sz w:val="18"/>
          <w:szCs w:val="18"/>
          <w:color w:val="auto"/>
        </w:rPr>
        <w:t>On July 5, 2017, the Republic of Nauru (“Nauru”), the Nauru Seabed Minerals Authority and NORI entered into a sponsorship agreement (the “NORI Sponsorship Agreement”) formalising certain obligations of the parties in relation to NORI’s exploration and potential exploitation of the NORI Area. Upon reaching a minimum level of nodule production from the tenement area, NORI will pay Nauru a seabed mineral recovery payment based on the wet tonnes of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24" w:lineRule="exact"/>
        <w:rPr>
          <w:sz w:val="20"/>
          <w:szCs w:val="20"/>
          <w:color w:val="auto"/>
        </w:rPr>
      </w:pPr>
    </w:p>
    <w:p>
      <w:pPr>
        <w:ind w:left="880" w:right="619"/>
        <w:spacing w:after="0" w:line="272" w:lineRule="auto"/>
        <w:rPr>
          <w:sz w:val="20"/>
          <w:szCs w:val="20"/>
          <w:color w:val="auto"/>
        </w:rPr>
      </w:pPr>
      <w:r>
        <w:rPr>
          <w:rFonts w:ascii="Arial" w:cs="Arial" w:eastAsia="Arial" w:hAnsi="Arial"/>
          <w:sz w:val="17"/>
          <w:szCs w:val="17"/>
          <w:color w:val="auto"/>
        </w:rPr>
        <w:t>On March 8, 2008, the Kingdom of Tonga (“Tonga”) and TOML entered into a sponsorship agreement (the “TOML Sponsorship Agreement”) formalising certain obligations of the parties in relation to TOML’s exploration and potential exploitation of the TOML Area. Upon reaching a minimum recovery level of nodule production from the tenement area, TOML has agreed to pay Tonga a seabed mineral recovery payment based on the wet tonnes of polymetallic nodules recovered from the tenement area. In addition, TOML has agreed to pay the reasonable direct costs incurred by Tonga to administer the ISA obligations of Tonga to the ISA.</w:t>
      </w:r>
    </w:p>
    <w:p>
      <w:pPr>
        <w:spacing w:after="0" w:line="17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Supplemental Cash Flow Information</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For the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For the</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six months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six months</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ended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4"/>
              </w:rPr>
              <w:t>ended</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7"/>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10"/>
        </w:trPr>
        <w:tc>
          <w:tcPr>
            <w:tcW w:w="5680" w:type="dxa"/>
            <w:vAlign w:val="bottom"/>
            <w:gridSpan w:val="2"/>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900" w:type="dxa"/>
            <w:vAlign w:val="bottom"/>
          </w:tcPr>
          <w:p>
            <w:pPr>
              <w:jc w:val="right"/>
              <w:ind w:right="337"/>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46"/>
        </w:trPr>
        <w:tc>
          <w:tcPr>
            <w:tcW w:w="5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Common Shares issued to settle accounts payable and accrued liabilities.</w:t>
            </w:r>
          </w:p>
        </w:tc>
        <w:tc>
          <w:tcPr>
            <w:tcW w:w="10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12,879,057</w:t>
            </w: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(Note 4)</w:t>
            </w:r>
          </w:p>
        </w:tc>
        <w:tc>
          <w:tcPr>
            <w:tcW w:w="980" w:type="dxa"/>
            <w:vAlign w:val="bottom"/>
            <w:tcBorders>
              <w:bottom w:val="single" w:sz="8" w:color="CCEEFF"/>
            </w:tcBorders>
            <w:gridSpan w:val="2"/>
            <w:vMerge w:val="continue"/>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80" w:type="dxa"/>
            <w:vAlign w:val="bottom"/>
            <w:gridSpan w:val="2"/>
          </w:tcPr>
          <w:p>
            <w:pPr>
              <w:spacing w:after="0"/>
              <w:rPr>
                <w:sz w:val="20"/>
                <w:szCs w:val="20"/>
                <w:color w:val="auto"/>
              </w:rPr>
            </w:pPr>
            <w:r>
              <w:rPr>
                <w:rFonts w:ascii="Arial" w:cs="Arial" w:eastAsia="Arial" w:hAnsi="Arial"/>
                <w:sz w:val="18"/>
                <w:szCs w:val="18"/>
                <w:color w:val="auto"/>
              </w:rPr>
              <w:t>Common Shares issued for exploration license acquisition (Note 3)</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27,999,997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840" w:hanging="386"/>
        <w:spacing w:after="0"/>
        <w:tabs>
          <w:tab w:leader="none" w:pos="84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Segmented Information</w:t>
      </w:r>
    </w:p>
    <w:p>
      <w:pPr>
        <w:spacing w:after="0" w:line="162" w:lineRule="exact"/>
        <w:rPr>
          <w:sz w:val="20"/>
          <w:szCs w:val="20"/>
          <w:color w:val="auto"/>
        </w:rPr>
      </w:pPr>
    </w:p>
    <w:p>
      <w:pPr>
        <w:ind w:left="880" w:right="639"/>
        <w:spacing w:after="0" w:line="311" w:lineRule="auto"/>
        <w:rPr>
          <w:sz w:val="20"/>
          <w:szCs w:val="20"/>
          <w:color w:val="auto"/>
        </w:rPr>
      </w:pPr>
      <w:r>
        <w:rPr>
          <w:rFonts w:ascii="Arial" w:cs="Arial" w:eastAsia="Arial" w:hAnsi="Arial"/>
          <w:sz w:val="16"/>
          <w:szCs w:val="16"/>
          <w:color w:val="auto"/>
        </w:rPr>
        <w:t>The Company’s business consists of only one operating segment, namely exploration of seafloor polymetallic nodules, which includes the development of a metallurgical process to treat such seafloor polymetallic nodules. Details on a geographical basis of the Company’s long-lived assets are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940" w:type="dxa"/>
            <w:vAlign w:val="bottom"/>
            <w:gridSpan w:val="3"/>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1280" w:type="dxa"/>
            <w:vAlign w:val="bottom"/>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b w:val="1"/>
                <w:bCs w:val="1"/>
                <w:color w:val="auto"/>
              </w:rPr>
              <w:t>Equipment</w:t>
            </w:r>
          </w:p>
        </w:tc>
        <w:tc>
          <w:tcPr>
            <w:tcW w:w="3940" w:type="dxa"/>
            <w:vAlign w:val="bottom"/>
            <w:gridSpan w:val="3"/>
          </w:tcPr>
          <w:p>
            <w:pPr>
              <w:jc w:val="right"/>
              <w:ind w:right="453"/>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280" w:type="dxa"/>
            <w:vAlign w:val="bottom"/>
          </w:tcPr>
          <w:p>
            <w:pPr>
              <w:jc w:val="right"/>
              <w:ind w:right="514"/>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Republic of Nauru</w:t>
            </w:r>
          </w:p>
        </w:tc>
        <w:tc>
          <w:tcPr>
            <w:tcW w:w="2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1,500,338</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1,292,308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Tonga</w:t>
            </w:r>
          </w:p>
        </w:tc>
        <w:tc>
          <w:tcPr>
            <w:tcW w:w="40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12,658</w:t>
            </w:r>
          </w:p>
        </w:tc>
        <w:tc>
          <w:tcPr>
            <w:tcW w:w="1280" w:type="dxa"/>
            <w:vAlign w:val="bottom"/>
          </w:tcPr>
          <w:p>
            <w:pPr>
              <w:jc w:val="right"/>
              <w:spacing w:after="0"/>
              <w:rPr>
                <w:sz w:val="20"/>
                <w:szCs w:val="20"/>
                <w:color w:val="auto"/>
              </w:rPr>
            </w:pPr>
            <w:r>
              <w:rPr>
                <w:rFonts w:ascii="Arial" w:cs="Arial" w:eastAsia="Arial" w:hAnsi="Arial"/>
                <w:sz w:val="18"/>
                <w:szCs w:val="18"/>
                <w:color w:val="auto"/>
              </w:rPr>
              <w:t>14,892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2,105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1,515,101</w:t>
            </w: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4"/>
          </w:tcPr>
          <w:p>
            <w:pPr>
              <w:ind w:left="1080"/>
              <w:spacing w:after="0"/>
              <w:rPr>
                <w:sz w:val="20"/>
                <w:szCs w:val="20"/>
                <w:color w:val="auto"/>
              </w:rPr>
            </w:pPr>
            <w:r>
              <w:rPr>
                <w:rFonts w:ascii="Arial" w:cs="Arial" w:eastAsia="Arial" w:hAnsi="Arial"/>
                <w:sz w:val="18"/>
                <w:szCs w:val="18"/>
                <w:color w:val="auto"/>
              </w:rPr>
              <w:t>F-90</w:t>
            </w: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68" w:name="page269"/>
    <w:bookmarkEnd w:id="26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4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Events</w:t>
      </w:r>
    </w:p>
    <w:p>
      <w:pPr>
        <w:spacing w:after="0" w:line="162" w:lineRule="exact"/>
        <w:rPr>
          <w:sz w:val="20"/>
          <w:szCs w:val="20"/>
          <w:color w:val="auto"/>
        </w:rPr>
      </w:pPr>
    </w:p>
    <w:p>
      <w:pPr>
        <w:ind w:left="880" w:right="499"/>
        <w:spacing w:after="0" w:line="311" w:lineRule="auto"/>
        <w:rPr>
          <w:sz w:val="20"/>
          <w:szCs w:val="20"/>
          <w:color w:val="auto"/>
        </w:rPr>
      </w:pPr>
      <w:r>
        <w:rPr>
          <w:rFonts w:ascii="Arial" w:cs="Arial" w:eastAsia="Arial" w:hAnsi="Arial"/>
          <w:sz w:val="16"/>
          <w:szCs w:val="16"/>
          <w:color w:val="auto"/>
        </w:rPr>
        <w:t>In preparing the consolidated financial statements for the period ended June 30, 2021, the Company has evaluated subsequent events for recognition and disclosure through September 9, 2021, the date that these unaudited consolidated financial statements and accompanying notes were available for issuance.</w:t>
      </w:r>
    </w:p>
    <w:p>
      <w:pPr>
        <w:spacing w:after="0" w:line="68" w:lineRule="exact"/>
        <w:rPr>
          <w:sz w:val="20"/>
          <w:szCs w:val="20"/>
          <w:color w:val="auto"/>
        </w:rPr>
      </w:pPr>
    </w:p>
    <w:p>
      <w:pPr>
        <w:ind w:left="880" w:right="479"/>
        <w:spacing w:after="0" w:line="271" w:lineRule="auto"/>
        <w:rPr>
          <w:sz w:val="20"/>
          <w:szCs w:val="20"/>
          <w:color w:val="auto"/>
        </w:rPr>
      </w:pPr>
      <w:r>
        <w:rPr>
          <w:rFonts w:ascii="Arial" w:cs="Arial" w:eastAsia="Arial" w:hAnsi="Arial"/>
          <w:sz w:val="17"/>
          <w:szCs w:val="17"/>
          <w:color w:val="auto"/>
        </w:rPr>
        <w:t>On September 9, 2021, the Company completed the Business Combination with SOAC. The Business Combination was approved by SOAC’s shareholders at its extraordinary general meeting held on September 3, 2021. The transaction resulted in the combined company being renamed “TMC the metals company Inc.” and the combined company’s common shares and warrants to purchase common shares commenced trading on the NASDAQ on September 10, 2021 under the symbols “TMC” and “TMCWW,” respectively. As a result of the Business Combination, the Company received gross proceeds of approximately $137.5 million. Additional discussion about the Business Combination is provided in Item 2.01 of this Current Report on Form 8-K.</w:t>
      </w:r>
    </w:p>
    <w:p>
      <w:pPr>
        <w:spacing w:after="0" w:line="111" w:lineRule="exact"/>
        <w:rPr>
          <w:sz w:val="20"/>
          <w:szCs w:val="20"/>
          <w:color w:val="auto"/>
        </w:rPr>
      </w:pPr>
    </w:p>
    <w:p>
      <w:pPr>
        <w:ind w:left="880" w:right="639"/>
        <w:spacing w:after="0" w:line="275" w:lineRule="auto"/>
        <w:rPr>
          <w:sz w:val="20"/>
          <w:szCs w:val="20"/>
          <w:color w:val="auto"/>
        </w:rPr>
      </w:pPr>
      <w:r>
        <w:rPr>
          <w:rFonts w:ascii="Arial" w:cs="Arial" w:eastAsia="Arial" w:hAnsi="Arial"/>
          <w:sz w:val="17"/>
          <w:szCs w:val="17"/>
          <w:color w:val="auto"/>
        </w:rPr>
        <w:t>The Business Combination will be accounted for as a reverse recapitalization. The Company will be deemed the accounting predecessor and the combined entity will be the successor SEC registrant. As such, the Company’s financial statements for previous periods will be disclosed in the registrant’s future periodic reports filed with the SEC. Under this method of accounting, SOAC will be treated as the acquired company for financial statement reporting purposes.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9" w:name="page270"/>
    <w:bookmarkEnd w:id="26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303530</wp:posOffset>
            </wp:positionV>
            <wp:extent cx="5143500"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346710</wp:posOffset>
            </wp:positionV>
            <wp:extent cx="5143500"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1169670</wp:posOffset>
            </wp:positionV>
            <wp:extent cx="1645920" cy="5918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645920" cy="59182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TMC THE METALS COMPANY INC.</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Up to 264,438,297 Common Shares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Up to 9,500,000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580" w:right="599"/>
        <w:spacing w:after="0" w:line="258"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745490</wp:posOffset>
            </wp:positionV>
            <wp:extent cx="514350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788035</wp:posOffset>
            </wp:positionV>
            <wp:extent cx="5143500"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1062355</wp:posOffset>
            </wp:positionV>
            <wp:extent cx="51435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0" w:name="page271"/>
    <w:bookmarkEnd w:id="27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sets forth the estimated expenses to be borne by the registrant in connection with the issuance and distribution of the securities being registered hereby.</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3"/>
              <w:spacing w:after="0"/>
              <w:rPr>
                <w:sz w:val="20"/>
                <w:szCs w:val="20"/>
                <w:color w:val="auto"/>
              </w:rPr>
            </w:pPr>
            <w:r>
              <w:rPr>
                <w:rFonts w:ascii="Arial" w:cs="Arial" w:eastAsia="Arial" w:hAnsi="Arial"/>
                <w:sz w:val="16"/>
                <w:szCs w:val="16"/>
                <w:b w:val="1"/>
                <w:bCs w:val="1"/>
                <w:color w:val="auto"/>
                <w:w w:val="99"/>
              </w:rPr>
              <w:t>Estimated</w:t>
            </w:r>
          </w:p>
        </w:tc>
        <w:tc>
          <w:tcPr>
            <w:tcW w:w="0" w:type="dxa"/>
            <w:vAlign w:val="bottom"/>
          </w:tcPr>
          <w:p>
            <w:pPr>
              <w:spacing w:after="0"/>
              <w:rPr>
                <w:sz w:val="1"/>
                <w:szCs w:val="1"/>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Expense</w:t>
            </w:r>
          </w:p>
        </w:tc>
        <w:tc>
          <w:tcPr>
            <w:tcW w:w="180" w:type="dxa"/>
            <w:vAlign w:val="bottom"/>
          </w:tcPr>
          <w:p>
            <w:pPr>
              <w:spacing w:after="0"/>
              <w:rPr>
                <w:sz w:val="18"/>
                <w:szCs w:val="18"/>
                <w:color w:val="auto"/>
              </w:rPr>
            </w:pPr>
          </w:p>
        </w:tc>
        <w:tc>
          <w:tcPr>
            <w:tcW w:w="1060" w:type="dxa"/>
            <w:vAlign w:val="bottom"/>
          </w:tcPr>
          <w:p>
            <w:pPr>
              <w:jc w:val="right"/>
              <w:ind w:right="25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101,486</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Financial printing and miscellaneous expenses</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80" w:right="919" w:hanging="426"/>
        <w:spacing w:after="0" w:line="293" w:lineRule="auto"/>
        <w:tabs>
          <w:tab w:leader="none" w:pos="85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These fees are calculated based on the securities offered and the number of issuances and accordingly cannot be defined at this time.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Under the BCBCA, a company may indemnify a director or officer, a former director or officer, or a person who acts or acted at the company’s request as a director or officer, or an individual acting in a similar capacity, of another entity, which we refer to as an eligible party, against all costs, charges and expenses, including an amount paid to settle an action or satisfy a judgment, reasonably incurred by him or her in respect of any civil, criminal, administrative, investigative or other proceeding in which he or she is involved because of that association with the company or other entity, if: (1) the individual acted honestly and in good faith with a view to the best interests of such company or the other entity, as the case may be; and (2) in the case of a proceeding other than a civil proceeding, the individual had reasonable grounds for believing that the individual’s conduct was lawful. A company cannot indemnify an eligible party if it is prohibited from doing so under its articles, even if it had agreed to do so by an indemnification agreement (provided that the articles prohibited indemnification when the indemnification agreement was made). A company may advance the expenses of an eligible party as they are incurred in an eligible proceeding only if the eligible party has provided an undertaking that, if it is ultimately determined that the payment of expenses was prohibited, the eligible party will repay any amounts advanced. On application from an eligible party, a court may make any order the court considers appropriate in respect of an eligible proceeding, including the indemnification of penalties imposed or expenses incurred in any such proceedings and the enforcement of an indemnification agreement.</w:t>
      </w:r>
    </w:p>
    <w:p>
      <w:pPr>
        <w:spacing w:after="0" w:line="109"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Subject to the BCBCA, our Articles require us to indemnify an eligible party and his or her heirs and legal personal representatives against all eligible penalties to which such person is or may be liable, and we must after final disposition of an eligible proceeding, pay the expenses actually and reasonably incurred by such person in respect of that proceeding. Each eligible party is deemed to have contracted with us on the terms of the indemnity contained in our Articles. In addition, our Articles specify that failure of an eligible party to comply with the provisions of the BCBCA or our Articles will not invalidate any indemnity to which he or she is entitled. Our Articles also allow for us to purchase and maintain insurance for the benefit of specified eligible parties.</w:t>
      </w:r>
    </w:p>
    <w:p>
      <w:pPr>
        <w:spacing w:after="0" w:line="111"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entered into indemnity agreements with our directors and certain officers. Each indemnity agreement provides for indemnification and advancements by us of certain expenses and costs relating to claims, suits or proceedings arising from his or her service to us, or, at our request, service to other entities, as officers or directors to the maximum extent permitted by applicable law and subject to the terms and conditions of such indemnity agreement.</w:t>
      </w:r>
    </w:p>
    <w:p>
      <w:pPr>
        <w:spacing w:after="0" w:line="120"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We have also purchased insurance policies relating to certain liabilities that our directors and officers may incur in such capacity.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1" w:name="page272"/>
    <w:bookmarkEnd w:id="27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On December 31, 2019, the Sponsor purchased 8,625,000 shares (the “Founder Shares”) of SOAC’s Class B ordinary shares, par value $0.0001, for an aggregate price of $25,000. In March 2020, the Sponsor transferred 30,000 Founder Shares to each of SOAC’s independent directors. Upon the Continuance, the Founder Shares became Common Shares. The Sponsor had agreed to forfeit up to 1,125,000 Founder Shares to the extent that the over-allotment option was not exercised in full by the underwriter so that the Founder Shares will represent 20% of SOAC’s issued and outstanding shares after the initial public offering. The over-allotment option expired in June 2020; thus, these Founder Shares were forfeited accordingly.</w:t>
      </w:r>
    </w:p>
    <w:p>
      <w:pPr>
        <w:spacing w:after="0" w:line="99" w:lineRule="exact"/>
        <w:rPr>
          <w:sz w:val="20"/>
          <w:szCs w:val="20"/>
          <w:color w:val="auto"/>
        </w:rPr>
      </w:pPr>
    </w:p>
    <w:p>
      <w:pPr>
        <w:ind w:left="460" w:right="879" w:firstLine="432"/>
        <w:spacing w:after="0" w:line="263" w:lineRule="auto"/>
        <w:rPr>
          <w:sz w:val="20"/>
          <w:szCs w:val="20"/>
          <w:color w:val="auto"/>
        </w:rPr>
      </w:pPr>
      <w:r>
        <w:rPr>
          <w:rFonts w:ascii="Arial" w:cs="Arial" w:eastAsia="Arial" w:hAnsi="Arial"/>
          <w:sz w:val="18"/>
          <w:szCs w:val="18"/>
          <w:color w:val="auto"/>
        </w:rPr>
        <w:t>Such securities were issued in connection with SOAC’s organization pursuant to the exemption from registration contained in Section 4(a)(2) of the Securities Act. The Sponsor is an accredited investor for purposes of Rule 501 of Regulation 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44"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Simultaneously with the closing of the initial public offering, SOAC consummated the private placement of 9,500,000 Private Placement Warrants at a price of $1.00 per Private Placement Warrant to the Sponsor, generating gross proceeds of $9.5 million. Each Private Placement Warrant is exercisable for one Common Share at a price of $11.50 per share, subject to adjustment. Such securities were issued pursuant to the exemption from registration contained in Section 4(a)(2) of the Securities Act. The Sponsor is an accredited investor for purposes of Rule 501 of Regulation 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 Consideration</w:t>
      </w:r>
    </w:p>
    <w:p>
      <w:pPr>
        <w:spacing w:after="0" w:line="158" w:lineRule="exact"/>
        <w:rPr>
          <w:sz w:val="20"/>
          <w:szCs w:val="20"/>
          <w:color w:val="auto"/>
        </w:rPr>
      </w:pPr>
    </w:p>
    <w:p>
      <w:pPr>
        <w:ind w:left="460" w:right="579" w:firstLine="432"/>
        <w:spacing w:after="0" w:line="285" w:lineRule="auto"/>
        <w:rPr>
          <w:sz w:val="20"/>
          <w:szCs w:val="20"/>
          <w:color w:val="auto"/>
        </w:rPr>
      </w:pPr>
      <w:r>
        <w:rPr>
          <w:rFonts w:ascii="Arial" w:cs="Arial" w:eastAsia="Arial" w:hAnsi="Arial"/>
          <w:sz w:val="16"/>
          <w:szCs w:val="16"/>
          <w:color w:val="auto"/>
        </w:rPr>
        <w:t>In accordance with the terms and subject to the conditions of the Business Combination Agreement, pursuant to the Plan of Arrangement, the shareholders and the optionholders of DeepGreen received on the Closing Date in exchange for their DeepGreen Common Shares or options, as applicable, an aggregate of 203,874,981 Common Shares in exchange for DeepGreen Common Shares and rollover options to purchase an aggregate of 25,287,670 Common Shares with respect to DeepGreen options assumed by the Company, and</w:t>
      </w:r>
    </w:p>
    <w:p>
      <w:pPr>
        <w:spacing w:after="0" w:line="2" w:lineRule="exact"/>
        <w:rPr>
          <w:sz w:val="20"/>
          <w:szCs w:val="20"/>
          <w:color w:val="auto"/>
        </w:rPr>
      </w:pPr>
    </w:p>
    <w:p>
      <w:pPr>
        <w:ind w:left="460" w:right="599" w:hanging="6"/>
        <w:spacing w:after="0" w:line="292" w:lineRule="auto"/>
        <w:tabs>
          <w:tab w:leader="none" w:pos="72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DeepGreen Earnout Shares (which includes DeepGreen Earnout Shares underlying the rollover options assumed by the Company). The Common Shares, DeepGreen Earnout Shares and rollover options to purchase Common Shares and DeepGreen Earnout Shares issued to shareholders and optionholders of DeepGreen pursuant to the Plan of Arrangement were not registered under the Securities Act, and were issued pursuant to the exemption provided by Section 3(a)(10) under the Securities Act.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Sponsor Earnout Shares</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Immediately following the Continuance and prior to the Effective Time, the Sponsor exchanged 741,000 SOAC Common Shares (which consisted of the SOAC Class B ordinary shares prior to the Continuance) for the Sponsor Earnout Shares, each of which is automatically convertible into Common Shares on a one-for-one basis (subject to adjustment), if certain Common Share price thresholds are met as described herein. The Sponsor Earnout Shares issued to the Sponsor were issued pursuant to and in accordance with the exemption from registration under the Securities Act, under Section 3(a)(9) as involving an exchange by the Company exclusively with its security holders.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PIPE Financing</w:t>
      </w:r>
    </w:p>
    <w:p>
      <w:pPr>
        <w:spacing w:after="0" w:line="14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On the Closing Date, the Company offered and sold to the PIPE Investors, pursuant to the Subscription Agreements, an aggregate of 11,030,000 Common Shares at a price of $10.00 per share for aggregate gross proceeds to the Company of $110,300,000 in the PIPE Financing. The PIPE Financing closed concurrently with the Business Combination. The shares issued to the PIPE Investors in the PIPE Financing on the Closing Date were issued pursuant to and in accordance with the exemption from registration under the Securities Act, under Section 4(a)(2) and/or Regulation D promulgated under the Securities Act, or a prospectus exemption under applicable Canadian securities law, as applicable.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2" w:name="page273"/>
    <w:bookmarkEnd w:id="27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Common Shares to Service Providers</w:t>
      </w:r>
    </w:p>
    <w:p>
      <w:pPr>
        <w:spacing w:after="0" w:line="144"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On October 7, 2021, in lieu of cash fees for services rendered to DeepGreen in connection with the Business Combination, the Company issued an aggregate of 873,953 Common Shares to five service providers. The shares issued to such service providers were issued pursuant to and in accordance with the exemption from registration under the Securities Act under Section 4(a)(2) and/or Regulation D promulgated under the Securities Act, or a prospectus exemption under applicable Canadian securities law, as applicable.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62" w:lineRule="exact"/>
        <w:rPr>
          <w:sz w:val="20"/>
          <w:szCs w:val="20"/>
          <w:color w:val="auto"/>
        </w:rPr>
      </w:pPr>
    </w:p>
    <w:p>
      <w:pPr>
        <w:ind w:left="1320" w:hanging="434"/>
        <w:spacing w:after="0"/>
        <w:tabs>
          <w:tab w:leader="none" w:pos="1320"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Incorporated by</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Reference Herein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Filed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from Form or</w:t>
            </w: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Filing</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SEC File/Reg.</w:t>
            </w:r>
          </w:p>
        </w:tc>
      </w:tr>
      <w:tr>
        <w:trPr>
          <w:trHeight w:val="210"/>
        </w:trPr>
        <w:tc>
          <w:tcPr>
            <w:tcW w:w="7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0"/>
          </w:tcPr>
          <w:p>
            <w:pPr>
              <w:ind w:left="240"/>
              <w:spacing w:after="0"/>
              <w:rPr>
                <w:sz w:val="20"/>
                <w:szCs w:val="20"/>
                <w:color w:val="auto"/>
              </w:rPr>
            </w:pPr>
            <w:r>
              <w:rPr>
                <w:rFonts w:ascii="Arial" w:cs="Arial" w:eastAsia="Arial" w:hAnsi="Arial"/>
                <w:sz w:val="16"/>
                <w:szCs w:val="16"/>
                <w:b w:val="1"/>
                <w:bCs w:val="1"/>
                <w:color w:val="auto"/>
              </w:rPr>
              <w:t>Exhibit Description</w:t>
            </w: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Herewith</w:t>
            </w: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Schedule</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r>
      <w:tr>
        <w:trPr>
          <w:trHeight w:val="46"/>
        </w:trPr>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9"/>
        </w:trPr>
        <w:tc>
          <w:tcPr>
            <w:tcW w:w="74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2500" w:type="dxa"/>
            <w:vAlign w:val="bottom"/>
            <w:tcBorders>
              <w:bottom w:val="single" w:sz="8" w:color="0000EE"/>
            </w:tcBorders>
            <w:gridSpan w:val="20"/>
            <w:shd w:val="clear" w:color="auto" w:fill="CCEEFF"/>
          </w:tcPr>
          <w:p>
            <w:pPr>
              <w:spacing w:after="0" w:line="169" w:lineRule="exact"/>
              <w:rPr>
                <w:rFonts w:ascii="Arial" w:cs="Arial" w:eastAsia="Arial" w:hAnsi="Arial"/>
                <w:sz w:val="18"/>
                <w:szCs w:val="18"/>
                <w:color w:val="0000EE"/>
                <w:w w:val="89"/>
              </w:rPr>
            </w:pPr>
            <w:hyperlink r:id="rId344">
              <w:r>
                <w:rPr>
                  <w:rFonts w:ascii="Arial" w:cs="Arial" w:eastAsia="Arial" w:hAnsi="Arial"/>
                  <w:sz w:val="18"/>
                  <w:szCs w:val="18"/>
                  <w:color w:val="0000EE"/>
                  <w:w w:val="89"/>
                </w:rPr>
                <w:t>Business Combination Agreement,</w:t>
              </w:r>
            </w:hyperlink>
          </w:p>
        </w:tc>
        <w:tc>
          <w:tcPr>
            <w:tcW w:w="320" w:type="dxa"/>
            <w:vAlign w:val="bottom"/>
            <w:tcBorders>
              <w:bottom w:val="single" w:sz="8" w:color="CCEEFF"/>
            </w:tcBorders>
            <w:gridSpan w:val="11"/>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Form 8-K</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1"/>
              </w:rPr>
              <w:t>3/4/2021</w:t>
            </w: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001-39281</w:t>
            </w: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440" w:type="dxa"/>
            <w:vAlign w:val="bottom"/>
            <w:tcBorders>
              <w:bottom w:val="single" w:sz="8" w:color="0000EE"/>
            </w:tcBorders>
            <w:gridSpan w:val="19"/>
            <w:shd w:val="clear" w:color="auto" w:fill="CCEEFF"/>
          </w:tcPr>
          <w:p>
            <w:pPr>
              <w:spacing w:after="0" w:line="196" w:lineRule="exact"/>
              <w:rPr>
                <w:rFonts w:ascii="Arial" w:cs="Arial" w:eastAsia="Arial" w:hAnsi="Arial"/>
                <w:sz w:val="18"/>
                <w:szCs w:val="18"/>
                <w:color w:val="0000EE"/>
                <w:w w:val="88"/>
              </w:rPr>
            </w:pPr>
            <w:hyperlink r:id="rId344">
              <w:r>
                <w:rPr>
                  <w:rFonts w:ascii="Arial" w:cs="Arial" w:eastAsia="Arial" w:hAnsi="Arial"/>
                  <w:sz w:val="18"/>
                  <w:szCs w:val="18"/>
                  <w:color w:val="0000EE"/>
                  <w:w w:val="88"/>
                </w:rPr>
                <w:t>dated as of March 4, 2021, by and</w:t>
              </w:r>
            </w:hyperlink>
          </w:p>
        </w:tc>
        <w:tc>
          <w:tcPr>
            <w:tcW w:w="440" w:type="dxa"/>
            <w:vAlign w:val="bottom"/>
            <w:tcBorders>
              <w:bottom w:val="single" w:sz="8" w:color="CCEEFF"/>
            </w:tcBorders>
            <w:gridSpan w:val="13"/>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5"/>
              </w:rPr>
              <w:t>(Exhibit 2.1)</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2"/>
            <w:shd w:val="clear" w:color="auto" w:fill="CCEEFF"/>
          </w:tcPr>
          <w:p>
            <w:pPr>
              <w:spacing w:after="0" w:line="196" w:lineRule="exact"/>
              <w:rPr>
                <w:rFonts w:ascii="Arial" w:cs="Arial" w:eastAsia="Arial" w:hAnsi="Arial"/>
                <w:sz w:val="18"/>
                <w:szCs w:val="18"/>
                <w:color w:val="0000EE"/>
              </w:rPr>
            </w:pPr>
            <w:hyperlink r:id="rId344">
              <w:r>
                <w:rPr>
                  <w:rFonts w:ascii="Arial" w:cs="Arial" w:eastAsia="Arial" w:hAnsi="Arial"/>
                  <w:sz w:val="18"/>
                  <w:szCs w:val="18"/>
                  <w:color w:val="0000EE"/>
                </w:rPr>
                <w:t>among Sustainable Opportunities</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00" w:type="dxa"/>
            <w:vAlign w:val="bottom"/>
            <w:tcBorders>
              <w:top w:val="single" w:sz="8" w:color="0000EE"/>
              <w:bottom w:val="single" w:sz="8" w:color="0000EE"/>
            </w:tcBorders>
            <w:gridSpan w:val="13"/>
            <w:shd w:val="clear" w:color="auto" w:fill="CCEEFF"/>
          </w:tcPr>
          <w:p>
            <w:pPr>
              <w:spacing w:after="0" w:line="196" w:lineRule="exact"/>
              <w:rPr>
                <w:rFonts w:ascii="Arial" w:cs="Arial" w:eastAsia="Arial" w:hAnsi="Arial"/>
                <w:sz w:val="18"/>
                <w:szCs w:val="18"/>
                <w:color w:val="0000EE"/>
                <w:w w:val="91"/>
              </w:rPr>
            </w:pPr>
            <w:hyperlink r:id="rId344">
              <w:r>
                <w:rPr>
                  <w:rFonts w:ascii="Arial" w:cs="Arial" w:eastAsia="Arial" w:hAnsi="Arial"/>
                  <w:sz w:val="18"/>
                  <w:szCs w:val="18"/>
                  <w:color w:val="0000EE"/>
                  <w:w w:val="91"/>
                </w:rPr>
                <w:t>Acquisition Corp., 1291924</w:t>
              </w:r>
            </w:hyperlink>
          </w:p>
        </w:tc>
        <w:tc>
          <w:tcPr>
            <w:tcW w:w="38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500" w:type="dxa"/>
            <w:vAlign w:val="bottom"/>
            <w:tcBorders>
              <w:top w:val="single" w:sz="8" w:color="CCEEFF"/>
              <w:bottom w:val="single" w:sz="8" w:color="CCEEFF"/>
            </w:tcBorders>
            <w:gridSpan w:val="14"/>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50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4"/>
              </w:rPr>
            </w:pPr>
            <w:hyperlink r:id="rId344">
              <w:r>
                <w:rPr>
                  <w:rFonts w:ascii="Arial" w:cs="Arial" w:eastAsia="Arial" w:hAnsi="Arial"/>
                  <w:sz w:val="18"/>
                  <w:szCs w:val="18"/>
                  <w:color w:val="0000EE"/>
                  <w:w w:val="94"/>
                </w:rPr>
                <w:t>B.C. Unlimited Liability Company</w:t>
              </w:r>
            </w:hyperlink>
          </w:p>
        </w:tc>
        <w:tc>
          <w:tcPr>
            <w:tcW w:w="380" w:type="dxa"/>
            <w:vAlign w:val="bottom"/>
            <w:tcBorders>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2"/>
            <w:shd w:val="clear" w:color="auto" w:fill="CCEEFF"/>
          </w:tcPr>
          <w:p>
            <w:pPr>
              <w:spacing w:after="0" w:line="196" w:lineRule="exact"/>
              <w:rPr>
                <w:rFonts w:ascii="Arial" w:cs="Arial" w:eastAsia="Arial" w:hAnsi="Arial"/>
                <w:sz w:val="18"/>
                <w:szCs w:val="18"/>
                <w:color w:val="0000EE"/>
              </w:rPr>
            </w:pPr>
            <w:hyperlink r:id="rId344">
              <w:r>
                <w:rPr>
                  <w:rFonts w:ascii="Arial" w:cs="Arial" w:eastAsia="Arial" w:hAnsi="Arial"/>
                  <w:sz w:val="18"/>
                  <w:szCs w:val="18"/>
                  <w:color w:val="0000EE"/>
                </w:rPr>
                <w:t>and DeepGreen Metals Inc.</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2880" w:type="dxa"/>
            <w:vAlign w:val="bottom"/>
            <w:gridSpan w:val="32"/>
          </w:tcPr>
          <w:p>
            <w:pPr>
              <w:spacing w:after="0" w:line="176" w:lineRule="exact"/>
              <w:rPr>
                <w:rFonts w:ascii="Arial" w:cs="Arial" w:eastAsia="Arial" w:hAnsi="Arial"/>
                <w:sz w:val="18"/>
                <w:szCs w:val="18"/>
                <w:color w:val="0000EE"/>
                <w:w w:val="99"/>
              </w:rPr>
            </w:pPr>
            <w:hyperlink r:id="rId345">
              <w:r>
                <w:rPr>
                  <w:rFonts w:ascii="Arial" w:cs="Arial" w:eastAsia="Arial" w:hAnsi="Arial"/>
                  <w:sz w:val="18"/>
                  <w:szCs w:val="18"/>
                  <w:color w:val="0000EE"/>
                  <w:w w:val="99"/>
                </w:rPr>
                <w:t>Notice of Articles of TMC the metals</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5"/>
              </w:rPr>
              <w:t>Form 8-K</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9"/>
              </w:rPr>
              <w:t>9/15/2021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001-39281</w:t>
            </w: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345">
              <w:r>
                <w:rPr>
                  <w:rFonts w:ascii="Arial" w:cs="Arial" w:eastAsia="Arial" w:hAnsi="Arial"/>
                  <w:sz w:val="18"/>
                  <w:szCs w:val="18"/>
                  <w:color w:val="0000EE"/>
                </w:rPr>
                <w:t>company Inc.</w:t>
              </w:r>
            </w:hyperlink>
          </w:p>
        </w:tc>
        <w:tc>
          <w:tcPr>
            <w:tcW w:w="20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5"/>
              </w:rPr>
              <w:t>(Exhibit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Borders>
              <w:right w:val="single" w:sz="8" w:color="CCEEFF"/>
            </w:tcBorders>
            <w:shd w:val="clear" w:color="auto" w:fill="CCEEFF"/>
          </w:tcPr>
          <w:p>
            <w:pPr>
              <w:spacing w:after="0"/>
              <w:rPr>
                <w:sz w:val="15"/>
                <w:szCs w:val="15"/>
                <w:color w:val="auto"/>
              </w:rPr>
            </w:pPr>
          </w:p>
        </w:tc>
        <w:tc>
          <w:tcPr>
            <w:tcW w:w="2880" w:type="dxa"/>
            <w:vAlign w:val="bottom"/>
            <w:gridSpan w:val="32"/>
            <w:shd w:val="clear" w:color="auto" w:fill="CCEEFF"/>
          </w:tcPr>
          <w:p>
            <w:pPr>
              <w:spacing w:after="0" w:line="176" w:lineRule="exact"/>
              <w:rPr>
                <w:rFonts w:ascii="Arial" w:cs="Arial" w:eastAsia="Arial" w:hAnsi="Arial"/>
                <w:sz w:val="18"/>
                <w:szCs w:val="18"/>
                <w:color w:val="0000EE"/>
                <w:w w:val="98"/>
              </w:rPr>
            </w:pPr>
            <w:hyperlink r:id="rId346">
              <w:r>
                <w:rPr>
                  <w:rFonts w:ascii="Arial" w:cs="Arial" w:eastAsia="Arial" w:hAnsi="Arial"/>
                  <w:sz w:val="18"/>
                  <w:szCs w:val="18"/>
                  <w:color w:val="0000EE"/>
                  <w:w w:val="98"/>
                </w:rPr>
                <w:t>Articles of TMC the metals company</w:t>
              </w:r>
            </w:hyperlink>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5"/>
              </w:rPr>
              <w:t>Form 8-K</w:t>
            </w: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9/15/2021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001-39281</w:t>
            </w:r>
          </w:p>
        </w:tc>
      </w:tr>
      <w:tr>
        <w:trPr>
          <w:trHeight w:val="196"/>
        </w:trPr>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660" w:type="dxa"/>
            <w:vAlign w:val="bottom"/>
            <w:tcBorders>
              <w:top w:val="single" w:sz="8" w:color="0000EE"/>
            </w:tcBorders>
            <w:gridSpan w:val="25"/>
            <w:shd w:val="clear" w:color="auto" w:fill="CCEEFF"/>
          </w:tcPr>
          <w:p>
            <w:pPr>
              <w:spacing w:after="0" w:line="196" w:lineRule="exact"/>
              <w:rPr>
                <w:rFonts w:ascii="Arial" w:cs="Arial" w:eastAsia="Arial" w:hAnsi="Arial"/>
                <w:sz w:val="18"/>
                <w:szCs w:val="18"/>
                <w:color w:val="0000EE"/>
              </w:rPr>
            </w:pPr>
            <w:hyperlink r:id="rId346">
              <w:r>
                <w:rPr>
                  <w:rFonts w:ascii="Arial" w:cs="Arial" w:eastAsia="Arial" w:hAnsi="Arial"/>
                  <w:sz w:val="18"/>
                  <w:szCs w:val="18"/>
                  <w:color w:val="0000EE"/>
                </w:rPr>
                <w:t>Inc.</w:t>
              </w:r>
            </w:hyperlink>
          </w:p>
        </w:tc>
        <w:tc>
          <w:tcPr>
            <w:tcW w:w="220" w:type="dxa"/>
            <w:vAlign w:val="bottom"/>
            <w:tcBorders>
              <w:top w:val="single" w:sz="8" w:color="CCEEFF"/>
            </w:tcBorders>
            <w:gridSpan w:val="7"/>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5"/>
              </w:rPr>
              <w:t>(Exhibit 3.2)</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2180" w:type="dxa"/>
            <w:vAlign w:val="bottom"/>
            <w:tcBorders>
              <w:bottom w:val="single" w:sz="8" w:color="0000EE"/>
            </w:tcBorders>
            <w:gridSpan w:val="15"/>
          </w:tcPr>
          <w:p>
            <w:pPr>
              <w:spacing w:after="0" w:line="176" w:lineRule="exact"/>
              <w:rPr>
                <w:rFonts w:ascii="Arial" w:cs="Arial" w:eastAsia="Arial" w:hAnsi="Arial"/>
                <w:sz w:val="18"/>
                <w:szCs w:val="18"/>
                <w:color w:val="0000EE"/>
                <w:w w:val="90"/>
              </w:rPr>
            </w:pPr>
            <w:hyperlink r:id="rId347">
              <w:r>
                <w:rPr>
                  <w:rFonts w:ascii="Arial" w:cs="Arial" w:eastAsia="Arial" w:hAnsi="Arial"/>
                  <w:sz w:val="18"/>
                  <w:szCs w:val="18"/>
                  <w:color w:val="0000EE"/>
                  <w:w w:val="90"/>
                </w:rPr>
                <w:t>TMC the metals company Inc.</w:t>
              </w:r>
            </w:hyperlink>
          </w:p>
        </w:tc>
        <w:tc>
          <w:tcPr>
            <w:tcW w:w="700" w:type="dxa"/>
            <w:vAlign w:val="bottom"/>
            <w:gridSpan w:val="17"/>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5"/>
              </w:rPr>
              <w:t>Form 8-K</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9"/>
              </w:rPr>
              <w:t>9/15/2021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001-39281</w:t>
            </w: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2"/>
          </w:tcPr>
          <w:p>
            <w:pPr>
              <w:spacing w:after="0" w:line="196" w:lineRule="exact"/>
              <w:rPr>
                <w:rFonts w:ascii="Arial" w:cs="Arial" w:eastAsia="Arial" w:hAnsi="Arial"/>
                <w:sz w:val="18"/>
                <w:szCs w:val="18"/>
                <w:color w:val="0000EE"/>
              </w:rPr>
            </w:pPr>
            <w:hyperlink r:id="rId347">
              <w:r>
                <w:rPr>
                  <w:rFonts w:ascii="Arial" w:cs="Arial" w:eastAsia="Arial" w:hAnsi="Arial"/>
                  <w:sz w:val="18"/>
                  <w:szCs w:val="18"/>
                  <w:color w:val="0000EE"/>
                </w:rPr>
                <w:t>Common Share Certificate</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5"/>
              </w:rPr>
              <w:t>(Exhibit 4.1)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Borders>
              <w:right w:val="single" w:sz="8" w:color="CCEEFF"/>
            </w:tcBorders>
            <w:shd w:val="clear" w:color="auto" w:fill="CCEEFF"/>
          </w:tcPr>
          <w:p>
            <w:pPr>
              <w:spacing w:after="0"/>
              <w:rPr>
                <w:sz w:val="15"/>
                <w:szCs w:val="15"/>
                <w:color w:val="auto"/>
              </w:rPr>
            </w:pPr>
          </w:p>
        </w:tc>
        <w:tc>
          <w:tcPr>
            <w:tcW w:w="2880" w:type="dxa"/>
            <w:vAlign w:val="bottom"/>
            <w:gridSpan w:val="32"/>
            <w:shd w:val="clear" w:color="auto" w:fill="CCEEFF"/>
          </w:tcPr>
          <w:p>
            <w:pPr>
              <w:spacing w:after="0" w:line="176" w:lineRule="exact"/>
              <w:rPr>
                <w:rFonts w:ascii="Arial" w:cs="Arial" w:eastAsia="Arial" w:hAnsi="Arial"/>
                <w:sz w:val="18"/>
                <w:szCs w:val="18"/>
                <w:color w:val="0000EE"/>
              </w:rPr>
            </w:pPr>
            <w:hyperlink r:id="rId348">
              <w:r>
                <w:rPr>
                  <w:rFonts w:ascii="Arial" w:cs="Arial" w:eastAsia="Arial" w:hAnsi="Arial"/>
                  <w:sz w:val="18"/>
                  <w:szCs w:val="18"/>
                  <w:color w:val="0000EE"/>
                </w:rPr>
                <w:t>Warrant Agreement between</w:t>
              </w:r>
            </w:hyperlink>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5"/>
              </w:rPr>
              <w:t>Form 8-K</w:t>
            </w: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5/8/2020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001-39281</w:t>
            </w:r>
          </w:p>
        </w:tc>
      </w:tr>
      <w:tr>
        <w:trPr>
          <w:trHeight w:val="20"/>
        </w:trPr>
        <w:tc>
          <w:tcPr>
            <w:tcW w:w="7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CCEEFF"/>
            </w:tcBorders>
            <w:gridSpan w:val="3"/>
            <w:shd w:val="clear" w:color="auto" w:fill="0000EE"/>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gridSpan w:val="2"/>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54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1"/>
              </w:rPr>
            </w:pPr>
            <w:hyperlink r:id="rId348">
              <w:r>
                <w:rPr>
                  <w:rFonts w:ascii="Arial" w:cs="Arial" w:eastAsia="Arial" w:hAnsi="Arial"/>
                  <w:sz w:val="18"/>
                  <w:szCs w:val="18"/>
                  <w:color w:val="0000EE"/>
                  <w:w w:val="91"/>
                </w:rPr>
                <w:t>Continental Stock Transfer &amp; Trust</w:t>
              </w:r>
            </w:hyperlink>
          </w:p>
        </w:tc>
        <w:tc>
          <w:tcPr>
            <w:tcW w:w="340" w:type="dxa"/>
            <w:vAlign w:val="bottom"/>
            <w:tcBorders>
              <w:bottom w:val="single" w:sz="8" w:color="CCEEFF"/>
            </w:tcBorders>
            <w:gridSpan w:val="11"/>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5"/>
              </w:rPr>
              <w:t>(Exhibit 4.1)</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2"/>
            <w:shd w:val="clear" w:color="auto" w:fill="CCEEFF"/>
          </w:tcPr>
          <w:p>
            <w:pPr>
              <w:spacing w:after="0" w:line="196" w:lineRule="exact"/>
              <w:rPr>
                <w:rFonts w:ascii="Arial" w:cs="Arial" w:eastAsia="Arial" w:hAnsi="Arial"/>
                <w:sz w:val="18"/>
                <w:szCs w:val="18"/>
                <w:color w:val="0000EE"/>
              </w:rPr>
            </w:pPr>
            <w:hyperlink r:id="rId348">
              <w:r>
                <w:rPr>
                  <w:rFonts w:ascii="Arial" w:cs="Arial" w:eastAsia="Arial" w:hAnsi="Arial"/>
                  <w:sz w:val="18"/>
                  <w:szCs w:val="18"/>
                  <w:color w:val="0000EE"/>
                </w:rPr>
                <w:t>Company and Sustainable</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CCEEFF"/>
            </w:tcBorders>
            <w:gridSpan w:val="3"/>
            <w:shd w:val="clear" w:color="auto" w:fill="CCEEFF"/>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5"/>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800" w:type="dxa"/>
            <w:vAlign w:val="bottom"/>
            <w:tcBorders>
              <w:bottom w:val="single" w:sz="8" w:color="0000EE"/>
            </w:tcBorders>
            <w:gridSpan w:val="30"/>
            <w:shd w:val="clear" w:color="auto" w:fill="CCEEFF"/>
          </w:tcPr>
          <w:p>
            <w:pPr>
              <w:spacing w:after="0" w:line="196" w:lineRule="exact"/>
              <w:rPr>
                <w:rFonts w:ascii="Arial" w:cs="Arial" w:eastAsia="Arial" w:hAnsi="Arial"/>
                <w:sz w:val="18"/>
                <w:szCs w:val="18"/>
                <w:color w:val="0000EE"/>
                <w:w w:val="91"/>
              </w:rPr>
            </w:pPr>
            <w:hyperlink r:id="rId348">
              <w:r>
                <w:rPr>
                  <w:rFonts w:ascii="Arial" w:cs="Arial" w:eastAsia="Arial" w:hAnsi="Arial"/>
                  <w:sz w:val="18"/>
                  <w:szCs w:val="18"/>
                  <w:color w:val="0000EE"/>
                  <w:w w:val="91"/>
                </w:rPr>
                <w:t>Opportunities Acquisition Corp., dated</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2"/>
            <w:shd w:val="clear" w:color="auto" w:fill="CCEEFF"/>
          </w:tcPr>
          <w:p>
            <w:pPr>
              <w:spacing w:after="0" w:line="196" w:lineRule="exact"/>
              <w:rPr>
                <w:rFonts w:ascii="Arial" w:cs="Arial" w:eastAsia="Arial" w:hAnsi="Arial"/>
                <w:sz w:val="18"/>
                <w:szCs w:val="18"/>
                <w:color w:val="0000EE"/>
              </w:rPr>
            </w:pPr>
            <w:hyperlink r:id="rId348">
              <w:r>
                <w:rPr>
                  <w:rFonts w:ascii="Arial" w:cs="Arial" w:eastAsia="Arial" w:hAnsi="Arial"/>
                  <w:sz w:val="18"/>
                  <w:szCs w:val="18"/>
                  <w:color w:val="0000EE"/>
                </w:rPr>
                <w:t>May 8, 2020</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2880" w:type="dxa"/>
            <w:vAlign w:val="bottom"/>
            <w:gridSpan w:val="32"/>
          </w:tcPr>
          <w:p>
            <w:pPr>
              <w:spacing w:after="0" w:line="176" w:lineRule="exact"/>
              <w:rPr>
                <w:rFonts w:ascii="Arial" w:cs="Arial" w:eastAsia="Arial" w:hAnsi="Arial"/>
                <w:sz w:val="18"/>
                <w:szCs w:val="18"/>
                <w:color w:val="215E9E"/>
              </w:rPr>
            </w:pPr>
            <w:hyperlink w:anchor="page280">
              <w:r>
                <w:rPr>
                  <w:rFonts w:ascii="Arial" w:cs="Arial" w:eastAsia="Arial" w:hAnsi="Arial"/>
                  <w:sz w:val="18"/>
                  <w:szCs w:val="18"/>
                  <w:color w:val="215E9E"/>
                </w:rPr>
                <w:t>Opinion of Fasken Martineau</w:t>
              </w:r>
            </w:hyperlink>
          </w:p>
        </w:tc>
        <w:tc>
          <w:tcPr>
            <w:tcW w:w="7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215E9E"/>
          </w:tcPr>
          <w:p>
            <w:pPr>
              <w:spacing w:after="0" w:line="20" w:lineRule="exact"/>
              <w:rPr>
                <w:sz w:val="1"/>
                <w:szCs w:val="1"/>
                <w:color w:val="auto"/>
              </w:rPr>
            </w:pPr>
          </w:p>
        </w:tc>
        <w:tc>
          <w:tcPr>
            <w:tcW w:w="600" w:type="dxa"/>
            <w:vAlign w:val="bottom"/>
            <w:gridSpan w:val="3"/>
            <w:shd w:val="clear" w:color="auto" w:fill="215E9E"/>
          </w:tcPr>
          <w:p>
            <w:pPr>
              <w:spacing w:after="0" w:line="20" w:lineRule="exact"/>
              <w:rPr>
                <w:sz w:val="1"/>
                <w:szCs w:val="1"/>
                <w:color w:val="auto"/>
              </w:rPr>
            </w:pPr>
          </w:p>
        </w:tc>
        <w:tc>
          <w:tcPr>
            <w:tcW w:w="20" w:type="dxa"/>
            <w:vAlign w:val="bottom"/>
            <w:shd w:val="clear" w:color="auto" w:fill="215E9E"/>
          </w:tcPr>
          <w:p>
            <w:pPr>
              <w:spacing w:after="0" w:line="20" w:lineRule="exact"/>
              <w:rPr>
                <w:sz w:val="1"/>
                <w:szCs w:val="1"/>
                <w:color w:val="auto"/>
              </w:rPr>
            </w:pPr>
          </w:p>
        </w:tc>
        <w:tc>
          <w:tcPr>
            <w:tcW w:w="560" w:type="dxa"/>
            <w:vAlign w:val="bottom"/>
            <w:shd w:val="clear" w:color="auto" w:fill="215E9E"/>
          </w:tcPr>
          <w:p>
            <w:pPr>
              <w:spacing w:after="0" w:line="20" w:lineRule="exact"/>
              <w:rPr>
                <w:sz w:val="1"/>
                <w:szCs w:val="1"/>
                <w:color w:val="auto"/>
              </w:rPr>
            </w:pPr>
          </w:p>
        </w:tc>
        <w:tc>
          <w:tcPr>
            <w:tcW w:w="120" w:type="dxa"/>
            <w:vAlign w:val="bottom"/>
            <w:shd w:val="clear" w:color="auto" w:fill="215E9E"/>
          </w:tcPr>
          <w:p>
            <w:pPr>
              <w:spacing w:after="0" w:line="20" w:lineRule="exact"/>
              <w:rPr>
                <w:sz w:val="1"/>
                <w:szCs w:val="1"/>
                <w:color w:val="auto"/>
              </w:rPr>
            </w:pPr>
          </w:p>
        </w:tc>
        <w:tc>
          <w:tcPr>
            <w:tcW w:w="180" w:type="dxa"/>
            <w:vAlign w:val="bottom"/>
            <w:gridSpan w:val="3"/>
            <w:shd w:val="clear" w:color="auto" w:fill="215E9E"/>
          </w:tcPr>
          <w:p>
            <w:pPr>
              <w:spacing w:after="0" w:line="20" w:lineRule="exact"/>
              <w:rPr>
                <w:sz w:val="1"/>
                <w:szCs w:val="1"/>
                <w:color w:val="auto"/>
              </w:rPr>
            </w:pPr>
          </w:p>
        </w:tc>
        <w:tc>
          <w:tcPr>
            <w:tcW w:w="160" w:type="dxa"/>
            <w:vAlign w:val="bottom"/>
            <w:tcBorders>
              <w:right w:val="single" w:sz="8" w:color="215E9E"/>
            </w:tcBorders>
            <w:gridSpan w:val="3"/>
            <w:shd w:val="clear" w:color="auto" w:fill="215E9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2"/>
          </w:tcPr>
          <w:p>
            <w:pPr>
              <w:spacing w:after="0" w:line="196" w:lineRule="exact"/>
              <w:rPr>
                <w:rFonts w:ascii="Arial" w:cs="Arial" w:eastAsia="Arial" w:hAnsi="Arial"/>
                <w:sz w:val="18"/>
                <w:szCs w:val="18"/>
                <w:color w:val="215E9E"/>
              </w:rPr>
            </w:pPr>
            <w:hyperlink w:anchor="page280">
              <w:r>
                <w:rPr>
                  <w:rFonts w:ascii="Arial" w:cs="Arial" w:eastAsia="Arial" w:hAnsi="Arial"/>
                  <w:sz w:val="18"/>
                  <w:szCs w:val="18"/>
                  <w:color w:val="215E9E"/>
                </w:rPr>
                <w:t>DuMoulin LLP</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215E9E"/>
            </w:tcBorders>
          </w:tcPr>
          <w:p>
            <w:pPr>
              <w:spacing w:after="0"/>
              <w:rPr>
                <w:sz w:val="5"/>
                <w:szCs w:val="5"/>
                <w:color w:val="auto"/>
              </w:rPr>
            </w:pPr>
          </w:p>
        </w:tc>
        <w:tc>
          <w:tcPr>
            <w:tcW w:w="220" w:type="dxa"/>
            <w:vAlign w:val="bottom"/>
            <w:tcBorders>
              <w:top w:val="single" w:sz="8" w:color="215E9E"/>
            </w:tcBorders>
          </w:tcPr>
          <w:p>
            <w:pPr>
              <w:spacing w:after="0"/>
              <w:rPr>
                <w:sz w:val="5"/>
                <w:szCs w:val="5"/>
                <w:color w:val="auto"/>
              </w:rPr>
            </w:pPr>
          </w:p>
        </w:tc>
        <w:tc>
          <w:tcPr>
            <w:tcW w:w="420" w:type="dxa"/>
            <w:vAlign w:val="bottom"/>
            <w:tcBorders>
              <w:top w:val="single" w:sz="8" w:color="215E9E"/>
            </w:tcBorders>
          </w:tcPr>
          <w:p>
            <w:pPr>
              <w:spacing w:after="0"/>
              <w:rPr>
                <w:sz w:val="5"/>
                <w:szCs w:val="5"/>
                <w:color w:val="auto"/>
              </w:rPr>
            </w:pPr>
          </w:p>
        </w:tc>
        <w:tc>
          <w:tcPr>
            <w:tcW w:w="60" w:type="dxa"/>
            <w:vAlign w:val="bottom"/>
            <w:tcBorders>
              <w:top w:val="single" w:sz="8" w:color="215E9E"/>
            </w:tcBorders>
          </w:tcPr>
          <w:p>
            <w:pPr>
              <w:spacing w:after="0"/>
              <w:rPr>
                <w:sz w:val="5"/>
                <w:szCs w:val="5"/>
                <w:color w:val="auto"/>
              </w:rPr>
            </w:pPr>
          </w:p>
        </w:tc>
        <w:tc>
          <w:tcPr>
            <w:tcW w:w="120" w:type="dxa"/>
            <w:vAlign w:val="bottom"/>
            <w:tcBorders>
              <w:top w:val="single" w:sz="8" w:color="215E9E"/>
            </w:tcBorders>
          </w:tcPr>
          <w:p>
            <w:pPr>
              <w:spacing w:after="0"/>
              <w:rPr>
                <w:sz w:val="5"/>
                <w:szCs w:val="5"/>
                <w:color w:val="auto"/>
              </w:rPr>
            </w:pPr>
          </w:p>
        </w:tc>
        <w:tc>
          <w:tcPr>
            <w:tcW w:w="20" w:type="dxa"/>
            <w:vAlign w:val="bottom"/>
            <w:tcBorders>
              <w:top w:val="single" w:sz="8" w:color="215E9E"/>
            </w:tcBorders>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80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3"/>
              </w:rPr>
            </w:pPr>
            <w:hyperlink w:anchor="page286">
              <w:r>
                <w:rPr>
                  <w:rFonts w:ascii="Arial" w:cs="Arial" w:eastAsia="Arial" w:hAnsi="Arial"/>
                  <w:sz w:val="18"/>
                  <w:szCs w:val="18"/>
                  <w:color w:val="0000EE"/>
                  <w:w w:val="93"/>
                </w:rPr>
                <w:t>Opinion of Mintz, Levin, Cohn, Ferris,</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2"/>
            <w:shd w:val="clear" w:color="auto" w:fill="CCEEFF"/>
          </w:tcPr>
          <w:p>
            <w:pPr>
              <w:spacing w:after="0" w:line="196" w:lineRule="exact"/>
              <w:rPr>
                <w:rFonts w:ascii="Arial" w:cs="Arial" w:eastAsia="Arial" w:hAnsi="Arial"/>
                <w:sz w:val="18"/>
                <w:szCs w:val="18"/>
                <w:color w:val="0000EE"/>
              </w:rPr>
            </w:pPr>
            <w:hyperlink w:anchor="page286">
              <w:r>
                <w:rPr>
                  <w:rFonts w:ascii="Arial" w:cs="Arial" w:eastAsia="Arial" w:hAnsi="Arial"/>
                  <w:sz w:val="18"/>
                  <w:szCs w:val="18"/>
                  <w:color w:val="0000EE"/>
                </w:rPr>
                <w:t>Glovsky and Popeo, P.C.</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640" w:type="dxa"/>
            <w:vAlign w:val="bottom"/>
            <w:tcBorders>
              <w:bottom w:val="single" w:sz="8" w:color="0000EE"/>
            </w:tcBorders>
            <w:gridSpan w:val="24"/>
          </w:tcPr>
          <w:p>
            <w:pPr>
              <w:spacing w:after="0" w:line="176" w:lineRule="exact"/>
              <w:rPr>
                <w:rFonts w:ascii="Arial" w:cs="Arial" w:eastAsia="Arial" w:hAnsi="Arial"/>
                <w:sz w:val="18"/>
                <w:szCs w:val="18"/>
                <w:color w:val="0000EE"/>
                <w:w w:val="91"/>
              </w:rPr>
            </w:pPr>
            <w:hyperlink r:id="rId349">
              <w:r>
                <w:rPr>
                  <w:rFonts w:ascii="Arial" w:cs="Arial" w:eastAsia="Arial" w:hAnsi="Arial"/>
                  <w:sz w:val="18"/>
                  <w:szCs w:val="18"/>
                  <w:color w:val="0000EE"/>
                  <w:w w:val="91"/>
                </w:rPr>
                <w:t>Form of Subscription Agreement for</w:t>
              </w:r>
            </w:hyperlink>
          </w:p>
        </w:tc>
        <w:tc>
          <w:tcPr>
            <w:tcW w:w="24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349">
              <w:r>
                <w:rPr>
                  <w:rFonts w:ascii="Arial" w:cs="Arial" w:eastAsia="Arial" w:hAnsi="Arial"/>
                  <w:sz w:val="18"/>
                  <w:szCs w:val="18"/>
                  <w:color w:val="0000EE"/>
                  <w:w w:val="90"/>
                </w:rPr>
                <w:t>institutional investors, by and between</w:t>
              </w:r>
            </w:hyperlink>
          </w:p>
        </w:tc>
        <w:tc>
          <w:tcPr>
            <w:tcW w:w="10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6"/>
              </w:rPr>
              <w:t>(Exhibit 10.1)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49">
              <w:r>
                <w:rPr>
                  <w:rFonts w:ascii="Arial" w:cs="Arial" w:eastAsia="Arial" w:hAnsi="Arial"/>
                  <w:sz w:val="18"/>
                  <w:szCs w:val="18"/>
                  <w:color w:val="0000EE"/>
                  <w:w w:val="91"/>
                </w:rPr>
                <w:t>Sustainable Opportunities Acquisition</w:t>
              </w:r>
            </w:hyperlink>
          </w:p>
        </w:tc>
        <w:tc>
          <w:tcPr>
            <w:tcW w:w="1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2"/>
          </w:tcPr>
          <w:p>
            <w:pPr>
              <w:spacing w:after="0" w:line="196" w:lineRule="exact"/>
              <w:rPr>
                <w:rFonts w:ascii="Arial" w:cs="Arial" w:eastAsia="Arial" w:hAnsi="Arial"/>
                <w:sz w:val="18"/>
                <w:szCs w:val="18"/>
                <w:color w:val="0000EE"/>
              </w:rPr>
            </w:pPr>
            <w:hyperlink r:id="rId349">
              <w:r>
                <w:rPr>
                  <w:rFonts w:ascii="Arial" w:cs="Arial" w:eastAsia="Arial" w:hAnsi="Arial"/>
                  <w:sz w:val="18"/>
                  <w:szCs w:val="18"/>
                  <w:color w:val="0000EE"/>
                </w:rPr>
                <w:t>Corp. and the subscriber parties</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349">
              <w:r>
                <w:rPr>
                  <w:rFonts w:ascii="Arial" w:cs="Arial" w:eastAsia="Arial" w:hAnsi="Arial"/>
                  <w:sz w:val="18"/>
                  <w:szCs w:val="18"/>
                  <w:color w:val="0000EE"/>
                </w:rPr>
                <w:t>thereto</w:t>
              </w:r>
            </w:hyperlink>
          </w:p>
        </w:tc>
        <w:tc>
          <w:tcPr>
            <w:tcW w:w="620" w:type="dxa"/>
            <w:vAlign w:val="bottom"/>
            <w:gridSpan w:val="15"/>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64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1"/>
              </w:rPr>
            </w:pPr>
            <w:hyperlink r:id="rId350">
              <w:r>
                <w:rPr>
                  <w:rFonts w:ascii="Arial" w:cs="Arial" w:eastAsia="Arial" w:hAnsi="Arial"/>
                  <w:sz w:val="18"/>
                  <w:szCs w:val="18"/>
                  <w:color w:val="0000EE"/>
                  <w:w w:val="91"/>
                </w:rPr>
                <w:t>Form of Subscription Agreement for</w:t>
              </w:r>
            </w:hyperlink>
          </w:p>
        </w:tc>
        <w:tc>
          <w:tcPr>
            <w:tcW w:w="240" w:type="dxa"/>
            <w:vAlign w:val="bottom"/>
            <w:tcBorders>
              <w:bottom w:val="single" w:sz="8" w:color="CCEEFF"/>
            </w:tcBorders>
            <w:gridSpan w:val="8"/>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640" w:type="dxa"/>
            <w:vAlign w:val="bottom"/>
            <w:tcBorders>
              <w:bottom w:val="single" w:sz="8" w:color="0000EE"/>
            </w:tcBorders>
            <w:gridSpan w:val="24"/>
            <w:shd w:val="clear" w:color="auto" w:fill="CCEEFF"/>
          </w:tcPr>
          <w:p>
            <w:pPr>
              <w:spacing w:after="0" w:line="196" w:lineRule="exact"/>
              <w:rPr>
                <w:rFonts w:ascii="Arial" w:cs="Arial" w:eastAsia="Arial" w:hAnsi="Arial"/>
                <w:sz w:val="18"/>
                <w:szCs w:val="18"/>
                <w:color w:val="0000EE"/>
                <w:w w:val="88"/>
              </w:rPr>
            </w:pPr>
            <w:hyperlink r:id="rId350">
              <w:r>
                <w:rPr>
                  <w:rFonts w:ascii="Arial" w:cs="Arial" w:eastAsia="Arial" w:hAnsi="Arial"/>
                  <w:sz w:val="18"/>
                  <w:szCs w:val="18"/>
                  <w:color w:val="0000EE"/>
                  <w:w w:val="88"/>
                </w:rPr>
                <w:t>accredited investors, by and between</w:t>
              </w:r>
            </w:hyperlink>
          </w:p>
        </w:tc>
        <w:tc>
          <w:tcPr>
            <w:tcW w:w="240" w:type="dxa"/>
            <w:vAlign w:val="bottom"/>
            <w:tcBorders>
              <w:bottom w:val="single" w:sz="8" w:color="CCEEFF"/>
            </w:tcBorders>
            <w:gridSpan w:val="8"/>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6"/>
              </w:rPr>
              <w:t>(Exhibit 10.2)</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740" w:type="dxa"/>
            <w:vAlign w:val="bottom"/>
            <w:tcBorders>
              <w:bottom w:val="single" w:sz="8" w:color="0000EE"/>
            </w:tcBorders>
            <w:gridSpan w:val="27"/>
            <w:shd w:val="clear" w:color="auto" w:fill="CCEEFF"/>
          </w:tcPr>
          <w:p>
            <w:pPr>
              <w:spacing w:after="0" w:line="196" w:lineRule="exact"/>
              <w:rPr>
                <w:rFonts w:ascii="Arial" w:cs="Arial" w:eastAsia="Arial" w:hAnsi="Arial"/>
                <w:sz w:val="18"/>
                <w:szCs w:val="18"/>
                <w:color w:val="0000EE"/>
                <w:w w:val="91"/>
              </w:rPr>
            </w:pPr>
            <w:hyperlink r:id="rId350">
              <w:r>
                <w:rPr>
                  <w:rFonts w:ascii="Arial" w:cs="Arial" w:eastAsia="Arial" w:hAnsi="Arial"/>
                  <w:sz w:val="18"/>
                  <w:szCs w:val="18"/>
                  <w:color w:val="0000EE"/>
                  <w:w w:val="91"/>
                </w:rPr>
                <w:t>Sustainable Opportunities Acquisition</w:t>
              </w:r>
            </w:hyperlink>
          </w:p>
        </w:tc>
        <w:tc>
          <w:tcPr>
            <w:tcW w:w="140" w:type="dxa"/>
            <w:vAlign w:val="bottom"/>
            <w:tcBorders>
              <w:bottom w:val="single" w:sz="8" w:color="CCEEFF"/>
            </w:tcBorders>
            <w:gridSpan w:val="5"/>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2"/>
            <w:shd w:val="clear" w:color="auto" w:fill="CCEEFF"/>
          </w:tcPr>
          <w:p>
            <w:pPr>
              <w:spacing w:after="0" w:line="196" w:lineRule="exact"/>
              <w:rPr>
                <w:rFonts w:ascii="Arial" w:cs="Arial" w:eastAsia="Arial" w:hAnsi="Arial"/>
                <w:sz w:val="18"/>
                <w:szCs w:val="18"/>
                <w:color w:val="0000EE"/>
              </w:rPr>
            </w:pPr>
            <w:hyperlink r:id="rId350">
              <w:r>
                <w:rPr>
                  <w:rFonts w:ascii="Arial" w:cs="Arial" w:eastAsia="Arial" w:hAnsi="Arial"/>
                  <w:sz w:val="18"/>
                  <w:szCs w:val="18"/>
                  <w:color w:val="0000EE"/>
                </w:rPr>
                <w:t>Corp. and the subscriber parties</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26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r:id="rId350">
              <w:r>
                <w:rPr>
                  <w:rFonts w:ascii="Arial" w:cs="Arial" w:eastAsia="Arial" w:hAnsi="Arial"/>
                  <w:sz w:val="18"/>
                  <w:szCs w:val="18"/>
                  <w:color w:val="0000EE"/>
                </w:rPr>
                <w:t>thereto</w:t>
              </w:r>
            </w:hyperlink>
          </w:p>
        </w:tc>
        <w:tc>
          <w:tcPr>
            <w:tcW w:w="620" w:type="dxa"/>
            <w:vAlign w:val="bottom"/>
            <w:tcBorders>
              <w:top w:val="single" w:sz="8" w:color="CCEEFF"/>
            </w:tcBorders>
            <w:gridSpan w:val="15"/>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2120" w:type="dxa"/>
            <w:vAlign w:val="bottom"/>
            <w:tcBorders>
              <w:bottom w:val="single" w:sz="8" w:color="0000EE"/>
            </w:tcBorders>
            <w:gridSpan w:val="14"/>
          </w:tcPr>
          <w:p>
            <w:pPr>
              <w:spacing w:after="0" w:line="176" w:lineRule="exact"/>
              <w:rPr>
                <w:rFonts w:ascii="Arial" w:cs="Arial" w:eastAsia="Arial" w:hAnsi="Arial"/>
                <w:sz w:val="18"/>
                <w:szCs w:val="18"/>
                <w:color w:val="0000EE"/>
                <w:w w:val="90"/>
              </w:rPr>
            </w:pPr>
            <w:hyperlink r:id="rId351">
              <w:r>
                <w:rPr>
                  <w:rFonts w:ascii="Arial" w:cs="Arial" w:eastAsia="Arial" w:hAnsi="Arial"/>
                  <w:sz w:val="18"/>
                  <w:szCs w:val="18"/>
                  <w:color w:val="0000EE"/>
                  <w:w w:val="90"/>
                </w:rPr>
                <w:t>Form of Transaction Support</w:t>
              </w:r>
            </w:hyperlink>
          </w:p>
        </w:tc>
        <w:tc>
          <w:tcPr>
            <w:tcW w:w="760" w:type="dxa"/>
            <w:vAlign w:val="bottom"/>
            <w:gridSpan w:val="18"/>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351">
              <w:r>
                <w:rPr>
                  <w:rFonts w:ascii="Arial" w:cs="Arial" w:eastAsia="Arial" w:hAnsi="Arial"/>
                  <w:sz w:val="18"/>
                  <w:szCs w:val="18"/>
                  <w:color w:val="0000EE"/>
                  <w:w w:val="88"/>
                </w:rPr>
                <w:t>Agreement by and between</w:t>
              </w:r>
            </w:hyperlink>
          </w:p>
        </w:tc>
        <w:tc>
          <w:tcPr>
            <w:tcW w:w="920" w:type="dxa"/>
            <w:vAlign w:val="bottom"/>
            <w:gridSpan w:val="21"/>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6"/>
              </w:rPr>
              <w:t>(Exhibit 10.3)</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51">
              <w:r>
                <w:rPr>
                  <w:rFonts w:ascii="Arial" w:cs="Arial" w:eastAsia="Arial" w:hAnsi="Arial"/>
                  <w:sz w:val="18"/>
                  <w:szCs w:val="18"/>
                  <w:color w:val="0000EE"/>
                  <w:w w:val="91"/>
                </w:rPr>
                <w:t>Sustainable Opportunities Acquisition</w:t>
              </w:r>
            </w:hyperlink>
          </w:p>
        </w:tc>
        <w:tc>
          <w:tcPr>
            <w:tcW w:w="1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351">
              <w:r>
                <w:rPr>
                  <w:rFonts w:ascii="Arial" w:cs="Arial" w:eastAsia="Arial" w:hAnsi="Arial"/>
                  <w:sz w:val="18"/>
                  <w:szCs w:val="18"/>
                  <w:color w:val="0000EE"/>
                  <w:w w:val="88"/>
                </w:rPr>
                <w:t>Corp. and certain DeepGreen</w:t>
              </w:r>
            </w:hyperlink>
          </w:p>
        </w:tc>
        <w:tc>
          <w:tcPr>
            <w:tcW w:w="76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2"/>
          </w:tcPr>
          <w:p>
            <w:pPr>
              <w:spacing w:after="0" w:line="196" w:lineRule="exact"/>
              <w:rPr>
                <w:rFonts w:ascii="Arial" w:cs="Arial" w:eastAsia="Arial" w:hAnsi="Arial"/>
                <w:sz w:val="18"/>
                <w:szCs w:val="18"/>
                <w:color w:val="0000EE"/>
              </w:rPr>
            </w:pPr>
            <w:hyperlink r:id="rId351">
              <w:r>
                <w:rPr>
                  <w:rFonts w:ascii="Arial" w:cs="Arial" w:eastAsia="Arial" w:hAnsi="Arial"/>
                  <w:sz w:val="18"/>
                  <w:szCs w:val="18"/>
                  <w:color w:val="0000EE"/>
                </w:rPr>
                <w:t>securityholders</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78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88"/>
              </w:rPr>
            </w:pPr>
            <w:hyperlink r:id="rId352">
              <w:r>
                <w:rPr>
                  <w:rFonts w:ascii="Arial" w:cs="Arial" w:eastAsia="Arial" w:hAnsi="Arial"/>
                  <w:sz w:val="18"/>
                  <w:szCs w:val="18"/>
                  <w:color w:val="0000EE"/>
                  <w:w w:val="88"/>
                </w:rPr>
                <w:t>Sponsor Letter Agreement, dated as of</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2"/>
            <w:shd w:val="clear" w:color="auto" w:fill="CCEEFF"/>
          </w:tcPr>
          <w:p>
            <w:pPr>
              <w:spacing w:after="0" w:line="196" w:lineRule="exact"/>
              <w:rPr>
                <w:rFonts w:ascii="Arial" w:cs="Arial" w:eastAsia="Arial" w:hAnsi="Arial"/>
                <w:sz w:val="18"/>
                <w:szCs w:val="18"/>
                <w:color w:val="0000EE"/>
              </w:rPr>
            </w:pPr>
            <w:hyperlink r:id="rId352">
              <w:r>
                <w:rPr>
                  <w:rFonts w:ascii="Arial" w:cs="Arial" w:eastAsia="Arial" w:hAnsi="Arial"/>
                  <w:sz w:val="18"/>
                  <w:szCs w:val="18"/>
                  <w:color w:val="0000EE"/>
                </w:rPr>
                <w:t>March 4, 2021, by and among</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6"/>
              </w:rPr>
              <w:t>(Exhibit 10.4)</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1660" w:type="dxa"/>
            <w:vAlign w:val="bottom"/>
            <w:gridSpan w:val="7"/>
            <w:shd w:val="clear" w:color="auto" w:fill="0000EE"/>
          </w:tcPr>
          <w:p>
            <w:pPr>
              <w:spacing w:after="0" w:line="20" w:lineRule="exact"/>
              <w:rPr>
                <w:sz w:val="1"/>
                <w:szCs w:val="1"/>
                <w:color w:val="auto"/>
              </w:rPr>
            </w:pPr>
          </w:p>
        </w:tc>
        <w:tc>
          <w:tcPr>
            <w:tcW w:w="46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CCEEFF"/>
          </w:tcPr>
          <w:p>
            <w:pPr>
              <w:spacing w:after="0" w:line="20" w:lineRule="exact"/>
              <w:rPr>
                <w:sz w:val="1"/>
                <w:szCs w:val="1"/>
                <w:color w:val="auto"/>
              </w:rPr>
            </w:pPr>
          </w:p>
        </w:tc>
        <w:tc>
          <w:tcPr>
            <w:tcW w:w="340" w:type="dxa"/>
            <w:vAlign w:val="bottom"/>
            <w:gridSpan w:val="6"/>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gridSpan w:val="5"/>
            <w:shd w:val="clear" w:color="auto" w:fill="CCEEFF"/>
          </w:tcPr>
          <w:p>
            <w:pPr>
              <w:spacing w:after="0" w:line="20" w:lineRule="exact"/>
              <w:rPr>
                <w:sz w:val="1"/>
                <w:szCs w:val="1"/>
                <w:color w:val="auto"/>
              </w:rPr>
            </w:pPr>
          </w:p>
        </w:tc>
        <w:tc>
          <w:tcPr>
            <w:tcW w:w="120" w:type="dxa"/>
            <w:vAlign w:val="bottom"/>
            <w:gridSpan w:val="4"/>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560" w:type="dxa"/>
            <w:vAlign w:val="bottom"/>
            <w:tcBorders>
              <w:bottom w:val="single" w:sz="8" w:color="0000EE"/>
            </w:tcBorders>
            <w:gridSpan w:val="22"/>
            <w:shd w:val="clear" w:color="auto" w:fill="CCEEFF"/>
          </w:tcPr>
          <w:p>
            <w:pPr>
              <w:spacing w:after="0" w:line="196" w:lineRule="exact"/>
              <w:rPr>
                <w:rFonts w:ascii="Arial" w:cs="Arial" w:eastAsia="Arial" w:hAnsi="Arial"/>
                <w:sz w:val="18"/>
                <w:szCs w:val="18"/>
                <w:color w:val="0000EE"/>
                <w:w w:val="90"/>
              </w:rPr>
            </w:pPr>
            <w:hyperlink r:id="rId352">
              <w:r>
                <w:rPr>
                  <w:rFonts w:ascii="Arial" w:cs="Arial" w:eastAsia="Arial" w:hAnsi="Arial"/>
                  <w:sz w:val="18"/>
                  <w:szCs w:val="18"/>
                  <w:color w:val="0000EE"/>
                  <w:w w:val="90"/>
                </w:rPr>
                <w:t>Sustainable Opportunities Holdings</w:t>
              </w:r>
            </w:hyperlink>
          </w:p>
        </w:tc>
        <w:tc>
          <w:tcPr>
            <w:tcW w:w="320" w:type="dxa"/>
            <w:vAlign w:val="bottom"/>
            <w:tcBorders>
              <w:bottom w:val="single" w:sz="8" w:color="CCEEFF"/>
            </w:tcBorders>
            <w:gridSpan w:val="10"/>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760" w:type="dxa"/>
            <w:vAlign w:val="bottom"/>
            <w:tcBorders>
              <w:bottom w:val="single" w:sz="8" w:color="0000EE"/>
            </w:tcBorders>
            <w:gridSpan w:val="28"/>
            <w:shd w:val="clear" w:color="auto" w:fill="CCEEFF"/>
          </w:tcPr>
          <w:p>
            <w:pPr>
              <w:spacing w:after="0" w:line="196" w:lineRule="exact"/>
              <w:rPr>
                <w:rFonts w:ascii="Arial" w:cs="Arial" w:eastAsia="Arial" w:hAnsi="Arial"/>
                <w:sz w:val="18"/>
                <w:szCs w:val="18"/>
                <w:color w:val="0000EE"/>
                <w:w w:val="90"/>
              </w:rPr>
            </w:pPr>
            <w:hyperlink r:id="rId352">
              <w:r>
                <w:rPr>
                  <w:rFonts w:ascii="Arial" w:cs="Arial" w:eastAsia="Arial" w:hAnsi="Arial"/>
                  <w:sz w:val="18"/>
                  <w:szCs w:val="18"/>
                  <w:color w:val="0000EE"/>
                  <w:w w:val="90"/>
                </w:rPr>
                <w:t>LLC, certain other holders set forth on</w:t>
              </w:r>
            </w:hyperlink>
          </w:p>
        </w:tc>
        <w:tc>
          <w:tcPr>
            <w:tcW w:w="120" w:type="dxa"/>
            <w:vAlign w:val="bottom"/>
            <w:tcBorders>
              <w:bottom w:val="single" w:sz="8" w:color="CCEEFF"/>
            </w:tcBorders>
            <w:gridSpan w:val="4"/>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22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87"/>
              </w:rPr>
            </w:pPr>
            <w:hyperlink r:id="rId352">
              <w:r>
                <w:rPr>
                  <w:rFonts w:ascii="Arial" w:cs="Arial" w:eastAsia="Arial" w:hAnsi="Arial"/>
                  <w:sz w:val="18"/>
                  <w:szCs w:val="18"/>
                  <w:color w:val="0000EE"/>
                  <w:w w:val="87"/>
                </w:rPr>
                <w:t>Schedule I thereto, Sustainable</w:t>
              </w:r>
            </w:hyperlink>
          </w:p>
        </w:tc>
        <w:tc>
          <w:tcPr>
            <w:tcW w:w="660" w:type="dxa"/>
            <w:vAlign w:val="bottom"/>
            <w:tcBorders>
              <w:bottom w:val="single" w:sz="8" w:color="CCEEFF"/>
            </w:tcBorders>
            <w:gridSpan w:val="16"/>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62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1"/>
              </w:rPr>
            </w:pPr>
            <w:hyperlink r:id="rId352">
              <w:r>
                <w:rPr>
                  <w:rFonts w:ascii="Arial" w:cs="Arial" w:eastAsia="Arial" w:hAnsi="Arial"/>
                  <w:sz w:val="18"/>
                  <w:szCs w:val="18"/>
                  <w:color w:val="0000EE"/>
                  <w:w w:val="91"/>
                </w:rPr>
                <w:t>Opportunities Acquisition Corp. and</w:t>
              </w:r>
            </w:hyperlink>
          </w:p>
        </w:tc>
        <w:tc>
          <w:tcPr>
            <w:tcW w:w="260" w:type="dxa"/>
            <w:vAlign w:val="bottom"/>
            <w:tcBorders>
              <w:bottom w:val="single" w:sz="8" w:color="CCEEFF"/>
            </w:tcBorders>
            <w:gridSpan w:val="9"/>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2"/>
            <w:shd w:val="clear" w:color="auto" w:fill="CCEEFF"/>
          </w:tcPr>
          <w:p>
            <w:pPr>
              <w:spacing w:after="0" w:line="196" w:lineRule="exact"/>
              <w:rPr>
                <w:rFonts w:ascii="Arial" w:cs="Arial" w:eastAsia="Arial" w:hAnsi="Arial"/>
                <w:sz w:val="18"/>
                <w:szCs w:val="18"/>
                <w:color w:val="0000EE"/>
              </w:rPr>
            </w:pPr>
            <w:hyperlink r:id="rId352">
              <w:r>
                <w:rPr>
                  <w:rFonts w:ascii="Arial" w:cs="Arial" w:eastAsia="Arial" w:hAnsi="Arial"/>
                  <w:sz w:val="18"/>
                  <w:szCs w:val="18"/>
                  <w:color w:val="0000EE"/>
                </w:rPr>
                <w:t>DeepGreen Metals Inc.</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3" w:name="page274"/>
    <w:bookmarkEnd w:id="27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Incorporated by</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Reference Herein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Filed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from Form or</w:t>
            </w: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Filing</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SEC File/Reg.</w:t>
            </w:r>
          </w:p>
        </w:tc>
      </w:tr>
      <w:tr>
        <w:trPr>
          <w:trHeight w:val="210"/>
        </w:trPr>
        <w:tc>
          <w:tcPr>
            <w:tcW w:w="7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24"/>
          </w:tcPr>
          <w:p>
            <w:pPr>
              <w:ind w:left="720"/>
              <w:spacing w:after="0"/>
              <w:rPr>
                <w:sz w:val="20"/>
                <w:szCs w:val="20"/>
                <w:color w:val="auto"/>
              </w:rPr>
            </w:pPr>
            <w:r>
              <w:rPr>
                <w:rFonts w:ascii="Arial" w:cs="Arial" w:eastAsia="Arial" w:hAnsi="Arial"/>
                <w:sz w:val="16"/>
                <w:szCs w:val="16"/>
                <w:b w:val="1"/>
                <w:bCs w:val="1"/>
                <w:color w:val="auto"/>
              </w:rPr>
              <w:t>Exhibit Description</w:t>
            </w: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Herewith</w:t>
            </w: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Schedule</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r>
      <w:tr>
        <w:trPr>
          <w:trHeight w:val="47"/>
        </w:trPr>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9"/>
        </w:trPr>
        <w:tc>
          <w:tcPr>
            <w:tcW w:w="74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0000EE"/>
            </w:tcBorders>
            <w:shd w:val="clear" w:color="auto" w:fill="CCEEFF"/>
          </w:tcPr>
          <w:p>
            <w:pPr>
              <w:spacing w:after="0"/>
              <w:rPr>
                <w:sz w:val="14"/>
                <w:szCs w:val="14"/>
                <w:color w:val="auto"/>
              </w:rPr>
            </w:pPr>
          </w:p>
        </w:tc>
        <w:tc>
          <w:tcPr>
            <w:tcW w:w="2580" w:type="dxa"/>
            <w:vAlign w:val="bottom"/>
            <w:tcBorders>
              <w:bottom w:val="single" w:sz="8" w:color="0000EE"/>
            </w:tcBorders>
            <w:gridSpan w:val="15"/>
            <w:shd w:val="clear" w:color="auto" w:fill="CCEEFF"/>
          </w:tcPr>
          <w:p>
            <w:pPr>
              <w:spacing w:after="0" w:line="169" w:lineRule="exact"/>
              <w:rPr>
                <w:rFonts w:ascii="Arial" w:cs="Arial" w:eastAsia="Arial" w:hAnsi="Arial"/>
                <w:sz w:val="18"/>
                <w:szCs w:val="18"/>
                <w:color w:val="0000EE"/>
                <w:w w:val="88"/>
              </w:rPr>
            </w:pPr>
            <w:hyperlink r:id="rId354">
              <w:r>
                <w:rPr>
                  <w:rFonts w:ascii="Arial" w:cs="Arial" w:eastAsia="Arial" w:hAnsi="Arial"/>
                  <w:sz w:val="18"/>
                  <w:szCs w:val="18"/>
                  <w:color w:val="0000EE"/>
                  <w:w w:val="88"/>
                </w:rPr>
                <w:t>Amended and Restated Registration</w:t>
              </w:r>
            </w:hyperlink>
          </w:p>
        </w:tc>
        <w:tc>
          <w:tcPr>
            <w:tcW w:w="220" w:type="dxa"/>
            <w:vAlign w:val="bottom"/>
            <w:tcBorders>
              <w:bottom w:val="single" w:sz="8" w:color="CCEEFF"/>
            </w:tcBorders>
            <w:gridSpan w:val="8"/>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3"/>
              </w:rPr>
              <w:t>Form S-4/A</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w w:val="86"/>
              </w:rPr>
            </w:pPr>
            <w:hyperlink r:id="rId354">
              <w:r>
                <w:rPr>
                  <w:rFonts w:ascii="Arial" w:cs="Arial" w:eastAsia="Arial" w:hAnsi="Arial"/>
                  <w:sz w:val="18"/>
                  <w:szCs w:val="18"/>
                  <w:color w:val="0000EE"/>
                  <w:w w:val="86"/>
                </w:rPr>
                <w:t>Rights Agreement, by and between</w:t>
              </w:r>
            </w:hyperlink>
          </w:p>
        </w:tc>
        <w:tc>
          <w:tcPr>
            <w:tcW w:w="42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6"/>
              </w:rPr>
              <w:t>(Exhibit 10.5)</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760" w:type="dxa"/>
            <w:vAlign w:val="bottom"/>
            <w:tcBorders>
              <w:bottom w:val="single" w:sz="8" w:color="0000EE"/>
              <w:right w:val="single" w:sz="8" w:color="CCEEFF"/>
            </w:tcBorders>
            <w:gridSpan w:val="21"/>
            <w:shd w:val="clear" w:color="auto" w:fill="CCEEFF"/>
          </w:tcPr>
          <w:p>
            <w:pPr>
              <w:spacing w:after="0" w:line="196" w:lineRule="exact"/>
              <w:rPr>
                <w:rFonts w:ascii="Arial" w:cs="Arial" w:eastAsia="Arial" w:hAnsi="Arial"/>
                <w:sz w:val="18"/>
                <w:szCs w:val="18"/>
                <w:color w:val="0000EE"/>
                <w:w w:val="91"/>
              </w:rPr>
            </w:pPr>
            <w:hyperlink r:id="rId354">
              <w:r>
                <w:rPr>
                  <w:rFonts w:ascii="Arial" w:cs="Arial" w:eastAsia="Arial" w:hAnsi="Arial"/>
                  <w:sz w:val="18"/>
                  <w:szCs w:val="18"/>
                  <w:color w:val="0000EE"/>
                  <w:w w:val="91"/>
                </w:rPr>
                <w:t>Sustainable Opportunities Acquisition</w:t>
              </w:r>
            </w:hyperlink>
          </w:p>
        </w:tc>
        <w:tc>
          <w:tcPr>
            <w:tcW w:w="140" w:type="dxa"/>
            <w:vAlign w:val="bottom"/>
            <w:tcBorders>
              <w:bottom w:val="single" w:sz="8" w:color="CCEEFF"/>
            </w:tcBorders>
            <w:gridSpan w:val="4"/>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w w:val="93"/>
              </w:rPr>
            </w:pPr>
            <w:hyperlink r:id="rId354">
              <w:r>
                <w:rPr>
                  <w:rFonts w:ascii="Arial" w:cs="Arial" w:eastAsia="Arial" w:hAnsi="Arial"/>
                  <w:sz w:val="18"/>
                  <w:szCs w:val="18"/>
                  <w:color w:val="0000EE"/>
                  <w:w w:val="93"/>
                </w:rPr>
                <w:t>Corp., Sustainable Opportunities</w:t>
              </w:r>
            </w:hyperlink>
          </w:p>
        </w:tc>
        <w:tc>
          <w:tcPr>
            <w:tcW w:w="42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0000EE"/>
            </w:tcBorders>
            <w:gridSpan w:val="22"/>
            <w:shd w:val="clear" w:color="auto" w:fill="CCEEFF"/>
          </w:tcPr>
          <w:p>
            <w:pPr>
              <w:spacing w:after="0" w:line="196" w:lineRule="exact"/>
              <w:rPr>
                <w:rFonts w:ascii="Arial" w:cs="Arial" w:eastAsia="Arial" w:hAnsi="Arial"/>
                <w:sz w:val="18"/>
                <w:szCs w:val="18"/>
                <w:color w:val="0000EE"/>
                <w:w w:val="91"/>
              </w:rPr>
            </w:pPr>
            <w:hyperlink r:id="rId354">
              <w:r>
                <w:rPr>
                  <w:rFonts w:ascii="Arial" w:cs="Arial" w:eastAsia="Arial" w:hAnsi="Arial"/>
                  <w:sz w:val="18"/>
                  <w:szCs w:val="18"/>
                  <w:color w:val="0000EE"/>
                  <w:w w:val="91"/>
                </w:rPr>
                <w:t>Holdings LLC, the parties listed under</w:t>
              </w:r>
            </w:hyperlink>
          </w:p>
        </w:tc>
        <w:tc>
          <w:tcPr>
            <w:tcW w:w="120" w:type="dxa"/>
            <w:vAlign w:val="bottom"/>
            <w:tcBorders>
              <w:bottom w:val="single" w:sz="8" w:color="CCEEFF"/>
            </w:tcBorders>
            <w:gridSpan w:val="3"/>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5"/>
            <w:shd w:val="clear" w:color="auto" w:fill="CCEEFF"/>
          </w:tcPr>
          <w:p>
            <w:pPr>
              <w:spacing w:after="0" w:line="196" w:lineRule="exact"/>
              <w:rPr>
                <w:rFonts w:ascii="Arial" w:cs="Arial" w:eastAsia="Arial" w:hAnsi="Arial"/>
                <w:sz w:val="18"/>
                <w:szCs w:val="18"/>
                <w:color w:val="0000EE"/>
              </w:rPr>
            </w:pPr>
            <w:hyperlink r:id="rId354">
              <w:r>
                <w:rPr>
                  <w:rFonts w:ascii="Arial" w:cs="Arial" w:eastAsia="Arial" w:hAnsi="Arial"/>
                  <w:sz w:val="18"/>
                  <w:szCs w:val="18"/>
                  <w:color w:val="0000EE"/>
                </w:rPr>
                <w:t>Sponsor Group Holders on the</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w w:val="91"/>
              </w:rPr>
            </w:pPr>
            <w:hyperlink r:id="rId354">
              <w:r>
                <w:rPr>
                  <w:rFonts w:ascii="Arial" w:cs="Arial" w:eastAsia="Arial" w:hAnsi="Arial"/>
                  <w:sz w:val="18"/>
                  <w:szCs w:val="18"/>
                  <w:color w:val="0000EE"/>
                  <w:w w:val="91"/>
                </w:rPr>
                <w:t>signature page(s) thereto and the</w:t>
              </w:r>
            </w:hyperlink>
          </w:p>
        </w:tc>
        <w:tc>
          <w:tcPr>
            <w:tcW w:w="42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w w:val="97"/>
              </w:rPr>
            </w:pPr>
            <w:hyperlink r:id="rId354">
              <w:r>
                <w:rPr>
                  <w:rFonts w:ascii="Arial" w:cs="Arial" w:eastAsia="Arial" w:hAnsi="Arial"/>
                  <w:sz w:val="18"/>
                  <w:szCs w:val="18"/>
                  <w:color w:val="0000EE"/>
                  <w:w w:val="97"/>
                </w:rPr>
                <w:t>parties listed under DeepGreen</w:t>
              </w:r>
            </w:hyperlink>
          </w:p>
        </w:tc>
        <w:tc>
          <w:tcPr>
            <w:tcW w:w="42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5"/>
            <w:shd w:val="clear" w:color="auto" w:fill="CCEEFF"/>
          </w:tcPr>
          <w:p>
            <w:pPr>
              <w:spacing w:after="0" w:line="196" w:lineRule="exact"/>
              <w:rPr>
                <w:rFonts w:ascii="Arial" w:cs="Arial" w:eastAsia="Arial" w:hAnsi="Arial"/>
                <w:sz w:val="18"/>
                <w:szCs w:val="18"/>
                <w:color w:val="0000EE"/>
              </w:rPr>
            </w:pPr>
            <w:hyperlink r:id="rId354">
              <w:r>
                <w:rPr>
                  <w:rFonts w:ascii="Arial" w:cs="Arial" w:eastAsia="Arial" w:hAnsi="Arial"/>
                  <w:sz w:val="18"/>
                  <w:szCs w:val="18"/>
                  <w:color w:val="0000EE"/>
                </w:rPr>
                <w:t>Holders on the signature</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rPr>
            </w:pPr>
            <w:hyperlink r:id="rId354">
              <w:r>
                <w:rPr>
                  <w:rFonts w:ascii="Arial" w:cs="Arial" w:eastAsia="Arial" w:hAnsi="Arial"/>
                  <w:sz w:val="18"/>
                  <w:szCs w:val="18"/>
                  <w:color w:val="0000EE"/>
                </w:rPr>
                <w:t>page(s) thereto</w:t>
              </w:r>
            </w:hyperlink>
          </w:p>
        </w:tc>
        <w:tc>
          <w:tcPr>
            <w:tcW w:w="1140" w:type="dxa"/>
            <w:vAlign w:val="bottom"/>
            <w:tcBorders>
              <w:top w:val="single" w:sz="8" w:color="CCEEFF"/>
            </w:tcBorders>
            <w:gridSpan w:val="17"/>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5"/>
                <w:szCs w:val="15"/>
                <w:color w:val="auto"/>
              </w:rPr>
            </w:pPr>
          </w:p>
        </w:tc>
        <w:tc>
          <w:tcPr>
            <w:tcW w:w="2640" w:type="dxa"/>
            <w:vAlign w:val="bottom"/>
            <w:tcBorders>
              <w:bottom w:val="single" w:sz="8" w:color="0000EE"/>
            </w:tcBorders>
            <w:gridSpan w:val="18"/>
          </w:tcPr>
          <w:p>
            <w:pPr>
              <w:spacing w:after="0" w:line="176" w:lineRule="exact"/>
              <w:rPr>
                <w:rFonts w:ascii="Arial" w:cs="Arial" w:eastAsia="Arial" w:hAnsi="Arial"/>
                <w:sz w:val="18"/>
                <w:szCs w:val="18"/>
                <w:color w:val="0000EE"/>
                <w:w w:val="91"/>
              </w:rPr>
            </w:pPr>
            <w:hyperlink r:id="rId355">
              <w:r>
                <w:rPr>
                  <w:rFonts w:ascii="Arial" w:cs="Arial" w:eastAsia="Arial" w:hAnsi="Arial"/>
                  <w:sz w:val="18"/>
                  <w:szCs w:val="18"/>
                  <w:color w:val="0000EE"/>
                  <w:w w:val="91"/>
                </w:rPr>
                <w:t>Strategic Alliance Agreement, dated</w:t>
              </w:r>
            </w:hyperlink>
          </w:p>
        </w:tc>
        <w:tc>
          <w:tcPr>
            <w:tcW w:w="260" w:type="dxa"/>
            <w:vAlign w:val="bottom"/>
            <w:gridSpan w:val="7"/>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355">
              <w:r>
                <w:rPr>
                  <w:rFonts w:ascii="Arial" w:cs="Arial" w:eastAsia="Arial" w:hAnsi="Arial"/>
                  <w:sz w:val="18"/>
                  <w:szCs w:val="18"/>
                  <w:color w:val="0000EE"/>
                  <w:w w:val="88"/>
                </w:rPr>
                <w:t>as of March 29, 2019, by and between</w:t>
              </w:r>
            </w:hyperlink>
          </w:p>
        </w:tc>
        <w:tc>
          <w:tcPr>
            <w:tcW w:w="1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6"/>
              </w:rPr>
              <w:t>(Exhibit 10.7)</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355">
              <w:r>
                <w:rPr>
                  <w:rFonts w:ascii="Arial" w:cs="Arial" w:eastAsia="Arial" w:hAnsi="Arial"/>
                  <w:sz w:val="18"/>
                  <w:szCs w:val="18"/>
                  <w:color w:val="0000EE"/>
                  <w:w w:val="89"/>
                </w:rPr>
                <w:t>DeepGreen Metals Inc. and Allseas</w:t>
              </w:r>
            </w:hyperlink>
          </w:p>
        </w:tc>
        <w:tc>
          <w:tcPr>
            <w:tcW w:w="34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25"/>
          </w:tcPr>
          <w:p>
            <w:pPr>
              <w:spacing w:after="0" w:line="196" w:lineRule="exact"/>
              <w:rPr>
                <w:rFonts w:ascii="Arial" w:cs="Arial" w:eastAsia="Arial" w:hAnsi="Arial"/>
                <w:sz w:val="18"/>
                <w:szCs w:val="18"/>
                <w:color w:val="0000EE"/>
              </w:rPr>
            </w:pPr>
            <w:hyperlink r:id="rId355">
              <w:r>
                <w:rPr>
                  <w:rFonts w:ascii="Arial" w:cs="Arial" w:eastAsia="Arial" w:hAnsi="Arial"/>
                  <w:sz w:val="18"/>
                  <w:szCs w:val="18"/>
                  <w:color w:val="0000EE"/>
                </w:rPr>
                <w:t>Group S.A.</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2760" w:type="dxa"/>
            <w:vAlign w:val="bottom"/>
            <w:tcBorders>
              <w:bottom w:val="single" w:sz="8" w:color="0000EE"/>
              <w:right w:val="single" w:sz="8" w:color="CCEEFF"/>
            </w:tcBorders>
            <w:gridSpan w:val="21"/>
            <w:shd w:val="clear" w:color="auto" w:fill="CCEEFF"/>
          </w:tcPr>
          <w:p>
            <w:pPr>
              <w:spacing w:after="0" w:line="176" w:lineRule="exact"/>
              <w:rPr>
                <w:rFonts w:ascii="Arial" w:cs="Arial" w:eastAsia="Arial" w:hAnsi="Arial"/>
                <w:sz w:val="18"/>
                <w:szCs w:val="18"/>
                <w:color w:val="0000EE"/>
                <w:w w:val="90"/>
              </w:rPr>
            </w:pPr>
            <w:hyperlink r:id="rId356">
              <w:r>
                <w:rPr>
                  <w:rFonts w:ascii="Arial" w:cs="Arial" w:eastAsia="Arial" w:hAnsi="Arial"/>
                  <w:sz w:val="18"/>
                  <w:szCs w:val="18"/>
                  <w:color w:val="0000EE"/>
                  <w:w w:val="90"/>
                </w:rPr>
                <w:t>Pilot Mining Test Agreement dated as</w:t>
              </w:r>
            </w:hyperlink>
          </w:p>
        </w:tc>
        <w:tc>
          <w:tcPr>
            <w:tcW w:w="140" w:type="dxa"/>
            <w:vAlign w:val="bottom"/>
            <w:tcBorders>
              <w:bottom w:val="single" w:sz="8" w:color="CCEEFF"/>
            </w:tcBorders>
            <w:gridSpan w:val="4"/>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w w:val="95"/>
              </w:rPr>
            </w:pPr>
            <w:hyperlink r:id="rId356">
              <w:r>
                <w:rPr>
                  <w:rFonts w:ascii="Arial" w:cs="Arial" w:eastAsia="Arial" w:hAnsi="Arial"/>
                  <w:sz w:val="18"/>
                  <w:szCs w:val="18"/>
                  <w:color w:val="0000EE"/>
                  <w:w w:val="95"/>
                </w:rPr>
                <w:t>of July 8, 2019, by and between</w:t>
              </w:r>
            </w:hyperlink>
          </w:p>
        </w:tc>
        <w:tc>
          <w:tcPr>
            <w:tcW w:w="42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6"/>
              </w:rPr>
              <w:t>(Exhibit 10.8)</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89"/>
              </w:rPr>
            </w:pPr>
            <w:hyperlink r:id="rId356">
              <w:r>
                <w:rPr>
                  <w:rFonts w:ascii="Arial" w:cs="Arial" w:eastAsia="Arial" w:hAnsi="Arial"/>
                  <w:sz w:val="18"/>
                  <w:szCs w:val="18"/>
                  <w:color w:val="0000EE"/>
                  <w:w w:val="89"/>
                </w:rPr>
                <w:t>DeepGreen Metals Inc. and Allseas</w:t>
              </w:r>
            </w:hyperlink>
          </w:p>
        </w:tc>
        <w:tc>
          <w:tcPr>
            <w:tcW w:w="340" w:type="dxa"/>
            <w:vAlign w:val="bottom"/>
            <w:tcBorders>
              <w:bottom w:val="single" w:sz="8" w:color="CCEEFF"/>
            </w:tcBorders>
            <w:gridSpan w:val="11"/>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5"/>
            <w:shd w:val="clear" w:color="auto" w:fill="CCEEFF"/>
          </w:tcPr>
          <w:p>
            <w:pPr>
              <w:spacing w:after="0" w:line="196" w:lineRule="exact"/>
              <w:rPr>
                <w:rFonts w:ascii="Arial" w:cs="Arial" w:eastAsia="Arial" w:hAnsi="Arial"/>
                <w:sz w:val="18"/>
                <w:szCs w:val="18"/>
                <w:color w:val="0000EE"/>
              </w:rPr>
            </w:pPr>
            <w:hyperlink r:id="rId356">
              <w:r>
                <w:rPr>
                  <w:rFonts w:ascii="Arial" w:cs="Arial" w:eastAsia="Arial" w:hAnsi="Arial"/>
                  <w:sz w:val="18"/>
                  <w:szCs w:val="18"/>
                  <w:color w:val="0000EE"/>
                </w:rPr>
                <w:t>Group S.A.</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5"/>
                <w:szCs w:val="15"/>
                <w:color w:val="auto"/>
              </w:rPr>
            </w:pPr>
          </w:p>
        </w:tc>
        <w:tc>
          <w:tcPr>
            <w:tcW w:w="2900" w:type="dxa"/>
            <w:vAlign w:val="bottom"/>
            <w:gridSpan w:val="25"/>
          </w:tcPr>
          <w:p>
            <w:pPr>
              <w:spacing w:after="0" w:line="176" w:lineRule="exact"/>
              <w:rPr>
                <w:rFonts w:ascii="Arial" w:cs="Arial" w:eastAsia="Arial" w:hAnsi="Arial"/>
                <w:sz w:val="18"/>
                <w:szCs w:val="18"/>
                <w:color w:val="0000EE"/>
              </w:rPr>
            </w:pPr>
            <w:hyperlink r:id="rId357">
              <w:r>
                <w:rPr>
                  <w:rFonts w:ascii="Arial" w:cs="Arial" w:eastAsia="Arial" w:hAnsi="Arial"/>
                  <w:sz w:val="18"/>
                  <w:szCs w:val="18"/>
                  <w:color w:val="0000EE"/>
                </w:rPr>
                <w:t>Third Amendment to Pilot Mining</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25"/>
          </w:tcPr>
          <w:p>
            <w:pPr>
              <w:spacing w:after="0" w:line="196" w:lineRule="exact"/>
              <w:rPr>
                <w:rFonts w:ascii="Arial" w:cs="Arial" w:eastAsia="Arial" w:hAnsi="Arial"/>
                <w:sz w:val="18"/>
                <w:szCs w:val="18"/>
                <w:color w:val="0000EE"/>
                <w:w w:val="94"/>
              </w:rPr>
            </w:pPr>
            <w:hyperlink r:id="rId357">
              <w:r>
                <w:rPr>
                  <w:rFonts w:ascii="Arial" w:cs="Arial" w:eastAsia="Arial" w:hAnsi="Arial"/>
                  <w:sz w:val="18"/>
                  <w:szCs w:val="18"/>
                  <w:color w:val="0000EE"/>
                  <w:w w:val="94"/>
                </w:rPr>
                <w:t>Test Agreement and First Amendment</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6"/>
              </w:rPr>
              <w:t>(Exhibit 10.9)</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25"/>
          </w:tcPr>
          <w:p>
            <w:pPr>
              <w:spacing w:after="0" w:line="196" w:lineRule="exact"/>
              <w:rPr>
                <w:rFonts w:ascii="Arial" w:cs="Arial" w:eastAsia="Arial" w:hAnsi="Arial"/>
                <w:sz w:val="18"/>
                <w:szCs w:val="18"/>
                <w:color w:val="0000EE"/>
                <w:w w:val="93"/>
              </w:rPr>
            </w:pPr>
            <w:hyperlink r:id="rId357">
              <w:r>
                <w:rPr>
                  <w:rFonts w:ascii="Arial" w:cs="Arial" w:eastAsia="Arial" w:hAnsi="Arial"/>
                  <w:sz w:val="18"/>
                  <w:szCs w:val="18"/>
                  <w:color w:val="0000EE"/>
                  <w:w w:val="93"/>
                </w:rPr>
                <w:t>to Strategic Alliance Agreement, dated</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top w:val="single" w:sz="8" w:color="0000EE"/>
            </w:tcBorders>
            <w:gridSpan w:val="23"/>
          </w:tcPr>
          <w:p>
            <w:pPr>
              <w:spacing w:after="0" w:line="196" w:lineRule="exact"/>
              <w:rPr>
                <w:rFonts w:ascii="Arial" w:cs="Arial" w:eastAsia="Arial" w:hAnsi="Arial"/>
                <w:sz w:val="18"/>
                <w:szCs w:val="18"/>
                <w:color w:val="0000EE"/>
                <w:w w:val="93"/>
              </w:rPr>
            </w:pPr>
            <w:hyperlink r:id="rId357">
              <w:r>
                <w:rPr>
                  <w:rFonts w:ascii="Arial" w:cs="Arial" w:eastAsia="Arial" w:hAnsi="Arial"/>
                  <w:sz w:val="18"/>
                  <w:szCs w:val="18"/>
                  <w:color w:val="0000EE"/>
                  <w:w w:val="93"/>
                </w:rPr>
                <w:t>as of March 4, 2021, by and between</w:t>
              </w:r>
            </w:hyperlink>
          </w:p>
        </w:tc>
        <w:tc>
          <w:tcPr>
            <w:tcW w:w="1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357">
              <w:r>
                <w:rPr>
                  <w:rFonts w:ascii="Arial" w:cs="Arial" w:eastAsia="Arial" w:hAnsi="Arial"/>
                  <w:sz w:val="18"/>
                  <w:szCs w:val="18"/>
                  <w:color w:val="0000EE"/>
                  <w:w w:val="89"/>
                </w:rPr>
                <w:t>DeepGreen Metals Inc. and Allseas</w:t>
              </w:r>
            </w:hyperlink>
          </w:p>
        </w:tc>
        <w:tc>
          <w:tcPr>
            <w:tcW w:w="100" w:type="dxa"/>
            <w:vAlign w:val="bottom"/>
            <w:tcBorders>
              <w:top w:val="single" w:sz="8" w:color="0000EE"/>
            </w:tcBorders>
            <w:gridSpan w:val="5"/>
          </w:tcPr>
          <w:p>
            <w:pPr>
              <w:spacing w:after="0"/>
              <w:rPr>
                <w:sz w:val="17"/>
                <w:szCs w:val="17"/>
                <w:color w:val="auto"/>
              </w:rPr>
            </w:pPr>
          </w:p>
        </w:tc>
        <w:tc>
          <w:tcPr>
            <w:tcW w:w="24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25"/>
          </w:tcPr>
          <w:p>
            <w:pPr>
              <w:spacing w:after="0" w:line="196" w:lineRule="exact"/>
              <w:rPr>
                <w:rFonts w:ascii="Arial" w:cs="Arial" w:eastAsia="Arial" w:hAnsi="Arial"/>
                <w:sz w:val="18"/>
                <w:szCs w:val="18"/>
                <w:color w:val="0000EE"/>
              </w:rPr>
            </w:pPr>
            <w:hyperlink r:id="rId357">
              <w:r>
                <w:rPr>
                  <w:rFonts w:ascii="Arial" w:cs="Arial" w:eastAsia="Arial" w:hAnsi="Arial"/>
                  <w:sz w:val="18"/>
                  <w:szCs w:val="18"/>
                  <w:color w:val="0000EE"/>
                </w:rPr>
                <w:t>Group S.A.</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r:id="rId358">
              <w:r>
                <w:rPr>
                  <w:rFonts w:ascii="Arial" w:cs="Arial" w:eastAsia="Arial" w:hAnsi="Arial"/>
                  <w:sz w:val="18"/>
                  <w:szCs w:val="18"/>
                  <w:color w:val="0000EE"/>
                  <w:w w:val="90"/>
                </w:rPr>
                <w:t>Investment and Participation</w:t>
              </w:r>
            </w:hyperlink>
          </w:p>
        </w:tc>
        <w:tc>
          <w:tcPr>
            <w:tcW w:w="820" w:type="dxa"/>
            <w:vAlign w:val="bottom"/>
            <w:tcBorders>
              <w:bottom w:val="single" w:sz="8" w:color="CCEEFF"/>
            </w:tcBorders>
            <w:gridSpan w:val="14"/>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w w:val="89"/>
              </w:rPr>
            </w:pPr>
            <w:hyperlink r:id="rId358">
              <w:r>
                <w:rPr>
                  <w:rFonts w:ascii="Arial" w:cs="Arial" w:eastAsia="Arial" w:hAnsi="Arial"/>
                  <w:sz w:val="18"/>
                  <w:szCs w:val="18"/>
                  <w:color w:val="0000EE"/>
                  <w:w w:val="89"/>
                </w:rPr>
                <w:t>Agreement, dated as of March 15,</w:t>
              </w:r>
            </w:hyperlink>
          </w:p>
        </w:tc>
        <w:tc>
          <w:tcPr>
            <w:tcW w:w="42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4"/>
              </w:rPr>
              <w:t>(Exhibit 10.10)</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w w:val="93"/>
              </w:rPr>
            </w:pPr>
            <w:hyperlink r:id="rId358">
              <w:r>
                <w:rPr>
                  <w:rFonts w:ascii="Arial" w:cs="Arial" w:eastAsia="Arial" w:hAnsi="Arial"/>
                  <w:sz w:val="18"/>
                  <w:szCs w:val="18"/>
                  <w:color w:val="0000EE"/>
                  <w:w w:val="93"/>
                </w:rPr>
                <w:t>2017, by and among DeepGreen</w:t>
              </w:r>
            </w:hyperlink>
          </w:p>
        </w:tc>
        <w:tc>
          <w:tcPr>
            <w:tcW w:w="42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5"/>
            <w:shd w:val="clear" w:color="auto" w:fill="CCEEFF"/>
          </w:tcPr>
          <w:p>
            <w:pPr>
              <w:spacing w:after="0" w:line="196" w:lineRule="exact"/>
              <w:rPr>
                <w:rFonts w:ascii="Arial" w:cs="Arial" w:eastAsia="Arial" w:hAnsi="Arial"/>
                <w:sz w:val="18"/>
                <w:szCs w:val="18"/>
                <w:color w:val="0000EE"/>
              </w:rPr>
            </w:pPr>
            <w:hyperlink r:id="rId358">
              <w:r>
                <w:rPr>
                  <w:rFonts w:ascii="Arial" w:cs="Arial" w:eastAsia="Arial" w:hAnsi="Arial"/>
                  <w:sz w:val="18"/>
                  <w:szCs w:val="18"/>
                  <w:color w:val="0000EE"/>
                </w:rPr>
                <w:t>Metals Inc., Maersk Supply Service</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80" w:type="dxa"/>
            <w:vAlign w:val="bottom"/>
            <w:tcBorders>
              <w:top w:val="single" w:sz="8" w:color="0000EE"/>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w w:val="96"/>
              </w:rPr>
            </w:pPr>
            <w:hyperlink r:id="rId358">
              <w:r>
                <w:rPr>
                  <w:rFonts w:ascii="Arial" w:cs="Arial" w:eastAsia="Arial" w:hAnsi="Arial"/>
                  <w:sz w:val="18"/>
                  <w:szCs w:val="18"/>
                  <w:color w:val="0000EE"/>
                  <w:w w:val="96"/>
                </w:rPr>
                <w:t>NS, and Maersk Supply Service</w:t>
              </w:r>
            </w:hyperlink>
          </w:p>
        </w:tc>
        <w:tc>
          <w:tcPr>
            <w:tcW w:w="100" w:type="dxa"/>
            <w:vAlign w:val="bottom"/>
            <w:tcBorders>
              <w:top w:val="single" w:sz="8" w:color="0000EE"/>
              <w:left w:val="single" w:sz="8" w:color="CCEEFF"/>
              <w:bottom w:val="single" w:sz="8" w:color="CCEEFF"/>
            </w:tcBorders>
            <w:gridSpan w:val="2"/>
            <w:shd w:val="clear" w:color="auto" w:fill="CCEEFF"/>
          </w:tcPr>
          <w:p>
            <w:pPr>
              <w:spacing w:after="0"/>
              <w:rPr>
                <w:sz w:val="17"/>
                <w:szCs w:val="17"/>
                <w:color w:val="auto"/>
              </w:rPr>
            </w:pPr>
          </w:p>
        </w:tc>
        <w:tc>
          <w:tcPr>
            <w:tcW w:w="320" w:type="dxa"/>
            <w:vAlign w:val="bottom"/>
            <w:tcBorders>
              <w:top w:val="single" w:sz="8" w:color="CCEEFF"/>
              <w:bottom w:val="single" w:sz="8" w:color="CCEEFF"/>
            </w:tcBorders>
            <w:gridSpan w:val="10"/>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5"/>
            <w:shd w:val="clear" w:color="auto" w:fill="CCEEFF"/>
          </w:tcPr>
          <w:p>
            <w:pPr>
              <w:spacing w:after="0" w:line="196" w:lineRule="exact"/>
              <w:rPr>
                <w:rFonts w:ascii="Arial" w:cs="Arial" w:eastAsia="Arial" w:hAnsi="Arial"/>
                <w:sz w:val="18"/>
                <w:szCs w:val="18"/>
                <w:color w:val="0000EE"/>
              </w:rPr>
            </w:pPr>
            <w:hyperlink r:id="rId358">
              <w:r>
                <w:rPr>
                  <w:rFonts w:ascii="Arial" w:cs="Arial" w:eastAsia="Arial" w:hAnsi="Arial"/>
                  <w:sz w:val="18"/>
                  <w:szCs w:val="18"/>
                  <w:color w:val="0000EE"/>
                </w:rPr>
                <w:t>Subsea UK Limited</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100" w:type="dxa"/>
            <w:vAlign w:val="bottom"/>
          </w:tcPr>
          <w:p>
            <w:pPr>
              <w:spacing w:after="0"/>
              <w:rPr>
                <w:sz w:val="15"/>
                <w:szCs w:val="15"/>
                <w:color w:val="auto"/>
              </w:rPr>
            </w:pPr>
          </w:p>
        </w:tc>
        <w:tc>
          <w:tcPr>
            <w:tcW w:w="2480" w:type="dxa"/>
            <w:vAlign w:val="bottom"/>
            <w:tcBorders>
              <w:bottom w:val="single" w:sz="8" w:color="0000EE"/>
            </w:tcBorders>
            <w:gridSpan w:val="13"/>
          </w:tcPr>
          <w:p>
            <w:pPr>
              <w:spacing w:after="0" w:line="176" w:lineRule="exact"/>
              <w:rPr>
                <w:rFonts w:ascii="Arial" w:cs="Arial" w:eastAsia="Arial" w:hAnsi="Arial"/>
                <w:sz w:val="18"/>
                <w:szCs w:val="18"/>
                <w:color w:val="0000EE"/>
                <w:w w:val="93"/>
              </w:rPr>
            </w:pPr>
            <w:hyperlink r:id="rId359">
              <w:r>
                <w:rPr>
                  <w:rFonts w:ascii="Arial" w:cs="Arial" w:eastAsia="Arial" w:hAnsi="Arial"/>
                  <w:sz w:val="18"/>
                  <w:szCs w:val="18"/>
                  <w:color w:val="0000EE"/>
                  <w:w w:val="93"/>
                </w:rPr>
                <w:t>Project Management Framework</w:t>
              </w:r>
            </w:hyperlink>
          </w:p>
        </w:tc>
        <w:tc>
          <w:tcPr>
            <w:tcW w:w="420" w:type="dxa"/>
            <w:vAlign w:val="bottom"/>
            <w:gridSpan w:val="12"/>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359">
              <w:r>
                <w:rPr>
                  <w:rFonts w:ascii="Arial" w:cs="Arial" w:eastAsia="Arial" w:hAnsi="Arial"/>
                  <w:sz w:val="18"/>
                  <w:szCs w:val="18"/>
                  <w:color w:val="0000EE"/>
                  <w:w w:val="91"/>
                </w:rPr>
                <w:t>Agreement, dated as of April 6, 2018,</w:t>
              </w:r>
            </w:hyperlink>
          </w:p>
        </w:tc>
        <w:tc>
          <w:tcPr>
            <w:tcW w:w="1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4"/>
              </w:rPr>
              <w:t>(Exhibit 10.11)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25"/>
          </w:tcPr>
          <w:p>
            <w:pPr>
              <w:spacing w:after="0" w:line="196" w:lineRule="exact"/>
              <w:rPr>
                <w:rFonts w:ascii="Arial" w:cs="Arial" w:eastAsia="Arial" w:hAnsi="Arial"/>
                <w:sz w:val="18"/>
                <w:szCs w:val="18"/>
                <w:color w:val="0000EE"/>
                <w:w w:val="90"/>
              </w:rPr>
            </w:pPr>
            <w:hyperlink r:id="rId359">
              <w:r>
                <w:rPr>
                  <w:rFonts w:ascii="Arial" w:cs="Arial" w:eastAsia="Arial" w:hAnsi="Arial"/>
                  <w:sz w:val="18"/>
                  <w:szCs w:val="18"/>
                  <w:color w:val="0000EE"/>
                  <w:w w:val="90"/>
                </w:rPr>
                <w:t>by and among Nauru Ocean Resources</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6"/>
              </w:rPr>
            </w:pPr>
            <w:hyperlink r:id="rId359">
              <w:r>
                <w:rPr>
                  <w:rFonts w:ascii="Arial" w:cs="Arial" w:eastAsia="Arial" w:hAnsi="Arial"/>
                  <w:sz w:val="18"/>
                  <w:szCs w:val="18"/>
                  <w:color w:val="0000EE"/>
                  <w:w w:val="96"/>
                </w:rPr>
                <w:t>Inc. and Maersk Supply Service</w:t>
              </w:r>
            </w:hyperlink>
          </w:p>
        </w:tc>
        <w:tc>
          <w:tcPr>
            <w:tcW w:w="320" w:type="dxa"/>
            <w:vAlign w:val="bottom"/>
            <w:tcBorders>
              <w:top w:val="single" w:sz="8" w:color="0000EE"/>
            </w:tcBorders>
            <w:gridSpan w:val="10"/>
          </w:tcPr>
          <w:p>
            <w:pPr>
              <w:spacing w:after="0"/>
              <w:rPr>
                <w:sz w:val="17"/>
                <w:szCs w:val="17"/>
                <w:color w:val="auto"/>
              </w:rPr>
            </w:pPr>
          </w:p>
        </w:tc>
        <w:tc>
          <w:tcPr>
            <w:tcW w:w="1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25"/>
          </w:tcPr>
          <w:p>
            <w:pPr>
              <w:spacing w:after="0" w:line="196" w:lineRule="exact"/>
              <w:rPr>
                <w:rFonts w:ascii="Arial" w:cs="Arial" w:eastAsia="Arial" w:hAnsi="Arial"/>
                <w:sz w:val="18"/>
                <w:szCs w:val="18"/>
                <w:color w:val="0000EE"/>
              </w:rPr>
            </w:pPr>
            <w:hyperlink r:id="rId359">
              <w:r>
                <w:rPr>
                  <w:rFonts w:ascii="Arial" w:cs="Arial" w:eastAsia="Arial" w:hAnsi="Arial"/>
                  <w:sz w:val="18"/>
                  <w:szCs w:val="18"/>
                  <w:color w:val="0000EE"/>
                </w:rPr>
                <w:t>Integrated Solutions A/S</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5"/>
                <w:szCs w:val="15"/>
                <w:color w:val="auto"/>
              </w:rPr>
            </w:pPr>
          </w:p>
        </w:tc>
        <w:tc>
          <w:tcPr>
            <w:tcW w:w="2900" w:type="dxa"/>
            <w:vAlign w:val="bottom"/>
            <w:gridSpan w:val="25"/>
            <w:shd w:val="clear" w:color="auto" w:fill="CCEEFF"/>
          </w:tcPr>
          <w:p>
            <w:pPr>
              <w:spacing w:after="0" w:line="176" w:lineRule="exact"/>
              <w:rPr>
                <w:rFonts w:ascii="Arial" w:cs="Arial" w:eastAsia="Arial" w:hAnsi="Arial"/>
                <w:sz w:val="18"/>
                <w:szCs w:val="18"/>
                <w:color w:val="0000EE"/>
              </w:rPr>
            </w:pPr>
            <w:hyperlink r:id="rId360">
              <w:r>
                <w:rPr>
                  <w:rFonts w:ascii="Arial" w:cs="Arial" w:eastAsia="Arial" w:hAnsi="Arial"/>
                  <w:sz w:val="18"/>
                  <w:szCs w:val="18"/>
                  <w:color w:val="0000EE"/>
                </w:rPr>
                <w:t>Letter Agreement, dated as of</w:t>
              </w:r>
            </w:hyperlink>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20"/>
        </w:trPr>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180" w:type="dxa"/>
            <w:vAlign w:val="bottom"/>
            <w:gridSpan w:val="5"/>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gridSpan w:val="2"/>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rPr>
            </w:pPr>
            <w:hyperlink r:id="rId360">
              <w:r>
                <w:rPr>
                  <w:rFonts w:ascii="Arial" w:cs="Arial" w:eastAsia="Arial" w:hAnsi="Arial"/>
                  <w:sz w:val="18"/>
                  <w:szCs w:val="18"/>
                  <w:color w:val="0000EE"/>
                </w:rPr>
                <w:t>March 3, 2021, by and among</w:t>
              </w:r>
            </w:hyperlink>
          </w:p>
        </w:tc>
        <w:tc>
          <w:tcPr>
            <w:tcW w:w="42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4"/>
              </w:rPr>
              <w:t>(Exhibit 10.12)</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w w:val="96"/>
              </w:rPr>
            </w:pPr>
            <w:hyperlink r:id="rId360">
              <w:r>
                <w:rPr>
                  <w:rFonts w:ascii="Arial" w:cs="Arial" w:eastAsia="Arial" w:hAnsi="Arial"/>
                  <w:sz w:val="18"/>
                  <w:szCs w:val="18"/>
                  <w:color w:val="0000EE"/>
                  <w:w w:val="96"/>
                </w:rPr>
                <w:t>DeepGreen Metals Inc., Maersk</w:t>
              </w:r>
            </w:hyperlink>
          </w:p>
        </w:tc>
        <w:tc>
          <w:tcPr>
            <w:tcW w:w="42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w w:val="96"/>
              </w:rPr>
            </w:pPr>
            <w:hyperlink r:id="rId360">
              <w:r>
                <w:rPr>
                  <w:rFonts w:ascii="Arial" w:cs="Arial" w:eastAsia="Arial" w:hAnsi="Arial"/>
                  <w:sz w:val="18"/>
                  <w:szCs w:val="18"/>
                  <w:color w:val="0000EE"/>
                  <w:w w:val="96"/>
                </w:rPr>
                <w:t>Supply Service NS, and Maersk</w:t>
              </w:r>
            </w:hyperlink>
          </w:p>
        </w:tc>
        <w:tc>
          <w:tcPr>
            <w:tcW w:w="42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5"/>
            <w:shd w:val="clear" w:color="auto" w:fill="CCEEFF"/>
          </w:tcPr>
          <w:p>
            <w:pPr>
              <w:spacing w:after="0" w:line="196" w:lineRule="exact"/>
              <w:rPr>
                <w:rFonts w:ascii="Arial" w:cs="Arial" w:eastAsia="Arial" w:hAnsi="Arial"/>
                <w:sz w:val="18"/>
                <w:szCs w:val="18"/>
                <w:color w:val="0000EE"/>
              </w:rPr>
            </w:pPr>
            <w:hyperlink r:id="rId360">
              <w:r>
                <w:rPr>
                  <w:rFonts w:ascii="Arial" w:cs="Arial" w:eastAsia="Arial" w:hAnsi="Arial"/>
                  <w:sz w:val="18"/>
                  <w:szCs w:val="18"/>
                  <w:color w:val="0000EE"/>
                </w:rPr>
                <w:t>Supply Service Subsea UK Limited</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left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0000EE"/>
              <w:lef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100" w:type="dxa"/>
            <w:vAlign w:val="bottom"/>
          </w:tcPr>
          <w:p>
            <w:pPr>
              <w:spacing w:after="0"/>
              <w:rPr>
                <w:sz w:val="15"/>
                <w:szCs w:val="15"/>
                <w:color w:val="auto"/>
              </w:rPr>
            </w:pPr>
          </w:p>
        </w:tc>
        <w:tc>
          <w:tcPr>
            <w:tcW w:w="2900" w:type="dxa"/>
            <w:vAlign w:val="bottom"/>
            <w:gridSpan w:val="25"/>
          </w:tcPr>
          <w:p>
            <w:pPr>
              <w:spacing w:after="0" w:line="176" w:lineRule="exact"/>
              <w:rPr>
                <w:rFonts w:ascii="Arial" w:cs="Arial" w:eastAsia="Arial" w:hAnsi="Arial"/>
                <w:sz w:val="18"/>
                <w:szCs w:val="18"/>
                <w:color w:val="0000EE"/>
                <w:w w:val="98"/>
              </w:rPr>
            </w:pPr>
            <w:hyperlink r:id="rId361">
              <w:r>
                <w:rPr>
                  <w:rFonts w:ascii="Arial" w:cs="Arial" w:eastAsia="Arial" w:hAnsi="Arial"/>
                  <w:sz w:val="18"/>
                  <w:szCs w:val="18"/>
                  <w:color w:val="0000EE"/>
                  <w:w w:val="98"/>
                </w:rPr>
                <w:t>Sponsorship Agreement, dated as of</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top w:val="single" w:sz="8" w:color="0000EE"/>
            </w:tcBorders>
            <w:gridSpan w:val="16"/>
          </w:tcPr>
          <w:p>
            <w:pPr>
              <w:spacing w:after="0" w:line="196" w:lineRule="exact"/>
              <w:rPr>
                <w:rFonts w:ascii="Arial" w:cs="Arial" w:eastAsia="Arial" w:hAnsi="Arial"/>
                <w:sz w:val="18"/>
                <w:szCs w:val="18"/>
                <w:color w:val="0000EE"/>
                <w:w w:val="91"/>
              </w:rPr>
            </w:pPr>
            <w:hyperlink r:id="rId361">
              <w:r>
                <w:rPr>
                  <w:rFonts w:ascii="Arial" w:cs="Arial" w:eastAsia="Arial" w:hAnsi="Arial"/>
                  <w:sz w:val="18"/>
                  <w:szCs w:val="18"/>
                  <w:color w:val="0000EE"/>
                  <w:w w:val="91"/>
                </w:rPr>
                <w:t>March 8, 2008, by and between the</w:t>
              </w:r>
            </w:hyperlink>
          </w:p>
        </w:tc>
        <w:tc>
          <w:tcPr>
            <w:tcW w:w="30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4"/>
              </w:rPr>
              <w:t>(Exhibit 10.13)</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61">
              <w:r>
                <w:rPr>
                  <w:rFonts w:ascii="Arial" w:cs="Arial" w:eastAsia="Arial" w:hAnsi="Arial"/>
                  <w:sz w:val="18"/>
                  <w:szCs w:val="18"/>
                  <w:color w:val="0000EE"/>
                </w:rPr>
                <w:t>Kingdom of Tonga and Tonga</w:t>
              </w:r>
            </w:hyperlink>
          </w:p>
        </w:tc>
        <w:tc>
          <w:tcPr>
            <w:tcW w:w="42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61">
              <w:r>
                <w:rPr>
                  <w:rFonts w:ascii="Arial" w:cs="Arial" w:eastAsia="Arial" w:hAnsi="Arial"/>
                  <w:sz w:val="18"/>
                  <w:szCs w:val="18"/>
                  <w:color w:val="0000EE"/>
                </w:rPr>
                <w:t>Offshore Mining Limited</w:t>
              </w:r>
            </w:hyperlink>
          </w:p>
        </w:tc>
        <w:tc>
          <w:tcPr>
            <w:tcW w:w="80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8"/>
              </w:rPr>
            </w:pPr>
            <w:hyperlink w:anchor="page288">
              <w:r>
                <w:rPr>
                  <w:rFonts w:ascii="Arial" w:cs="Arial" w:eastAsia="Arial" w:hAnsi="Arial"/>
                  <w:sz w:val="18"/>
                  <w:szCs w:val="18"/>
                  <w:color w:val="0000EE"/>
                  <w:w w:val="88"/>
                </w:rPr>
                <w:t>Sponsorship Agreement, dated as of</w:t>
              </w:r>
            </w:hyperlink>
          </w:p>
        </w:tc>
        <w:tc>
          <w:tcPr>
            <w:tcW w:w="280" w:type="dxa"/>
            <w:vAlign w:val="bottom"/>
            <w:tcBorders>
              <w:bottom w:val="single" w:sz="8" w:color="CCEEFF"/>
            </w:tcBorders>
            <w:gridSpan w:val="8"/>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5"/>
            <w:shd w:val="clear" w:color="auto" w:fill="CCEEFF"/>
          </w:tcPr>
          <w:p>
            <w:pPr>
              <w:spacing w:after="0" w:line="196" w:lineRule="exact"/>
              <w:rPr>
                <w:rFonts w:ascii="Arial" w:cs="Arial" w:eastAsia="Arial" w:hAnsi="Arial"/>
                <w:sz w:val="18"/>
                <w:szCs w:val="18"/>
                <w:color w:val="0000EE"/>
                <w:w w:val="95"/>
              </w:rPr>
            </w:pPr>
            <w:hyperlink w:anchor="page288">
              <w:r>
                <w:rPr>
                  <w:rFonts w:ascii="Arial" w:cs="Arial" w:eastAsia="Arial" w:hAnsi="Arial"/>
                  <w:sz w:val="18"/>
                  <w:szCs w:val="18"/>
                  <w:color w:val="0000EE"/>
                  <w:w w:val="95"/>
                </w:rPr>
                <w:t>September 23, 2021, by and between</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80" w:type="dxa"/>
            <w:vAlign w:val="bottom"/>
            <w:tcBorders>
              <w:top w:val="single" w:sz="8" w:color="0000EE"/>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w w:val="90"/>
              </w:rPr>
            </w:pPr>
            <w:hyperlink w:anchor="page288">
              <w:r>
                <w:rPr>
                  <w:rFonts w:ascii="Arial" w:cs="Arial" w:eastAsia="Arial" w:hAnsi="Arial"/>
                  <w:sz w:val="18"/>
                  <w:szCs w:val="18"/>
                  <w:color w:val="0000EE"/>
                  <w:w w:val="90"/>
                </w:rPr>
                <w:t>the Kingdom of Tonga and Tonga</w:t>
              </w:r>
            </w:hyperlink>
          </w:p>
        </w:tc>
        <w:tc>
          <w:tcPr>
            <w:tcW w:w="180" w:type="dxa"/>
            <w:vAlign w:val="bottom"/>
            <w:tcBorders>
              <w:top w:val="single" w:sz="8" w:color="0000EE"/>
              <w:left w:val="single" w:sz="8" w:color="CCEEFF"/>
              <w:bottom w:val="single" w:sz="8" w:color="CCEEFF"/>
            </w:tcBorders>
            <w:gridSpan w:val="6"/>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5"/>
            <w:shd w:val="clear" w:color="auto" w:fill="CCEEFF"/>
          </w:tcPr>
          <w:p>
            <w:pPr>
              <w:spacing w:after="0" w:line="196" w:lineRule="exact"/>
              <w:rPr>
                <w:rFonts w:ascii="Arial" w:cs="Arial" w:eastAsia="Arial" w:hAnsi="Arial"/>
                <w:sz w:val="18"/>
                <w:szCs w:val="18"/>
                <w:color w:val="0000EE"/>
              </w:rPr>
            </w:pPr>
            <w:hyperlink w:anchor="page288">
              <w:r>
                <w:rPr>
                  <w:rFonts w:ascii="Arial" w:cs="Arial" w:eastAsia="Arial" w:hAnsi="Arial"/>
                  <w:sz w:val="18"/>
                  <w:szCs w:val="18"/>
                  <w:color w:val="0000EE"/>
                </w:rPr>
                <w:t>Offshore Mining Limited</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10.14†</w:t>
            </w:r>
          </w:p>
        </w:tc>
        <w:tc>
          <w:tcPr>
            <w:tcW w:w="100" w:type="dxa"/>
            <w:vAlign w:val="bottom"/>
          </w:tcPr>
          <w:p>
            <w:pPr>
              <w:spacing w:after="0"/>
              <w:rPr>
                <w:sz w:val="15"/>
                <w:szCs w:val="15"/>
                <w:color w:val="auto"/>
              </w:rPr>
            </w:pPr>
          </w:p>
        </w:tc>
        <w:tc>
          <w:tcPr>
            <w:tcW w:w="2900" w:type="dxa"/>
            <w:vAlign w:val="bottom"/>
            <w:gridSpan w:val="25"/>
          </w:tcPr>
          <w:p>
            <w:pPr>
              <w:spacing w:after="0" w:line="176" w:lineRule="exact"/>
              <w:rPr>
                <w:rFonts w:ascii="Arial" w:cs="Arial" w:eastAsia="Arial" w:hAnsi="Arial"/>
                <w:sz w:val="18"/>
                <w:szCs w:val="18"/>
                <w:color w:val="0000EE"/>
                <w:w w:val="98"/>
              </w:rPr>
            </w:pPr>
            <w:hyperlink r:id="rId362">
              <w:r>
                <w:rPr>
                  <w:rFonts w:ascii="Arial" w:cs="Arial" w:eastAsia="Arial" w:hAnsi="Arial"/>
                  <w:sz w:val="18"/>
                  <w:szCs w:val="18"/>
                  <w:color w:val="0000EE"/>
                  <w:w w:val="98"/>
                </w:rPr>
                <w:t>Sponsorship Agreement, dated as of</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r:id="rId362">
              <w:r>
                <w:rPr>
                  <w:rFonts w:ascii="Arial" w:cs="Arial" w:eastAsia="Arial" w:hAnsi="Arial"/>
                  <w:sz w:val="18"/>
                  <w:szCs w:val="18"/>
                  <w:color w:val="0000EE"/>
                  <w:w w:val="94"/>
                </w:rPr>
                <w:t>June 5, 2017, by and among the</w:t>
              </w:r>
            </w:hyperlink>
          </w:p>
        </w:tc>
        <w:tc>
          <w:tcPr>
            <w:tcW w:w="120" w:type="dxa"/>
            <w:vAlign w:val="bottom"/>
            <w:tcBorders>
              <w:top w:val="single" w:sz="8" w:color="0000EE"/>
            </w:tcBorders>
            <w:gridSpan w:val="3"/>
          </w:tcPr>
          <w:p>
            <w:pPr>
              <w:spacing w:after="0"/>
              <w:rPr>
                <w:sz w:val="17"/>
                <w:szCs w:val="17"/>
                <w:color w:val="auto"/>
              </w:rPr>
            </w:pPr>
          </w:p>
        </w:tc>
        <w:tc>
          <w:tcPr>
            <w:tcW w:w="30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4"/>
              </w:rPr>
              <w:t>(Exhibit 10.14)</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362">
              <w:r>
                <w:rPr>
                  <w:rFonts w:ascii="Arial" w:cs="Arial" w:eastAsia="Arial" w:hAnsi="Arial"/>
                  <w:sz w:val="18"/>
                  <w:szCs w:val="18"/>
                  <w:color w:val="0000EE"/>
                  <w:w w:val="89"/>
                </w:rPr>
                <w:t>Republic of Nauru, the Nauru Seabed</w:t>
              </w:r>
            </w:hyperlink>
          </w:p>
        </w:tc>
        <w:tc>
          <w:tcPr>
            <w:tcW w:w="18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25"/>
          </w:tcPr>
          <w:p>
            <w:pPr>
              <w:spacing w:after="0" w:line="196" w:lineRule="exact"/>
              <w:rPr>
                <w:rFonts w:ascii="Arial" w:cs="Arial" w:eastAsia="Arial" w:hAnsi="Arial"/>
                <w:sz w:val="18"/>
                <w:szCs w:val="18"/>
                <w:color w:val="0000EE"/>
                <w:w w:val="97"/>
              </w:rPr>
            </w:pPr>
            <w:hyperlink r:id="rId362">
              <w:r>
                <w:rPr>
                  <w:rFonts w:ascii="Arial" w:cs="Arial" w:eastAsia="Arial" w:hAnsi="Arial"/>
                  <w:sz w:val="18"/>
                  <w:szCs w:val="18"/>
                  <w:color w:val="0000EE"/>
                  <w:w w:val="97"/>
                </w:rPr>
                <w:t>Minerals Authority, and Nauru Ocean</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362">
              <w:r>
                <w:rPr>
                  <w:rFonts w:ascii="Arial" w:cs="Arial" w:eastAsia="Arial" w:hAnsi="Arial"/>
                  <w:sz w:val="18"/>
                  <w:szCs w:val="18"/>
                  <w:color w:val="0000EE"/>
                </w:rPr>
                <w:t>Resources Inc.</w:t>
              </w:r>
            </w:hyperlink>
          </w:p>
        </w:tc>
        <w:tc>
          <w:tcPr>
            <w:tcW w:w="18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5"/>
                <w:szCs w:val="15"/>
                <w:color w:val="auto"/>
              </w:rPr>
            </w:pPr>
          </w:p>
        </w:tc>
        <w:tc>
          <w:tcPr>
            <w:tcW w:w="2900" w:type="dxa"/>
            <w:vAlign w:val="bottom"/>
            <w:gridSpan w:val="25"/>
            <w:shd w:val="clear" w:color="auto" w:fill="CCEEFF"/>
          </w:tcPr>
          <w:p>
            <w:pPr>
              <w:spacing w:after="0" w:line="176" w:lineRule="exact"/>
              <w:rPr>
                <w:rFonts w:ascii="Arial" w:cs="Arial" w:eastAsia="Arial" w:hAnsi="Arial"/>
                <w:sz w:val="18"/>
                <w:szCs w:val="18"/>
                <w:color w:val="0000EE"/>
              </w:rPr>
            </w:pPr>
            <w:hyperlink r:id="rId363">
              <w:r>
                <w:rPr>
                  <w:rFonts w:ascii="Arial" w:cs="Arial" w:eastAsia="Arial" w:hAnsi="Arial"/>
                  <w:sz w:val="18"/>
                  <w:szCs w:val="18"/>
                  <w:color w:val="0000EE"/>
                </w:rPr>
                <w:t>ISA Contract for Exploration</w:t>
              </w:r>
            </w:hyperlink>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20"/>
        </w:trPr>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left w:val="single" w:sz="8" w:color="CCEEFF"/>
            </w:tcBorders>
            <w:gridSpan w:val="12"/>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gridSpan w:val="2"/>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5"/>
            <w:shd w:val="clear" w:color="auto" w:fill="CCEEFF"/>
          </w:tcPr>
          <w:p>
            <w:pPr>
              <w:spacing w:after="0" w:line="196" w:lineRule="exact"/>
              <w:rPr>
                <w:rFonts w:ascii="Arial" w:cs="Arial" w:eastAsia="Arial" w:hAnsi="Arial"/>
                <w:sz w:val="18"/>
                <w:szCs w:val="18"/>
                <w:color w:val="0000EE"/>
              </w:rPr>
            </w:pPr>
            <w:hyperlink r:id="rId363">
              <w:r>
                <w:rPr>
                  <w:rFonts w:ascii="Arial" w:cs="Arial" w:eastAsia="Arial" w:hAnsi="Arial"/>
                  <w:sz w:val="18"/>
                  <w:szCs w:val="18"/>
                  <w:color w:val="0000EE"/>
                </w:rPr>
                <w:t>(Republic of Nauru) dated as of</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4"/>
              </w:rPr>
              <w:t>(Exhibit 10.15)</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rPr>
            </w:pPr>
            <w:hyperlink r:id="rId363">
              <w:r>
                <w:rPr>
                  <w:rFonts w:ascii="Arial" w:cs="Arial" w:eastAsia="Arial" w:hAnsi="Arial"/>
                  <w:sz w:val="18"/>
                  <w:szCs w:val="18"/>
                  <w:color w:val="0000EE"/>
                </w:rPr>
                <w:t>July 22, 2011</w:t>
              </w:r>
            </w:hyperlink>
          </w:p>
        </w:tc>
        <w:tc>
          <w:tcPr>
            <w:tcW w:w="420" w:type="dxa"/>
            <w:vAlign w:val="bottom"/>
            <w:tcBorders>
              <w:top w:val="single" w:sz="8" w:color="CCEEFF"/>
              <w:left w:val="single" w:sz="8" w:color="CCEEFF"/>
            </w:tcBorders>
            <w:gridSpan w:val="12"/>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10.16</w:t>
            </w:r>
          </w:p>
        </w:tc>
        <w:tc>
          <w:tcPr>
            <w:tcW w:w="100" w:type="dxa"/>
            <w:vAlign w:val="bottom"/>
          </w:tcPr>
          <w:p>
            <w:pPr>
              <w:spacing w:after="0"/>
              <w:rPr>
                <w:sz w:val="15"/>
                <w:szCs w:val="15"/>
                <w:color w:val="auto"/>
              </w:rPr>
            </w:pPr>
          </w:p>
        </w:tc>
        <w:tc>
          <w:tcPr>
            <w:tcW w:w="2900" w:type="dxa"/>
            <w:vAlign w:val="bottom"/>
            <w:gridSpan w:val="25"/>
          </w:tcPr>
          <w:p>
            <w:pPr>
              <w:spacing w:after="0" w:line="176" w:lineRule="exact"/>
              <w:rPr>
                <w:rFonts w:ascii="Arial" w:cs="Arial" w:eastAsia="Arial" w:hAnsi="Arial"/>
                <w:sz w:val="18"/>
                <w:szCs w:val="18"/>
                <w:color w:val="0000EE"/>
              </w:rPr>
            </w:pPr>
            <w:hyperlink r:id="rId364">
              <w:r>
                <w:rPr>
                  <w:rFonts w:ascii="Arial" w:cs="Arial" w:eastAsia="Arial" w:hAnsi="Arial"/>
                  <w:sz w:val="18"/>
                  <w:szCs w:val="18"/>
                  <w:color w:val="0000EE"/>
                </w:rPr>
                <w:t>ISA Contract for Exploration</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r:id="rId364">
              <w:r>
                <w:rPr>
                  <w:rFonts w:ascii="Arial" w:cs="Arial" w:eastAsia="Arial" w:hAnsi="Arial"/>
                  <w:sz w:val="18"/>
                  <w:szCs w:val="18"/>
                  <w:color w:val="0000EE"/>
                  <w:w w:val="96"/>
                </w:rPr>
                <w:t>(Kingdom of Tonga) dated as of</w:t>
              </w:r>
            </w:hyperlink>
          </w:p>
        </w:tc>
        <w:tc>
          <w:tcPr>
            <w:tcW w:w="42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4"/>
              </w:rPr>
              <w:t>(Exhibit 10.16)</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364">
              <w:r>
                <w:rPr>
                  <w:rFonts w:ascii="Arial" w:cs="Arial" w:eastAsia="Arial" w:hAnsi="Arial"/>
                  <w:sz w:val="18"/>
                  <w:szCs w:val="18"/>
                  <w:color w:val="0000EE"/>
                  <w:w w:val="87"/>
                </w:rPr>
                <w:t>January 11, 2012.</w:t>
              </w:r>
            </w:hyperlink>
          </w:p>
        </w:tc>
        <w:tc>
          <w:tcPr>
            <w:tcW w:w="162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32" w:gutter="0" w:footer="0" w:header="0"/>
        </w:sectPr>
      </w:pPr>
    </w:p>
    <w:bookmarkStart w:id="274" w:name="page275"/>
    <w:bookmarkEnd w:id="27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Incorporated by</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Reference Herein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Filed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from Form or</w:t>
            </w: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Filing</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SEC File/Reg.</w:t>
            </w:r>
          </w:p>
        </w:tc>
      </w:tr>
      <w:tr>
        <w:trPr>
          <w:trHeight w:val="210"/>
        </w:trPr>
        <w:tc>
          <w:tcPr>
            <w:tcW w:w="7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gridSpan w:val="34"/>
          </w:tcPr>
          <w:p>
            <w:pPr>
              <w:ind w:left="240"/>
              <w:spacing w:after="0"/>
              <w:rPr>
                <w:sz w:val="20"/>
                <w:szCs w:val="20"/>
                <w:color w:val="auto"/>
              </w:rPr>
            </w:pPr>
            <w:r>
              <w:rPr>
                <w:rFonts w:ascii="Arial" w:cs="Arial" w:eastAsia="Arial" w:hAnsi="Arial"/>
                <w:sz w:val="16"/>
                <w:szCs w:val="16"/>
                <w:b w:val="1"/>
                <w:bCs w:val="1"/>
                <w:color w:val="auto"/>
              </w:rPr>
              <w:t>Exhibit Description</w:t>
            </w: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Herewith</w:t>
            </w: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Schedule</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r>
      <w:tr>
        <w:trPr>
          <w:trHeight w:val="47"/>
        </w:trPr>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9"/>
        </w:trPr>
        <w:tc>
          <w:tcPr>
            <w:tcW w:w="74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2560" w:type="dxa"/>
            <w:vAlign w:val="bottom"/>
            <w:tcBorders>
              <w:bottom w:val="single" w:sz="8" w:color="0000EE"/>
            </w:tcBorders>
            <w:gridSpan w:val="27"/>
            <w:shd w:val="clear" w:color="auto" w:fill="CCEEFF"/>
          </w:tcPr>
          <w:p>
            <w:pPr>
              <w:spacing w:after="0" w:line="169" w:lineRule="exact"/>
              <w:rPr>
                <w:rFonts w:ascii="Arial" w:cs="Arial" w:eastAsia="Arial" w:hAnsi="Arial"/>
                <w:sz w:val="18"/>
                <w:szCs w:val="18"/>
                <w:color w:val="0000EE"/>
                <w:w w:val="93"/>
              </w:rPr>
            </w:pPr>
            <w:hyperlink r:id="rId366">
              <w:r>
                <w:rPr>
                  <w:rFonts w:ascii="Arial" w:cs="Arial" w:eastAsia="Arial" w:hAnsi="Arial"/>
                  <w:sz w:val="18"/>
                  <w:szCs w:val="18"/>
                  <w:color w:val="0000EE"/>
                  <w:w w:val="93"/>
                </w:rPr>
                <w:t>Fourth Amendment to Pilot Mining</w:t>
              </w:r>
            </w:hyperlink>
          </w:p>
        </w:tc>
        <w:tc>
          <w:tcPr>
            <w:tcW w:w="240" w:type="dxa"/>
            <w:vAlign w:val="bottom"/>
            <w:tcBorders>
              <w:bottom w:val="single" w:sz="8" w:color="CCEEFF"/>
            </w:tcBorders>
            <w:gridSpan w:val="9"/>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3"/>
              </w:rPr>
              <w:t>Form S-4/A</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0000EE"/>
              </w:rPr>
            </w:pPr>
            <w:hyperlink r:id="rId366">
              <w:r>
                <w:rPr>
                  <w:rFonts w:ascii="Arial" w:cs="Arial" w:eastAsia="Arial" w:hAnsi="Arial"/>
                  <w:sz w:val="18"/>
                  <w:szCs w:val="18"/>
                  <w:color w:val="0000EE"/>
                </w:rPr>
                <w:t>Test Agreement and Second</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4"/>
              </w:rPr>
              <w:t>(Exhibit 10.23)</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40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1"/>
              </w:rPr>
            </w:pPr>
            <w:hyperlink r:id="rId366">
              <w:r>
                <w:rPr>
                  <w:rFonts w:ascii="Arial" w:cs="Arial" w:eastAsia="Arial" w:hAnsi="Arial"/>
                  <w:sz w:val="18"/>
                  <w:szCs w:val="18"/>
                  <w:color w:val="0000EE"/>
                  <w:w w:val="91"/>
                </w:rPr>
                <w:t>Amendment to Strategic Alliance</w:t>
              </w:r>
            </w:hyperlink>
          </w:p>
        </w:tc>
        <w:tc>
          <w:tcPr>
            <w:tcW w:w="480" w:type="dxa"/>
            <w:vAlign w:val="bottom"/>
            <w:tcBorders>
              <w:bottom w:val="single" w:sz="8" w:color="CCEEFF"/>
            </w:tcBorders>
            <w:gridSpan w:val="16"/>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0000EE"/>
                <w:w w:val="91"/>
              </w:rPr>
            </w:pPr>
            <w:hyperlink r:id="rId366">
              <w:r>
                <w:rPr>
                  <w:rFonts w:ascii="Arial" w:cs="Arial" w:eastAsia="Arial" w:hAnsi="Arial"/>
                  <w:sz w:val="18"/>
                  <w:szCs w:val="18"/>
                  <w:color w:val="0000EE"/>
                  <w:w w:val="91"/>
                </w:rPr>
                <w:t>Agreement, dated as of June 30, 2021,</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520" w:type="dxa"/>
            <w:vAlign w:val="bottom"/>
            <w:tcBorders>
              <w:top w:val="single" w:sz="8" w:color="0000EE"/>
              <w:bottom w:val="single" w:sz="8" w:color="0000EE"/>
            </w:tcBorders>
            <w:gridSpan w:val="25"/>
            <w:shd w:val="clear" w:color="auto" w:fill="CCEEFF"/>
          </w:tcPr>
          <w:p>
            <w:pPr>
              <w:spacing w:after="0" w:line="196" w:lineRule="exact"/>
              <w:rPr>
                <w:rFonts w:ascii="Arial" w:cs="Arial" w:eastAsia="Arial" w:hAnsi="Arial"/>
                <w:sz w:val="18"/>
                <w:szCs w:val="18"/>
                <w:color w:val="0000EE"/>
                <w:w w:val="88"/>
              </w:rPr>
            </w:pPr>
            <w:hyperlink r:id="rId366">
              <w:r>
                <w:rPr>
                  <w:rFonts w:ascii="Arial" w:cs="Arial" w:eastAsia="Arial" w:hAnsi="Arial"/>
                  <w:sz w:val="18"/>
                  <w:szCs w:val="18"/>
                  <w:color w:val="0000EE"/>
                  <w:w w:val="88"/>
                </w:rPr>
                <w:t>by and between DeepGreen Metals</w:t>
              </w:r>
            </w:hyperlink>
          </w:p>
        </w:tc>
        <w:tc>
          <w:tcPr>
            <w:tcW w:w="220" w:type="dxa"/>
            <w:vAlign w:val="bottom"/>
            <w:tcBorders>
              <w:top w:val="single" w:sz="8" w:color="0000EE"/>
              <w:bottom w:val="single" w:sz="8" w:color="CCEEFF"/>
            </w:tcBorders>
            <w:gridSpan w:val="9"/>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0000EE"/>
              </w:rPr>
            </w:pPr>
            <w:hyperlink r:id="rId366">
              <w:r>
                <w:rPr>
                  <w:rFonts w:ascii="Arial" w:cs="Arial" w:eastAsia="Arial" w:hAnsi="Arial"/>
                  <w:sz w:val="18"/>
                  <w:szCs w:val="18"/>
                  <w:color w:val="0000EE"/>
                </w:rPr>
                <w:t>Inc. and Allseas Group S.A.</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5"/>
                <w:szCs w:val="15"/>
                <w:color w:val="auto"/>
              </w:rPr>
            </w:pPr>
          </w:p>
        </w:tc>
        <w:tc>
          <w:tcPr>
            <w:tcW w:w="2660" w:type="dxa"/>
            <w:vAlign w:val="bottom"/>
            <w:tcBorders>
              <w:bottom w:val="single" w:sz="8" w:color="0000EE"/>
            </w:tcBorders>
            <w:gridSpan w:val="31"/>
          </w:tcPr>
          <w:p>
            <w:pPr>
              <w:spacing w:after="0" w:line="176" w:lineRule="exact"/>
              <w:rPr>
                <w:rFonts w:ascii="Arial" w:cs="Arial" w:eastAsia="Arial" w:hAnsi="Arial"/>
                <w:sz w:val="18"/>
                <w:szCs w:val="18"/>
                <w:color w:val="0000EE"/>
                <w:w w:val="89"/>
              </w:rPr>
            </w:pPr>
            <w:hyperlink r:id="rId367">
              <w:r>
                <w:rPr>
                  <w:rFonts w:ascii="Arial" w:cs="Arial" w:eastAsia="Arial" w:hAnsi="Arial"/>
                  <w:sz w:val="18"/>
                  <w:szCs w:val="18"/>
                  <w:color w:val="0000EE"/>
                  <w:w w:val="89"/>
                </w:rPr>
                <w:t>Certificate of the Sponsorship signed</w:t>
              </w:r>
            </w:hyperlink>
          </w:p>
        </w:tc>
        <w:tc>
          <w:tcPr>
            <w:tcW w:w="220" w:type="dxa"/>
            <w:vAlign w:val="bottom"/>
            <w:gridSpan w:val="6"/>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367">
              <w:r>
                <w:rPr>
                  <w:rFonts w:ascii="Arial" w:cs="Arial" w:eastAsia="Arial" w:hAnsi="Arial"/>
                  <w:sz w:val="18"/>
                  <w:szCs w:val="18"/>
                  <w:color w:val="0000EE"/>
                  <w:w w:val="90"/>
                </w:rPr>
                <w:t>by the Government of Nauru on</w:t>
              </w:r>
            </w:hyperlink>
          </w:p>
        </w:tc>
        <w:tc>
          <w:tcPr>
            <w:tcW w:w="58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4"/>
              </w:rPr>
              <w:t>(Exhibit 10.24)</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7"/>
          </w:tcPr>
          <w:p>
            <w:pPr>
              <w:spacing w:after="0" w:line="196" w:lineRule="exact"/>
              <w:rPr>
                <w:rFonts w:ascii="Arial" w:cs="Arial" w:eastAsia="Arial" w:hAnsi="Arial"/>
                <w:sz w:val="18"/>
                <w:szCs w:val="18"/>
                <w:color w:val="0000EE"/>
              </w:rPr>
            </w:pPr>
            <w:hyperlink r:id="rId367">
              <w:r>
                <w:rPr>
                  <w:rFonts w:ascii="Arial" w:cs="Arial" w:eastAsia="Arial" w:hAnsi="Arial"/>
                  <w:sz w:val="18"/>
                  <w:szCs w:val="18"/>
                  <w:color w:val="0000EE"/>
                </w:rPr>
                <w:t>April 11, 2011.</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120" w:type="dxa"/>
            <w:vAlign w:val="bottom"/>
            <w:tcBorders>
              <w:right w:val="single" w:sz="8" w:color="CCEEFF"/>
            </w:tcBorders>
            <w:shd w:val="clear" w:color="auto" w:fill="CCEEFF"/>
          </w:tcPr>
          <w:p>
            <w:pPr>
              <w:spacing w:after="0"/>
              <w:rPr>
                <w:sz w:val="15"/>
                <w:szCs w:val="15"/>
                <w:color w:val="auto"/>
              </w:rPr>
            </w:pPr>
          </w:p>
        </w:tc>
        <w:tc>
          <w:tcPr>
            <w:tcW w:w="2880" w:type="dxa"/>
            <w:vAlign w:val="bottom"/>
            <w:gridSpan w:val="37"/>
            <w:shd w:val="clear" w:color="auto" w:fill="CCEEFF"/>
          </w:tcPr>
          <w:p>
            <w:pPr>
              <w:spacing w:after="0" w:line="176" w:lineRule="exact"/>
              <w:rPr>
                <w:rFonts w:ascii="Arial" w:cs="Arial" w:eastAsia="Arial" w:hAnsi="Arial"/>
                <w:sz w:val="18"/>
                <w:szCs w:val="18"/>
                <w:color w:val="0000EE"/>
              </w:rPr>
            </w:pPr>
            <w:hyperlink r:id="rId368">
              <w:r>
                <w:rPr>
                  <w:rFonts w:ascii="Arial" w:cs="Arial" w:eastAsia="Arial" w:hAnsi="Arial"/>
                  <w:sz w:val="18"/>
                  <w:szCs w:val="18"/>
                  <w:color w:val="0000EE"/>
                </w:rPr>
                <w:t>Form of Indemnity Agreement</w:t>
              </w:r>
            </w:hyperlink>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5"/>
              </w:rPr>
              <w:t>Form 8-K</w:t>
            </w: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9/15/2021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001-39281</w:t>
            </w:r>
          </w:p>
        </w:tc>
      </w:tr>
      <w:tr>
        <w:trPr>
          <w:trHeight w:val="257"/>
        </w:trPr>
        <w:tc>
          <w:tcPr>
            <w:tcW w:w="7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30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30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6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6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26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0000EE"/>
              <w:bottom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00" w:type="dxa"/>
            <w:vAlign w:val="bottom"/>
            <w:tcBorders>
              <w:top w:val="single" w:sz="8" w:color="CCEEFF"/>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(Exhibit 10.18)</w:t>
            </w:r>
          </w:p>
        </w:tc>
        <w:tc>
          <w:tcPr>
            <w:tcW w:w="8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10.20+</w:t>
            </w:r>
          </w:p>
        </w:tc>
        <w:tc>
          <w:tcPr>
            <w:tcW w:w="120" w:type="dxa"/>
            <w:vAlign w:val="bottom"/>
          </w:tcPr>
          <w:p>
            <w:pPr>
              <w:spacing w:after="0"/>
              <w:rPr>
                <w:sz w:val="15"/>
                <w:szCs w:val="15"/>
                <w:color w:val="auto"/>
              </w:rPr>
            </w:pPr>
          </w:p>
        </w:tc>
        <w:tc>
          <w:tcPr>
            <w:tcW w:w="2880" w:type="dxa"/>
            <w:vAlign w:val="bottom"/>
            <w:gridSpan w:val="37"/>
          </w:tcPr>
          <w:p>
            <w:pPr>
              <w:spacing w:after="0" w:line="176" w:lineRule="exact"/>
              <w:rPr>
                <w:rFonts w:ascii="Arial" w:cs="Arial" w:eastAsia="Arial" w:hAnsi="Arial"/>
                <w:sz w:val="18"/>
                <w:szCs w:val="18"/>
                <w:color w:val="0000EE"/>
                <w:w w:val="95"/>
              </w:rPr>
            </w:pPr>
            <w:hyperlink r:id="rId369">
              <w:r>
                <w:rPr>
                  <w:rFonts w:ascii="Arial" w:cs="Arial" w:eastAsia="Arial" w:hAnsi="Arial"/>
                  <w:sz w:val="18"/>
                  <w:szCs w:val="18"/>
                  <w:color w:val="0000EE"/>
                  <w:w w:val="95"/>
                </w:rPr>
                <w:t>Nonemployee Director Compensation</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5"/>
              </w:rPr>
              <w:t>Form 8-K</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9"/>
              </w:rPr>
              <w:t>9/15/2021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001-39281</w:t>
            </w: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369">
              <w:r>
                <w:rPr>
                  <w:rFonts w:ascii="Arial" w:cs="Arial" w:eastAsia="Arial" w:hAnsi="Arial"/>
                  <w:sz w:val="18"/>
                  <w:szCs w:val="18"/>
                  <w:color w:val="0000EE"/>
                </w:rPr>
                <w:t>Policy</w:t>
              </w:r>
            </w:hyperlink>
          </w:p>
        </w:tc>
        <w:tc>
          <w:tcPr>
            <w:tcW w:w="16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4"/>
              </w:rPr>
              <w:t>(Exhibit 10.19)</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2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r:id="rId370">
              <w:r>
                <w:rPr>
                  <w:rFonts w:ascii="Arial" w:cs="Arial" w:eastAsia="Arial" w:hAnsi="Arial"/>
                  <w:sz w:val="18"/>
                  <w:szCs w:val="18"/>
                  <w:color w:val="0000EE"/>
                  <w:w w:val="90"/>
                </w:rPr>
                <w:t>Employment Agreement, dated</w:t>
              </w:r>
            </w:hyperlink>
          </w:p>
        </w:tc>
        <w:tc>
          <w:tcPr>
            <w:tcW w:w="620" w:type="dxa"/>
            <w:vAlign w:val="bottom"/>
            <w:tcBorders>
              <w:bottom w:val="single" w:sz="8" w:color="CCEEFF"/>
            </w:tcBorders>
            <w:gridSpan w:val="20"/>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0000EE"/>
              </w:rPr>
            </w:pPr>
            <w:hyperlink r:id="rId370">
              <w:r>
                <w:rPr>
                  <w:rFonts w:ascii="Arial" w:cs="Arial" w:eastAsia="Arial" w:hAnsi="Arial"/>
                  <w:sz w:val="18"/>
                  <w:szCs w:val="18"/>
                  <w:color w:val="0000EE"/>
                </w:rPr>
                <w:t>January 1, 2018, by and between</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4"/>
              </w:rPr>
              <w:t>(Exhibit 10.17)</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CCEEFF"/>
            </w:tcBorders>
            <w:gridSpan w:val="2"/>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0000EE"/>
              </w:rPr>
            </w:pPr>
            <w:hyperlink r:id="rId370">
              <w:r>
                <w:rPr>
                  <w:rFonts w:ascii="Arial" w:cs="Arial" w:eastAsia="Arial" w:hAnsi="Arial"/>
                  <w:sz w:val="18"/>
                  <w:szCs w:val="18"/>
                  <w:color w:val="0000EE"/>
                </w:rPr>
                <w:t>DeepGreen Metals Inc. and Gerard</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50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rPr>
            </w:pPr>
            <w:hyperlink r:id="rId370">
              <w:r>
                <w:rPr>
                  <w:rFonts w:ascii="Arial" w:cs="Arial" w:eastAsia="Arial" w:hAnsi="Arial"/>
                  <w:sz w:val="18"/>
                  <w:szCs w:val="18"/>
                  <w:color w:val="0000EE"/>
                </w:rPr>
                <w:t>Barron</w:t>
              </w:r>
            </w:hyperlink>
          </w:p>
        </w:tc>
        <w:tc>
          <w:tcPr>
            <w:tcW w:w="380" w:type="dxa"/>
            <w:vAlign w:val="bottom"/>
            <w:tcBorders>
              <w:top w:val="single" w:sz="8" w:color="CCEEFF"/>
            </w:tcBorders>
            <w:gridSpan w:val="13"/>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10.22+</w:t>
            </w:r>
          </w:p>
        </w:tc>
        <w:tc>
          <w:tcPr>
            <w:tcW w:w="120" w:type="dxa"/>
            <w:vAlign w:val="bottom"/>
          </w:tcPr>
          <w:p>
            <w:pPr>
              <w:spacing w:after="0"/>
              <w:rPr>
                <w:sz w:val="15"/>
                <w:szCs w:val="15"/>
                <w:color w:val="auto"/>
              </w:rPr>
            </w:pPr>
          </w:p>
        </w:tc>
        <w:tc>
          <w:tcPr>
            <w:tcW w:w="2240" w:type="dxa"/>
            <w:vAlign w:val="bottom"/>
            <w:tcBorders>
              <w:bottom w:val="single" w:sz="8" w:color="0000EE"/>
            </w:tcBorders>
            <w:gridSpan w:val="16"/>
          </w:tcPr>
          <w:p>
            <w:pPr>
              <w:spacing w:after="0" w:line="176" w:lineRule="exact"/>
              <w:rPr>
                <w:rFonts w:ascii="Arial" w:cs="Arial" w:eastAsia="Arial" w:hAnsi="Arial"/>
                <w:sz w:val="18"/>
                <w:szCs w:val="18"/>
                <w:color w:val="0000EE"/>
                <w:w w:val="89"/>
              </w:rPr>
            </w:pPr>
            <w:hyperlink r:id="rId371">
              <w:r>
                <w:rPr>
                  <w:rFonts w:ascii="Arial" w:cs="Arial" w:eastAsia="Arial" w:hAnsi="Arial"/>
                  <w:sz w:val="18"/>
                  <w:szCs w:val="18"/>
                  <w:color w:val="0000EE"/>
                  <w:w w:val="89"/>
                </w:rPr>
                <w:t>Employment Agreement, dated</w:t>
              </w:r>
            </w:hyperlink>
          </w:p>
        </w:tc>
        <w:tc>
          <w:tcPr>
            <w:tcW w:w="640" w:type="dxa"/>
            <w:vAlign w:val="bottom"/>
            <w:gridSpan w:val="21"/>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371">
              <w:r>
                <w:rPr>
                  <w:rFonts w:ascii="Arial" w:cs="Arial" w:eastAsia="Arial" w:hAnsi="Arial"/>
                  <w:sz w:val="18"/>
                  <w:szCs w:val="18"/>
                  <w:color w:val="0000EE"/>
                  <w:w w:val="88"/>
                </w:rPr>
                <w:t>July 25, 2017, by and between</w:t>
              </w:r>
            </w:hyperlink>
          </w:p>
        </w:tc>
        <w:tc>
          <w:tcPr>
            <w:tcW w:w="700" w:type="dxa"/>
            <w:vAlign w:val="bottom"/>
            <w:gridSpan w:val="23"/>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4"/>
              </w:rPr>
              <w:t>(Exhibit 10.18)</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371">
              <w:r>
                <w:rPr>
                  <w:rFonts w:ascii="Arial" w:cs="Arial" w:eastAsia="Arial" w:hAnsi="Arial"/>
                  <w:sz w:val="18"/>
                  <w:szCs w:val="18"/>
                  <w:color w:val="0000EE"/>
                  <w:w w:val="90"/>
                </w:rPr>
                <w:t>DeepGreen Metals Inc. and Anthony</w:t>
              </w:r>
            </w:hyperlink>
          </w:p>
        </w:tc>
        <w:tc>
          <w:tcPr>
            <w:tcW w:w="22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7"/>
          </w:tcPr>
          <w:p>
            <w:pPr>
              <w:spacing w:after="0" w:line="196" w:lineRule="exact"/>
              <w:rPr>
                <w:rFonts w:ascii="Arial" w:cs="Arial" w:eastAsia="Arial" w:hAnsi="Arial"/>
                <w:sz w:val="18"/>
                <w:szCs w:val="18"/>
                <w:color w:val="0000EE"/>
              </w:rPr>
            </w:pPr>
            <w:hyperlink r:id="rId371">
              <w:r>
                <w:rPr>
                  <w:rFonts w:ascii="Arial" w:cs="Arial" w:eastAsia="Arial" w:hAnsi="Arial"/>
                  <w:sz w:val="18"/>
                  <w:szCs w:val="18"/>
                  <w:color w:val="0000EE"/>
                </w:rPr>
                <w:t>O’Sullivan</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2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r:id="rId372">
              <w:r>
                <w:rPr>
                  <w:rFonts w:ascii="Arial" w:cs="Arial" w:eastAsia="Arial" w:hAnsi="Arial"/>
                  <w:sz w:val="18"/>
                  <w:szCs w:val="18"/>
                  <w:color w:val="0000EE"/>
                  <w:w w:val="90"/>
                </w:rPr>
                <w:t>Employment Agreement, dated</w:t>
              </w:r>
            </w:hyperlink>
          </w:p>
        </w:tc>
        <w:tc>
          <w:tcPr>
            <w:tcW w:w="620" w:type="dxa"/>
            <w:vAlign w:val="bottom"/>
            <w:tcBorders>
              <w:bottom w:val="single" w:sz="8" w:color="CCEEFF"/>
            </w:tcBorders>
            <w:gridSpan w:val="20"/>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560" w:type="dxa"/>
            <w:vAlign w:val="bottom"/>
            <w:tcBorders>
              <w:bottom w:val="single" w:sz="8" w:color="0000EE"/>
            </w:tcBorders>
            <w:gridSpan w:val="27"/>
            <w:shd w:val="clear" w:color="auto" w:fill="CCEEFF"/>
          </w:tcPr>
          <w:p>
            <w:pPr>
              <w:spacing w:after="0" w:line="196" w:lineRule="exact"/>
              <w:rPr>
                <w:rFonts w:ascii="Arial" w:cs="Arial" w:eastAsia="Arial" w:hAnsi="Arial"/>
                <w:sz w:val="18"/>
                <w:szCs w:val="18"/>
                <w:color w:val="0000EE"/>
                <w:w w:val="87"/>
              </w:rPr>
            </w:pPr>
            <w:hyperlink r:id="rId372">
              <w:r>
                <w:rPr>
                  <w:rFonts w:ascii="Arial" w:cs="Arial" w:eastAsia="Arial" w:hAnsi="Arial"/>
                  <w:sz w:val="18"/>
                  <w:szCs w:val="18"/>
                  <w:color w:val="0000EE"/>
                  <w:w w:val="87"/>
                </w:rPr>
                <w:t>September 1, 2018, by and between</w:t>
              </w:r>
            </w:hyperlink>
          </w:p>
        </w:tc>
        <w:tc>
          <w:tcPr>
            <w:tcW w:w="320" w:type="dxa"/>
            <w:vAlign w:val="bottom"/>
            <w:tcBorders>
              <w:bottom w:val="single" w:sz="8" w:color="CCEEFF"/>
            </w:tcBorders>
            <w:gridSpan w:val="10"/>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4"/>
              </w:rPr>
              <w:t>(Exhibit 10.19)</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0000EE"/>
                <w:w w:val="92"/>
              </w:rPr>
            </w:pPr>
            <w:hyperlink r:id="rId372">
              <w:r>
                <w:rPr>
                  <w:rFonts w:ascii="Arial" w:cs="Arial" w:eastAsia="Arial" w:hAnsi="Arial"/>
                  <w:sz w:val="18"/>
                  <w:szCs w:val="18"/>
                  <w:color w:val="0000EE"/>
                  <w:w w:val="92"/>
                </w:rPr>
                <w:t>DeepGreen Metals Inc. and Erika Ilves</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right w:val="single" w:sz="8" w:color="CCEEFF"/>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10.24.1+</w:t>
            </w:r>
          </w:p>
        </w:tc>
        <w:tc>
          <w:tcPr>
            <w:tcW w:w="120" w:type="dxa"/>
            <w:vAlign w:val="bottom"/>
          </w:tcPr>
          <w:p>
            <w:pPr>
              <w:spacing w:after="0"/>
              <w:rPr>
                <w:sz w:val="15"/>
                <w:szCs w:val="15"/>
                <w:color w:val="auto"/>
              </w:rPr>
            </w:pPr>
          </w:p>
        </w:tc>
        <w:tc>
          <w:tcPr>
            <w:tcW w:w="2600" w:type="dxa"/>
            <w:vAlign w:val="bottom"/>
            <w:tcBorders>
              <w:bottom w:val="single" w:sz="8" w:color="0000EE"/>
            </w:tcBorders>
            <w:gridSpan w:val="29"/>
          </w:tcPr>
          <w:p>
            <w:pPr>
              <w:spacing w:after="0" w:line="176" w:lineRule="exact"/>
              <w:rPr>
                <w:rFonts w:ascii="Arial" w:cs="Arial" w:eastAsia="Arial" w:hAnsi="Arial"/>
                <w:sz w:val="18"/>
                <w:szCs w:val="18"/>
                <w:color w:val="0000EE"/>
                <w:w w:val="90"/>
              </w:rPr>
            </w:pPr>
            <w:hyperlink r:id="rId373">
              <w:r>
                <w:rPr>
                  <w:rFonts w:ascii="Arial" w:cs="Arial" w:eastAsia="Arial" w:hAnsi="Arial"/>
                  <w:sz w:val="18"/>
                  <w:szCs w:val="18"/>
                  <w:color w:val="0000EE"/>
                  <w:w w:val="90"/>
                </w:rPr>
                <w:t>TMC the metals company Inc. 2021</w:t>
              </w:r>
            </w:hyperlink>
          </w:p>
        </w:tc>
        <w:tc>
          <w:tcPr>
            <w:tcW w:w="28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5"/>
              </w:rPr>
              <w:t>Form 8-K</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9"/>
              </w:rPr>
              <w:t>9/15/2021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001-39281</w:t>
            </w: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7"/>
          </w:tcPr>
          <w:p>
            <w:pPr>
              <w:spacing w:after="0" w:line="196" w:lineRule="exact"/>
              <w:rPr>
                <w:rFonts w:ascii="Arial" w:cs="Arial" w:eastAsia="Arial" w:hAnsi="Arial"/>
                <w:sz w:val="18"/>
                <w:szCs w:val="18"/>
                <w:color w:val="0000EE"/>
              </w:rPr>
            </w:pPr>
            <w:hyperlink r:id="rId373">
              <w:r>
                <w:rPr>
                  <w:rFonts w:ascii="Arial" w:cs="Arial" w:eastAsia="Arial" w:hAnsi="Arial"/>
                  <w:sz w:val="18"/>
                  <w:szCs w:val="18"/>
                  <w:color w:val="0000EE"/>
                </w:rPr>
                <w:t>Incentive Equity Plan</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10.23.1)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10.24.2+</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42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1"/>
              </w:rPr>
            </w:pPr>
            <w:hyperlink r:id="rId374">
              <w:r>
                <w:rPr>
                  <w:rFonts w:ascii="Arial" w:cs="Arial" w:eastAsia="Arial" w:hAnsi="Arial"/>
                  <w:sz w:val="18"/>
                  <w:szCs w:val="18"/>
                  <w:color w:val="0000EE"/>
                  <w:w w:val="91"/>
                </w:rPr>
                <w:t>Form of Stock Option Agreement</w:t>
              </w:r>
            </w:hyperlink>
          </w:p>
        </w:tc>
        <w:tc>
          <w:tcPr>
            <w:tcW w:w="460" w:type="dxa"/>
            <w:vAlign w:val="bottom"/>
            <w:tcBorders>
              <w:bottom w:val="single" w:sz="8" w:color="CCEEFF"/>
            </w:tcBorders>
            <w:gridSpan w:val="15"/>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5"/>
              </w:rPr>
              <w:t>Form 8-K</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9/15/2021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001-39281</w:t>
            </w: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640" w:type="dxa"/>
            <w:vAlign w:val="bottom"/>
            <w:tcBorders>
              <w:bottom w:val="single" w:sz="8" w:color="0000EE"/>
            </w:tcBorders>
            <w:gridSpan w:val="30"/>
            <w:shd w:val="clear" w:color="auto" w:fill="CCEEFF"/>
          </w:tcPr>
          <w:p>
            <w:pPr>
              <w:spacing w:after="0" w:line="196" w:lineRule="exact"/>
              <w:rPr>
                <w:rFonts w:ascii="Arial" w:cs="Arial" w:eastAsia="Arial" w:hAnsi="Arial"/>
                <w:sz w:val="18"/>
                <w:szCs w:val="18"/>
                <w:color w:val="0000EE"/>
                <w:w w:val="90"/>
              </w:rPr>
            </w:pPr>
            <w:hyperlink r:id="rId374">
              <w:r>
                <w:rPr>
                  <w:rFonts w:ascii="Arial" w:cs="Arial" w:eastAsia="Arial" w:hAnsi="Arial"/>
                  <w:sz w:val="18"/>
                  <w:szCs w:val="18"/>
                  <w:color w:val="0000EE"/>
                  <w:w w:val="90"/>
                </w:rPr>
                <w:t>under TMC the metals company Inc.</w:t>
              </w:r>
            </w:hyperlink>
          </w:p>
        </w:tc>
        <w:tc>
          <w:tcPr>
            <w:tcW w:w="240" w:type="dxa"/>
            <w:vAlign w:val="bottom"/>
            <w:tcBorders>
              <w:bottom w:val="single" w:sz="8" w:color="CCEEFF"/>
            </w:tcBorders>
            <w:gridSpan w:val="7"/>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10.23.2)</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0000EE"/>
              </w:rPr>
            </w:pPr>
            <w:hyperlink r:id="rId374">
              <w:r>
                <w:rPr>
                  <w:rFonts w:ascii="Arial" w:cs="Arial" w:eastAsia="Arial" w:hAnsi="Arial"/>
                  <w:sz w:val="18"/>
                  <w:szCs w:val="18"/>
                  <w:color w:val="0000EE"/>
                </w:rPr>
                <w:t>2021 Incentive Equity Plan</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10.24.3+</w:t>
            </w:r>
          </w:p>
        </w:tc>
        <w:tc>
          <w:tcPr>
            <w:tcW w:w="120" w:type="dxa"/>
            <w:vAlign w:val="bottom"/>
          </w:tcPr>
          <w:p>
            <w:pPr>
              <w:spacing w:after="0"/>
              <w:rPr>
                <w:sz w:val="15"/>
                <w:szCs w:val="15"/>
                <w:color w:val="auto"/>
              </w:rPr>
            </w:pPr>
          </w:p>
        </w:tc>
        <w:tc>
          <w:tcPr>
            <w:tcW w:w="2880" w:type="dxa"/>
            <w:vAlign w:val="bottom"/>
            <w:gridSpan w:val="37"/>
          </w:tcPr>
          <w:p>
            <w:pPr>
              <w:spacing w:after="0" w:line="176" w:lineRule="exact"/>
              <w:rPr>
                <w:rFonts w:ascii="Arial" w:cs="Arial" w:eastAsia="Arial" w:hAnsi="Arial"/>
                <w:sz w:val="18"/>
                <w:szCs w:val="18"/>
                <w:color w:val="0000EE"/>
              </w:rPr>
            </w:pPr>
            <w:hyperlink r:id="rId375">
              <w:r>
                <w:rPr>
                  <w:rFonts w:ascii="Arial" w:cs="Arial" w:eastAsia="Arial" w:hAnsi="Arial"/>
                  <w:sz w:val="18"/>
                  <w:szCs w:val="18"/>
                  <w:color w:val="0000EE"/>
                </w:rPr>
                <w:t>Form of Restricted Stock Unit</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5"/>
              </w:rPr>
              <w:t>Form 8-K</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9"/>
              </w:rPr>
              <w:t>9/15/2021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001-39281</w:t>
            </w: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375">
              <w:r>
                <w:rPr>
                  <w:rFonts w:ascii="Arial" w:cs="Arial" w:eastAsia="Arial" w:hAnsi="Arial"/>
                  <w:sz w:val="18"/>
                  <w:szCs w:val="18"/>
                  <w:color w:val="0000EE"/>
                  <w:w w:val="89"/>
                </w:rPr>
                <w:t>Agreement under TMC the metals</w:t>
              </w:r>
            </w:hyperlink>
          </w:p>
        </w:tc>
        <w:tc>
          <w:tcPr>
            <w:tcW w:w="42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10.23.3)</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7"/>
          </w:tcPr>
          <w:p>
            <w:pPr>
              <w:spacing w:after="0" w:line="196" w:lineRule="exact"/>
              <w:rPr>
                <w:rFonts w:ascii="Arial" w:cs="Arial" w:eastAsia="Arial" w:hAnsi="Arial"/>
                <w:sz w:val="18"/>
                <w:szCs w:val="18"/>
                <w:color w:val="0000EE"/>
              </w:rPr>
            </w:pPr>
            <w:hyperlink r:id="rId375">
              <w:r>
                <w:rPr>
                  <w:rFonts w:ascii="Arial" w:cs="Arial" w:eastAsia="Arial" w:hAnsi="Arial"/>
                  <w:sz w:val="18"/>
                  <w:szCs w:val="18"/>
                  <w:color w:val="0000EE"/>
                </w:rPr>
                <w:t>company Inc. 2021 Incentive Equity</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375">
              <w:r>
                <w:rPr>
                  <w:rFonts w:ascii="Arial" w:cs="Arial" w:eastAsia="Arial" w:hAnsi="Arial"/>
                  <w:sz w:val="18"/>
                  <w:szCs w:val="18"/>
                  <w:color w:val="0000EE"/>
                </w:rPr>
                <w:t>Plan</w:t>
              </w:r>
            </w:hyperlink>
          </w:p>
        </w:tc>
        <w:tc>
          <w:tcPr>
            <w:tcW w:w="28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66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90"/>
              </w:rPr>
            </w:pPr>
            <w:hyperlink r:id="rId376">
              <w:r>
                <w:rPr>
                  <w:rFonts w:ascii="Arial" w:cs="Arial" w:eastAsia="Arial" w:hAnsi="Arial"/>
                  <w:sz w:val="18"/>
                  <w:szCs w:val="18"/>
                  <w:color w:val="0000EE"/>
                  <w:w w:val="90"/>
                </w:rPr>
                <w:t>DeepGreen Metals Inc. Stock Option</w:t>
              </w:r>
            </w:hyperlink>
          </w:p>
        </w:tc>
        <w:tc>
          <w:tcPr>
            <w:tcW w:w="220" w:type="dxa"/>
            <w:vAlign w:val="bottom"/>
            <w:tcBorders>
              <w:bottom w:val="single" w:sz="8" w:color="CCEEFF"/>
            </w:tcBorders>
            <w:gridSpan w:val="6"/>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20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0"/>
              </w:rPr>
            </w:pPr>
            <w:hyperlink r:id="rId376">
              <w:r>
                <w:rPr>
                  <w:rFonts w:ascii="Arial" w:cs="Arial" w:eastAsia="Arial" w:hAnsi="Arial"/>
                  <w:sz w:val="18"/>
                  <w:szCs w:val="18"/>
                  <w:color w:val="0000EE"/>
                  <w:w w:val="90"/>
                </w:rPr>
                <w:t>Plan and form of Stock Option</w:t>
              </w:r>
            </w:hyperlink>
          </w:p>
        </w:tc>
        <w:tc>
          <w:tcPr>
            <w:tcW w:w="680" w:type="dxa"/>
            <w:vAlign w:val="bottom"/>
            <w:tcBorders>
              <w:bottom w:val="single" w:sz="8" w:color="CCEEFF"/>
            </w:tcBorders>
            <w:gridSpan w:val="2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4"/>
              </w:rPr>
              <w:t>(Exhibit 10.20)</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0000EE"/>
              </w:rPr>
            </w:pPr>
            <w:hyperlink r:id="rId376">
              <w:r>
                <w:rPr>
                  <w:rFonts w:ascii="Arial" w:cs="Arial" w:eastAsia="Arial" w:hAnsi="Arial"/>
                  <w:sz w:val="18"/>
                  <w:szCs w:val="18"/>
                  <w:color w:val="0000EE"/>
                </w:rPr>
                <w:t>Agreement thereunder</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10.26+</w:t>
            </w:r>
          </w:p>
        </w:tc>
        <w:tc>
          <w:tcPr>
            <w:tcW w:w="120" w:type="dxa"/>
            <w:vAlign w:val="bottom"/>
          </w:tcPr>
          <w:p>
            <w:pPr>
              <w:spacing w:after="0"/>
              <w:rPr>
                <w:sz w:val="15"/>
                <w:szCs w:val="15"/>
                <w:color w:val="auto"/>
              </w:rPr>
            </w:pPr>
          </w:p>
        </w:tc>
        <w:tc>
          <w:tcPr>
            <w:tcW w:w="2780" w:type="dxa"/>
            <w:vAlign w:val="bottom"/>
            <w:tcBorders>
              <w:bottom w:val="single" w:sz="8" w:color="0000EE"/>
            </w:tcBorders>
            <w:gridSpan w:val="35"/>
          </w:tcPr>
          <w:p>
            <w:pPr>
              <w:spacing w:after="0" w:line="176" w:lineRule="exact"/>
              <w:rPr>
                <w:rFonts w:ascii="Arial" w:cs="Arial" w:eastAsia="Arial" w:hAnsi="Arial"/>
                <w:sz w:val="18"/>
                <w:szCs w:val="18"/>
                <w:color w:val="0000EE"/>
                <w:w w:val="89"/>
              </w:rPr>
            </w:pPr>
            <w:hyperlink r:id="rId377">
              <w:r>
                <w:rPr>
                  <w:rFonts w:ascii="Arial" w:cs="Arial" w:eastAsia="Arial" w:hAnsi="Arial"/>
                  <w:sz w:val="18"/>
                  <w:szCs w:val="18"/>
                  <w:color w:val="0000EE"/>
                  <w:w w:val="89"/>
                </w:rPr>
                <w:t>Amendment to DeepGreen Metals Inc.</w:t>
              </w:r>
            </w:hyperlink>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7"/>
          </w:tcPr>
          <w:p>
            <w:pPr>
              <w:spacing w:after="0" w:line="196" w:lineRule="exact"/>
              <w:rPr>
                <w:rFonts w:ascii="Arial" w:cs="Arial" w:eastAsia="Arial" w:hAnsi="Arial"/>
                <w:sz w:val="18"/>
                <w:szCs w:val="18"/>
                <w:color w:val="0000EE"/>
              </w:rPr>
            </w:pPr>
            <w:hyperlink r:id="rId377">
              <w:r>
                <w:rPr>
                  <w:rFonts w:ascii="Arial" w:cs="Arial" w:eastAsia="Arial" w:hAnsi="Arial"/>
                  <w:sz w:val="18"/>
                  <w:szCs w:val="18"/>
                  <w:color w:val="0000EE"/>
                </w:rPr>
                <w:t>Stock Option Plan</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4"/>
              </w:rPr>
              <w:t>(Exhibit 10.21)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700" w:type="dxa"/>
            <w:vAlign w:val="bottom"/>
            <w:tcBorders>
              <w:bottom w:val="single" w:sz="8" w:color="0000EE"/>
            </w:tcBorders>
            <w:gridSpan w:val="32"/>
            <w:shd w:val="clear" w:color="auto" w:fill="CCEEFF"/>
          </w:tcPr>
          <w:p>
            <w:pPr>
              <w:spacing w:after="0" w:line="176" w:lineRule="exact"/>
              <w:rPr>
                <w:rFonts w:ascii="Arial" w:cs="Arial" w:eastAsia="Arial" w:hAnsi="Arial"/>
                <w:sz w:val="18"/>
                <w:szCs w:val="18"/>
                <w:color w:val="0000EE"/>
                <w:w w:val="92"/>
              </w:rPr>
            </w:pPr>
            <w:hyperlink r:id="rId378">
              <w:r>
                <w:rPr>
                  <w:rFonts w:ascii="Arial" w:cs="Arial" w:eastAsia="Arial" w:hAnsi="Arial"/>
                  <w:sz w:val="18"/>
                  <w:szCs w:val="18"/>
                  <w:color w:val="0000EE"/>
                  <w:w w:val="92"/>
                </w:rPr>
                <w:t>Letter from Marcum LLP to the SEC,</w:t>
              </w:r>
            </w:hyperlink>
          </w:p>
        </w:tc>
        <w:tc>
          <w:tcPr>
            <w:tcW w:w="180" w:type="dxa"/>
            <w:vAlign w:val="bottom"/>
            <w:tcBorders>
              <w:bottom w:val="single" w:sz="8" w:color="CCEEFF"/>
            </w:tcBorders>
            <w:gridSpan w:val="5"/>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5"/>
              </w:rPr>
              <w:t>Form 8-K</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9/15/2021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001-39281</w:t>
            </w: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0000EE"/>
              </w:rPr>
            </w:pPr>
            <w:hyperlink r:id="rId378">
              <w:r>
                <w:rPr>
                  <w:rFonts w:ascii="Arial" w:cs="Arial" w:eastAsia="Arial" w:hAnsi="Arial"/>
                  <w:sz w:val="18"/>
                  <w:szCs w:val="18"/>
                  <w:color w:val="0000EE"/>
                </w:rPr>
                <w:t>dated September 15, 2021</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6"/>
              </w:rPr>
              <w:t>(Exhibit 16.1)</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21.1</w:t>
            </w:r>
          </w:p>
        </w:tc>
        <w:tc>
          <w:tcPr>
            <w:tcW w:w="120" w:type="dxa"/>
            <w:vAlign w:val="bottom"/>
          </w:tcPr>
          <w:p>
            <w:pPr>
              <w:spacing w:after="0"/>
              <w:rPr>
                <w:sz w:val="15"/>
                <w:szCs w:val="15"/>
                <w:color w:val="auto"/>
              </w:rPr>
            </w:pPr>
          </w:p>
        </w:tc>
        <w:tc>
          <w:tcPr>
            <w:tcW w:w="2880" w:type="dxa"/>
            <w:vAlign w:val="bottom"/>
            <w:gridSpan w:val="37"/>
          </w:tcPr>
          <w:p>
            <w:pPr>
              <w:spacing w:after="0" w:line="176" w:lineRule="exact"/>
              <w:rPr>
                <w:rFonts w:ascii="Arial" w:cs="Arial" w:eastAsia="Arial" w:hAnsi="Arial"/>
                <w:sz w:val="18"/>
                <w:szCs w:val="18"/>
                <w:color w:val="215E9E"/>
              </w:rPr>
            </w:pPr>
            <w:hyperlink w:anchor="page321">
              <w:r>
                <w:rPr>
                  <w:rFonts w:ascii="Arial" w:cs="Arial" w:eastAsia="Arial" w:hAnsi="Arial"/>
                  <w:sz w:val="18"/>
                  <w:szCs w:val="18"/>
                  <w:color w:val="215E9E"/>
                </w:rPr>
                <w:t>List of Subsidiaries</w:t>
              </w:r>
            </w:hyperlink>
          </w:p>
        </w:tc>
        <w:tc>
          <w:tcPr>
            <w:tcW w:w="7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88"/>
        </w:trPr>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top w:val="single" w:sz="8" w:color="215E9E"/>
            </w:tcBorders>
          </w:tcPr>
          <w:p>
            <w:pPr>
              <w:spacing w:after="0"/>
              <w:rPr>
                <w:sz w:val="7"/>
                <w:szCs w:val="7"/>
                <w:color w:val="auto"/>
              </w:rPr>
            </w:pPr>
          </w:p>
        </w:tc>
        <w:tc>
          <w:tcPr>
            <w:tcW w:w="140" w:type="dxa"/>
            <w:vAlign w:val="bottom"/>
            <w:tcBorders>
              <w:top w:val="single" w:sz="8" w:color="215E9E"/>
            </w:tcBorders>
          </w:tcPr>
          <w:p>
            <w:pPr>
              <w:spacing w:after="0"/>
              <w:rPr>
                <w:sz w:val="7"/>
                <w:szCs w:val="7"/>
                <w:color w:val="auto"/>
              </w:rPr>
            </w:pPr>
          </w:p>
        </w:tc>
        <w:tc>
          <w:tcPr>
            <w:tcW w:w="40" w:type="dxa"/>
            <w:vAlign w:val="bottom"/>
            <w:tcBorders>
              <w:top w:val="single" w:sz="8" w:color="215E9E"/>
            </w:tcBorders>
          </w:tcPr>
          <w:p>
            <w:pPr>
              <w:spacing w:after="0"/>
              <w:rPr>
                <w:sz w:val="7"/>
                <w:szCs w:val="7"/>
                <w:color w:val="auto"/>
              </w:rPr>
            </w:pPr>
          </w:p>
        </w:tc>
        <w:tc>
          <w:tcPr>
            <w:tcW w:w="300" w:type="dxa"/>
            <w:vAlign w:val="bottom"/>
            <w:tcBorders>
              <w:top w:val="single" w:sz="8" w:color="215E9E"/>
            </w:tcBorders>
          </w:tcPr>
          <w:p>
            <w:pPr>
              <w:spacing w:after="0"/>
              <w:rPr>
                <w:sz w:val="7"/>
                <w:szCs w:val="7"/>
                <w:color w:val="auto"/>
              </w:rPr>
            </w:pPr>
          </w:p>
        </w:tc>
        <w:tc>
          <w:tcPr>
            <w:tcW w:w="40" w:type="dxa"/>
            <w:vAlign w:val="bottom"/>
            <w:tcBorders>
              <w:top w:val="single" w:sz="8" w:color="215E9E"/>
            </w:tcBorders>
          </w:tcPr>
          <w:p>
            <w:pPr>
              <w:spacing w:after="0"/>
              <w:rPr>
                <w:sz w:val="7"/>
                <w:szCs w:val="7"/>
                <w:color w:val="auto"/>
              </w:rPr>
            </w:pPr>
          </w:p>
        </w:tc>
        <w:tc>
          <w:tcPr>
            <w:tcW w:w="260" w:type="dxa"/>
            <w:vAlign w:val="bottom"/>
            <w:tcBorders>
              <w:top w:val="single" w:sz="8" w:color="215E9E"/>
            </w:tcBorders>
          </w:tcPr>
          <w:p>
            <w:pPr>
              <w:spacing w:after="0"/>
              <w:rPr>
                <w:sz w:val="7"/>
                <w:szCs w:val="7"/>
                <w:color w:val="auto"/>
              </w:rPr>
            </w:pPr>
          </w:p>
        </w:tc>
        <w:tc>
          <w:tcPr>
            <w:tcW w:w="220" w:type="dxa"/>
            <w:vAlign w:val="bottom"/>
            <w:tcBorders>
              <w:top w:val="single" w:sz="8" w:color="215E9E"/>
            </w:tcBorders>
          </w:tcPr>
          <w:p>
            <w:pPr>
              <w:spacing w:after="0"/>
              <w:rPr>
                <w:sz w:val="7"/>
                <w:szCs w:val="7"/>
                <w:color w:val="auto"/>
              </w:rPr>
            </w:pPr>
          </w:p>
        </w:tc>
        <w:tc>
          <w:tcPr>
            <w:tcW w:w="80" w:type="dxa"/>
            <w:vAlign w:val="bottom"/>
            <w:tcBorders>
              <w:top w:val="single" w:sz="8" w:color="215E9E"/>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Borders>
              <w:right w:val="single" w:sz="8" w:color="CCEEFF"/>
            </w:tcBorders>
            <w:shd w:val="clear" w:color="auto" w:fill="CCEEFF"/>
          </w:tcPr>
          <w:p>
            <w:pPr>
              <w:spacing w:after="0"/>
              <w:rPr>
                <w:sz w:val="15"/>
                <w:szCs w:val="15"/>
                <w:color w:val="auto"/>
              </w:rPr>
            </w:pPr>
          </w:p>
        </w:tc>
        <w:tc>
          <w:tcPr>
            <w:tcW w:w="2880" w:type="dxa"/>
            <w:vAlign w:val="bottom"/>
            <w:gridSpan w:val="37"/>
            <w:shd w:val="clear" w:color="auto" w:fill="CCEEFF"/>
          </w:tcPr>
          <w:p>
            <w:pPr>
              <w:spacing w:after="0" w:line="176" w:lineRule="exact"/>
              <w:rPr>
                <w:rFonts w:ascii="Arial" w:cs="Arial" w:eastAsia="Arial" w:hAnsi="Arial"/>
                <w:sz w:val="18"/>
                <w:szCs w:val="18"/>
                <w:color w:val="215E9E"/>
              </w:rPr>
            </w:pPr>
            <w:hyperlink w:anchor="page322">
              <w:r>
                <w:rPr>
                  <w:rFonts w:ascii="Arial" w:cs="Arial" w:eastAsia="Arial" w:hAnsi="Arial"/>
                  <w:sz w:val="18"/>
                  <w:szCs w:val="18"/>
                  <w:color w:val="215E9E"/>
                </w:rPr>
                <w:t>Consent of Marcum LLP, former</w:t>
              </w:r>
            </w:hyperlink>
          </w:p>
        </w:tc>
        <w:tc>
          <w:tcPr>
            <w:tcW w:w="78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20" w:type="dxa"/>
            <w:vAlign w:val="bottom"/>
            <w:gridSpan w:val="5"/>
            <w:shd w:val="clear" w:color="auto" w:fill="215E9E"/>
          </w:tcPr>
          <w:p>
            <w:pPr>
              <w:spacing w:after="0" w:line="20" w:lineRule="exact"/>
              <w:rPr>
                <w:sz w:val="1"/>
                <w:szCs w:val="1"/>
                <w:color w:val="auto"/>
              </w:rPr>
            </w:pPr>
          </w:p>
        </w:tc>
        <w:tc>
          <w:tcPr>
            <w:tcW w:w="1340" w:type="dxa"/>
            <w:vAlign w:val="bottom"/>
            <w:tcBorders>
              <w:right w:val="single" w:sz="8" w:color="215E9E"/>
            </w:tcBorders>
            <w:gridSpan w:val="8"/>
            <w:shd w:val="clear" w:color="auto" w:fill="215E9E"/>
          </w:tcPr>
          <w:p>
            <w:pPr>
              <w:spacing w:after="0" w:line="20" w:lineRule="exact"/>
              <w:rPr>
                <w:sz w:val="1"/>
                <w:szCs w:val="1"/>
                <w:color w:val="auto"/>
              </w:rPr>
            </w:pPr>
          </w:p>
        </w:tc>
        <w:tc>
          <w:tcPr>
            <w:tcW w:w="120" w:type="dxa"/>
            <w:vAlign w:val="bottom"/>
            <w:gridSpan w:val="5"/>
            <w:shd w:val="clear" w:color="auto" w:fill="215E9E"/>
          </w:tcPr>
          <w:p>
            <w:pPr>
              <w:spacing w:after="0" w:line="20" w:lineRule="exact"/>
              <w:rPr>
                <w:sz w:val="1"/>
                <w:szCs w:val="1"/>
                <w:color w:val="auto"/>
              </w:rPr>
            </w:pPr>
          </w:p>
        </w:tc>
        <w:tc>
          <w:tcPr>
            <w:tcW w:w="80" w:type="dxa"/>
            <w:vAlign w:val="bottom"/>
            <w:tcBorders>
              <w:right w:val="single" w:sz="8" w:color="CCEEFF"/>
            </w:tcBorders>
            <w:gridSpan w:val="2"/>
            <w:shd w:val="clear" w:color="auto" w:fill="215E9E"/>
          </w:tcPr>
          <w:p>
            <w:pPr>
              <w:spacing w:after="0" w:line="20" w:lineRule="exact"/>
              <w:rPr>
                <w:sz w:val="1"/>
                <w:szCs w:val="1"/>
                <w:color w:val="auto"/>
              </w:rPr>
            </w:pPr>
          </w:p>
        </w:tc>
        <w:tc>
          <w:tcPr>
            <w:tcW w:w="180" w:type="dxa"/>
            <w:vAlign w:val="bottom"/>
            <w:gridSpan w:val="6"/>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300" w:type="dxa"/>
            <w:vAlign w:val="bottom"/>
            <w:gridSpan w:val="9"/>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215E9E"/>
              </w:rPr>
            </w:pPr>
            <w:hyperlink w:anchor="page322">
              <w:r>
                <w:rPr>
                  <w:rFonts w:ascii="Arial" w:cs="Arial" w:eastAsia="Arial" w:hAnsi="Arial"/>
                  <w:sz w:val="18"/>
                  <w:szCs w:val="18"/>
                  <w:color w:val="215E9E"/>
                </w:rPr>
                <w:t>independent registered public</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20" w:type="dxa"/>
            <w:vAlign w:val="bottom"/>
            <w:gridSpan w:val="5"/>
            <w:shd w:val="clear" w:color="auto" w:fill="215E9E"/>
          </w:tcPr>
          <w:p>
            <w:pPr>
              <w:spacing w:after="0" w:line="20" w:lineRule="exact"/>
              <w:rPr>
                <w:sz w:val="1"/>
                <w:szCs w:val="1"/>
                <w:color w:val="auto"/>
              </w:rPr>
            </w:pPr>
          </w:p>
        </w:tc>
        <w:tc>
          <w:tcPr>
            <w:tcW w:w="1340" w:type="dxa"/>
            <w:vAlign w:val="bottom"/>
            <w:tcBorders>
              <w:right w:val="single" w:sz="8" w:color="215E9E"/>
            </w:tcBorders>
            <w:gridSpan w:val="8"/>
            <w:shd w:val="clear" w:color="auto" w:fill="215E9E"/>
          </w:tcPr>
          <w:p>
            <w:pPr>
              <w:spacing w:after="0" w:line="20" w:lineRule="exact"/>
              <w:rPr>
                <w:sz w:val="1"/>
                <w:szCs w:val="1"/>
                <w:color w:val="auto"/>
              </w:rPr>
            </w:pPr>
          </w:p>
        </w:tc>
        <w:tc>
          <w:tcPr>
            <w:tcW w:w="120" w:type="dxa"/>
            <w:vAlign w:val="bottom"/>
            <w:gridSpan w:val="5"/>
            <w:shd w:val="clear" w:color="auto" w:fill="CCEEFF"/>
          </w:tcPr>
          <w:p>
            <w:pPr>
              <w:spacing w:after="0" w:line="20" w:lineRule="exact"/>
              <w:rPr>
                <w:sz w:val="1"/>
                <w:szCs w:val="1"/>
                <w:color w:val="auto"/>
              </w:rPr>
            </w:pPr>
          </w:p>
        </w:tc>
        <w:tc>
          <w:tcPr>
            <w:tcW w:w="80" w:type="dxa"/>
            <w:vAlign w:val="bottom"/>
            <w:tcBorders>
              <w:right w:val="single" w:sz="8" w:color="CCEEFF"/>
            </w:tcBorders>
            <w:gridSpan w:val="2"/>
            <w:shd w:val="clear" w:color="auto" w:fill="CCEEFF"/>
          </w:tcPr>
          <w:p>
            <w:pPr>
              <w:spacing w:after="0" w:line="20" w:lineRule="exact"/>
              <w:rPr>
                <w:sz w:val="1"/>
                <w:szCs w:val="1"/>
                <w:color w:val="auto"/>
              </w:rPr>
            </w:pPr>
          </w:p>
        </w:tc>
        <w:tc>
          <w:tcPr>
            <w:tcW w:w="180" w:type="dxa"/>
            <w:vAlign w:val="bottom"/>
            <w:gridSpan w:val="6"/>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300" w:type="dxa"/>
            <w:vAlign w:val="bottom"/>
            <w:gridSpan w:val="9"/>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215E9E"/>
              </w:rPr>
            </w:pPr>
            <w:hyperlink w:anchor="page322">
              <w:r>
                <w:rPr>
                  <w:rFonts w:ascii="Arial" w:cs="Arial" w:eastAsia="Arial" w:hAnsi="Arial"/>
                  <w:sz w:val="18"/>
                  <w:szCs w:val="18"/>
                  <w:color w:val="215E9E"/>
                </w:rPr>
                <w:t>accounting firm of TMC the metals</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20" w:type="dxa"/>
            <w:vAlign w:val="bottom"/>
            <w:gridSpan w:val="5"/>
            <w:shd w:val="clear" w:color="auto" w:fill="215E9E"/>
          </w:tcPr>
          <w:p>
            <w:pPr>
              <w:spacing w:after="0" w:line="20" w:lineRule="exact"/>
              <w:rPr>
                <w:sz w:val="1"/>
                <w:szCs w:val="1"/>
                <w:color w:val="auto"/>
              </w:rPr>
            </w:pPr>
          </w:p>
        </w:tc>
        <w:tc>
          <w:tcPr>
            <w:tcW w:w="1340" w:type="dxa"/>
            <w:vAlign w:val="bottom"/>
            <w:tcBorders>
              <w:right w:val="single" w:sz="8" w:color="215E9E"/>
            </w:tcBorders>
            <w:gridSpan w:val="8"/>
            <w:shd w:val="clear" w:color="auto" w:fill="215E9E"/>
          </w:tcPr>
          <w:p>
            <w:pPr>
              <w:spacing w:after="0" w:line="20" w:lineRule="exact"/>
              <w:rPr>
                <w:sz w:val="1"/>
                <w:szCs w:val="1"/>
                <w:color w:val="auto"/>
              </w:rPr>
            </w:pPr>
          </w:p>
        </w:tc>
        <w:tc>
          <w:tcPr>
            <w:tcW w:w="120" w:type="dxa"/>
            <w:vAlign w:val="bottom"/>
            <w:gridSpan w:val="5"/>
            <w:shd w:val="clear" w:color="auto" w:fill="215E9E"/>
          </w:tcPr>
          <w:p>
            <w:pPr>
              <w:spacing w:after="0" w:line="20" w:lineRule="exact"/>
              <w:rPr>
                <w:sz w:val="1"/>
                <w:szCs w:val="1"/>
                <w:color w:val="auto"/>
              </w:rPr>
            </w:pPr>
          </w:p>
        </w:tc>
        <w:tc>
          <w:tcPr>
            <w:tcW w:w="80" w:type="dxa"/>
            <w:vAlign w:val="bottom"/>
            <w:tcBorders>
              <w:right w:val="single" w:sz="8" w:color="215E9E"/>
            </w:tcBorders>
            <w:gridSpan w:val="2"/>
            <w:shd w:val="clear" w:color="auto" w:fill="215E9E"/>
          </w:tcPr>
          <w:p>
            <w:pPr>
              <w:spacing w:after="0" w:line="20" w:lineRule="exact"/>
              <w:rPr>
                <w:sz w:val="1"/>
                <w:szCs w:val="1"/>
                <w:color w:val="auto"/>
              </w:rPr>
            </w:pPr>
          </w:p>
        </w:tc>
        <w:tc>
          <w:tcPr>
            <w:tcW w:w="180" w:type="dxa"/>
            <w:vAlign w:val="bottom"/>
            <w:gridSpan w:val="6"/>
            <w:shd w:val="clear" w:color="auto" w:fill="215E9E"/>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300" w:type="dxa"/>
            <w:vAlign w:val="bottom"/>
            <w:gridSpan w:val="9"/>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215E9E"/>
              </w:rPr>
            </w:pPr>
            <w:hyperlink w:anchor="page322">
              <w:r>
                <w:rPr>
                  <w:rFonts w:ascii="Arial" w:cs="Arial" w:eastAsia="Arial" w:hAnsi="Arial"/>
                  <w:sz w:val="18"/>
                  <w:szCs w:val="18"/>
                  <w:color w:val="215E9E"/>
                </w:rPr>
                <w:t>company Inc. (formerly Sustainable</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20" w:type="dxa"/>
            <w:vAlign w:val="bottom"/>
            <w:gridSpan w:val="5"/>
            <w:shd w:val="clear" w:color="auto" w:fill="215E9E"/>
          </w:tcPr>
          <w:p>
            <w:pPr>
              <w:spacing w:after="0" w:line="20" w:lineRule="exact"/>
              <w:rPr>
                <w:sz w:val="1"/>
                <w:szCs w:val="1"/>
                <w:color w:val="auto"/>
              </w:rPr>
            </w:pPr>
          </w:p>
        </w:tc>
        <w:tc>
          <w:tcPr>
            <w:tcW w:w="1340" w:type="dxa"/>
            <w:vAlign w:val="bottom"/>
            <w:tcBorders>
              <w:right w:val="single" w:sz="8" w:color="215E9E"/>
            </w:tcBorders>
            <w:gridSpan w:val="8"/>
            <w:shd w:val="clear" w:color="auto" w:fill="215E9E"/>
          </w:tcPr>
          <w:p>
            <w:pPr>
              <w:spacing w:after="0" w:line="20" w:lineRule="exact"/>
              <w:rPr>
                <w:sz w:val="1"/>
                <w:szCs w:val="1"/>
                <w:color w:val="auto"/>
              </w:rPr>
            </w:pPr>
          </w:p>
        </w:tc>
        <w:tc>
          <w:tcPr>
            <w:tcW w:w="120" w:type="dxa"/>
            <w:vAlign w:val="bottom"/>
            <w:gridSpan w:val="5"/>
            <w:shd w:val="clear" w:color="auto" w:fill="215E9E"/>
          </w:tcPr>
          <w:p>
            <w:pPr>
              <w:spacing w:after="0" w:line="20" w:lineRule="exact"/>
              <w:rPr>
                <w:sz w:val="1"/>
                <w:szCs w:val="1"/>
                <w:color w:val="auto"/>
              </w:rPr>
            </w:pPr>
          </w:p>
        </w:tc>
        <w:tc>
          <w:tcPr>
            <w:tcW w:w="80" w:type="dxa"/>
            <w:vAlign w:val="bottom"/>
            <w:tcBorders>
              <w:right w:val="single" w:sz="8" w:color="215E9E"/>
            </w:tcBorders>
            <w:gridSpan w:val="2"/>
            <w:shd w:val="clear" w:color="auto" w:fill="215E9E"/>
          </w:tcPr>
          <w:p>
            <w:pPr>
              <w:spacing w:after="0" w:line="20" w:lineRule="exact"/>
              <w:rPr>
                <w:sz w:val="1"/>
                <w:szCs w:val="1"/>
                <w:color w:val="auto"/>
              </w:rPr>
            </w:pPr>
          </w:p>
        </w:tc>
        <w:tc>
          <w:tcPr>
            <w:tcW w:w="180" w:type="dxa"/>
            <w:vAlign w:val="bottom"/>
            <w:gridSpan w:val="6"/>
            <w:shd w:val="clear" w:color="auto" w:fill="215E9E"/>
          </w:tcPr>
          <w:p>
            <w:pPr>
              <w:spacing w:after="0" w:line="20" w:lineRule="exact"/>
              <w:rPr>
                <w:sz w:val="1"/>
                <w:szCs w:val="1"/>
                <w:color w:val="auto"/>
              </w:rPr>
            </w:pPr>
          </w:p>
        </w:tc>
        <w:tc>
          <w:tcPr>
            <w:tcW w:w="40" w:type="dxa"/>
            <w:vAlign w:val="bottom"/>
            <w:gridSpan w:val="2"/>
            <w:shd w:val="clear" w:color="auto" w:fill="215E9E"/>
          </w:tcPr>
          <w:p>
            <w:pPr>
              <w:spacing w:after="0" w:line="20" w:lineRule="exact"/>
              <w:rPr>
                <w:sz w:val="1"/>
                <w:szCs w:val="1"/>
                <w:color w:val="auto"/>
              </w:rPr>
            </w:pPr>
          </w:p>
        </w:tc>
        <w:tc>
          <w:tcPr>
            <w:tcW w:w="300" w:type="dxa"/>
            <w:vAlign w:val="bottom"/>
            <w:gridSpan w:val="9"/>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215E9E"/>
              </w:rPr>
            </w:pPr>
            <w:hyperlink w:anchor="page322">
              <w:r>
                <w:rPr>
                  <w:rFonts w:ascii="Arial" w:cs="Arial" w:eastAsia="Arial" w:hAnsi="Arial"/>
                  <w:sz w:val="18"/>
                  <w:szCs w:val="18"/>
                  <w:color w:val="215E9E"/>
                </w:rPr>
                <w:t>Opportunities Acquisition Corp.)</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300" w:type="dxa"/>
            <w:vAlign w:val="bottom"/>
            <w:tcBorders>
              <w:top w:val="single" w:sz="8" w:color="215E9E"/>
            </w:tcBorders>
            <w:shd w:val="clear" w:color="auto" w:fill="CCEEFF"/>
          </w:tcPr>
          <w:p>
            <w:pPr>
              <w:spacing w:after="0"/>
              <w:rPr>
                <w:sz w:val="5"/>
                <w:szCs w:val="5"/>
                <w:color w:val="auto"/>
              </w:rPr>
            </w:pPr>
          </w:p>
        </w:tc>
        <w:tc>
          <w:tcPr>
            <w:tcW w:w="140" w:type="dxa"/>
            <w:vAlign w:val="bottom"/>
            <w:tcBorders>
              <w:top w:val="single" w:sz="8" w:color="215E9E"/>
            </w:tcBorders>
            <w:shd w:val="clear" w:color="auto" w:fill="CCEEFF"/>
          </w:tcPr>
          <w:p>
            <w:pPr>
              <w:spacing w:after="0"/>
              <w:rPr>
                <w:sz w:val="5"/>
                <w:szCs w:val="5"/>
                <w:color w:val="auto"/>
              </w:rPr>
            </w:pPr>
          </w:p>
        </w:tc>
        <w:tc>
          <w:tcPr>
            <w:tcW w:w="40" w:type="dxa"/>
            <w:vAlign w:val="bottom"/>
            <w:tcBorders>
              <w:top w:val="single" w:sz="8" w:color="215E9E"/>
            </w:tcBorders>
            <w:shd w:val="clear" w:color="auto" w:fill="CCEEFF"/>
          </w:tcPr>
          <w:p>
            <w:pPr>
              <w:spacing w:after="0"/>
              <w:rPr>
                <w:sz w:val="5"/>
                <w:szCs w:val="5"/>
                <w:color w:val="auto"/>
              </w:rPr>
            </w:pPr>
          </w:p>
        </w:tc>
        <w:tc>
          <w:tcPr>
            <w:tcW w:w="300" w:type="dxa"/>
            <w:vAlign w:val="bottom"/>
            <w:tcBorders>
              <w:top w:val="single" w:sz="8" w:color="215E9E"/>
            </w:tcBorders>
            <w:shd w:val="clear" w:color="auto" w:fill="CCEEFF"/>
          </w:tcPr>
          <w:p>
            <w:pPr>
              <w:spacing w:after="0"/>
              <w:rPr>
                <w:sz w:val="5"/>
                <w:szCs w:val="5"/>
                <w:color w:val="auto"/>
              </w:rPr>
            </w:pPr>
          </w:p>
        </w:tc>
        <w:tc>
          <w:tcPr>
            <w:tcW w:w="40" w:type="dxa"/>
            <w:vAlign w:val="bottom"/>
            <w:tcBorders>
              <w:top w:val="single" w:sz="8" w:color="215E9E"/>
            </w:tcBorders>
            <w:shd w:val="clear" w:color="auto" w:fill="CCEEFF"/>
          </w:tcPr>
          <w:p>
            <w:pPr>
              <w:spacing w:after="0"/>
              <w:rPr>
                <w:sz w:val="5"/>
                <w:szCs w:val="5"/>
                <w:color w:val="auto"/>
              </w:rPr>
            </w:pPr>
          </w:p>
        </w:tc>
        <w:tc>
          <w:tcPr>
            <w:tcW w:w="260" w:type="dxa"/>
            <w:vAlign w:val="bottom"/>
            <w:tcBorders>
              <w:top w:val="single" w:sz="8" w:color="215E9E"/>
            </w:tcBorders>
            <w:shd w:val="clear" w:color="auto" w:fill="CCEEFF"/>
          </w:tcPr>
          <w:p>
            <w:pPr>
              <w:spacing w:after="0"/>
              <w:rPr>
                <w:sz w:val="5"/>
                <w:szCs w:val="5"/>
                <w:color w:val="auto"/>
              </w:rPr>
            </w:pPr>
          </w:p>
        </w:tc>
        <w:tc>
          <w:tcPr>
            <w:tcW w:w="220" w:type="dxa"/>
            <w:vAlign w:val="bottom"/>
            <w:tcBorders>
              <w:top w:val="single" w:sz="8" w:color="215E9E"/>
            </w:tcBorders>
            <w:shd w:val="clear" w:color="auto" w:fill="CCEEFF"/>
          </w:tcPr>
          <w:p>
            <w:pPr>
              <w:spacing w:after="0"/>
              <w:rPr>
                <w:sz w:val="5"/>
                <w:szCs w:val="5"/>
                <w:color w:val="auto"/>
              </w:rPr>
            </w:pPr>
          </w:p>
        </w:tc>
        <w:tc>
          <w:tcPr>
            <w:tcW w:w="80" w:type="dxa"/>
            <w:vAlign w:val="bottom"/>
            <w:tcBorders>
              <w:top w:val="single" w:sz="8" w:color="215E9E"/>
            </w:tcBorders>
            <w:shd w:val="clear" w:color="auto" w:fill="CCEEFF"/>
          </w:tcPr>
          <w:p>
            <w:pPr>
              <w:spacing w:after="0"/>
              <w:rPr>
                <w:sz w:val="5"/>
                <w:szCs w:val="5"/>
                <w:color w:val="auto"/>
              </w:rPr>
            </w:pPr>
          </w:p>
        </w:tc>
        <w:tc>
          <w:tcPr>
            <w:tcW w:w="160" w:type="dxa"/>
            <w:vAlign w:val="bottom"/>
            <w:tcBorders>
              <w:top w:val="single" w:sz="8" w:color="215E9E"/>
            </w:tcBorders>
            <w:shd w:val="clear" w:color="auto" w:fill="CCEEFF"/>
          </w:tcPr>
          <w:p>
            <w:pPr>
              <w:spacing w:after="0"/>
              <w:rPr>
                <w:sz w:val="5"/>
                <w:szCs w:val="5"/>
                <w:color w:val="auto"/>
              </w:rPr>
            </w:pPr>
          </w:p>
        </w:tc>
        <w:tc>
          <w:tcPr>
            <w:tcW w:w="60" w:type="dxa"/>
            <w:vAlign w:val="bottom"/>
            <w:tcBorders>
              <w:top w:val="single" w:sz="8" w:color="215E9E"/>
            </w:tcBorders>
            <w:shd w:val="clear" w:color="auto" w:fill="CCEEFF"/>
          </w:tcPr>
          <w:p>
            <w:pPr>
              <w:spacing w:after="0"/>
              <w:rPr>
                <w:sz w:val="5"/>
                <w:szCs w:val="5"/>
                <w:color w:val="auto"/>
              </w:rPr>
            </w:pPr>
          </w:p>
        </w:tc>
        <w:tc>
          <w:tcPr>
            <w:tcW w:w="260" w:type="dxa"/>
            <w:vAlign w:val="bottom"/>
            <w:tcBorders>
              <w:top w:val="single" w:sz="8" w:color="215E9E"/>
            </w:tcBorders>
            <w:shd w:val="clear" w:color="auto" w:fill="CCEEFF"/>
          </w:tcPr>
          <w:p>
            <w:pPr>
              <w:spacing w:after="0"/>
              <w:rPr>
                <w:sz w:val="5"/>
                <w:szCs w:val="5"/>
                <w:color w:val="auto"/>
              </w:rPr>
            </w:pPr>
          </w:p>
        </w:tc>
        <w:tc>
          <w:tcPr>
            <w:tcW w:w="140" w:type="dxa"/>
            <w:vAlign w:val="bottom"/>
            <w:tcBorders>
              <w:top w:val="single" w:sz="8" w:color="215E9E"/>
              <w:right w:val="single" w:sz="8" w:color="CCEEFF"/>
            </w:tcBorders>
            <w:shd w:val="clear" w:color="auto" w:fill="CCEEFF"/>
          </w:tcPr>
          <w:p>
            <w:pPr>
              <w:spacing w:after="0"/>
              <w:rPr>
                <w:sz w:val="5"/>
                <w:szCs w:val="5"/>
                <w:color w:val="auto"/>
              </w:rPr>
            </w:pPr>
          </w:p>
        </w:tc>
        <w:tc>
          <w:tcPr>
            <w:tcW w:w="160" w:type="dxa"/>
            <w:vAlign w:val="bottom"/>
            <w:tcBorders>
              <w:top w:val="single" w:sz="8" w:color="215E9E"/>
              <w:right w:val="single" w:sz="8" w:color="CCEEFF"/>
            </w:tcBorders>
            <w:shd w:val="clear" w:color="auto" w:fill="CCEEFF"/>
          </w:tcPr>
          <w:p>
            <w:pPr>
              <w:spacing w:after="0"/>
              <w:rPr>
                <w:sz w:val="5"/>
                <w:szCs w:val="5"/>
                <w:color w:val="auto"/>
              </w:rPr>
            </w:pPr>
          </w:p>
        </w:tc>
        <w:tc>
          <w:tcPr>
            <w:tcW w:w="20" w:type="dxa"/>
            <w:vAlign w:val="bottom"/>
            <w:tcBorders>
              <w:top w:val="single" w:sz="8" w:color="215E9E"/>
            </w:tcBorders>
            <w:shd w:val="clear" w:color="auto" w:fill="CCEEFF"/>
          </w:tcPr>
          <w:p>
            <w:pPr>
              <w:spacing w:after="0"/>
              <w:rPr>
                <w:sz w:val="5"/>
                <w:szCs w:val="5"/>
                <w:color w:val="auto"/>
              </w:rPr>
            </w:pPr>
          </w:p>
        </w:tc>
        <w:tc>
          <w:tcPr>
            <w:tcW w:w="20" w:type="dxa"/>
            <w:vAlign w:val="bottom"/>
            <w:tcBorders>
              <w:top w:val="single" w:sz="8" w:color="215E9E"/>
            </w:tcBorders>
            <w:shd w:val="clear" w:color="auto" w:fill="CCEEFF"/>
          </w:tcPr>
          <w:p>
            <w:pPr>
              <w:spacing w:after="0"/>
              <w:rPr>
                <w:sz w:val="5"/>
                <w:szCs w:val="5"/>
                <w:color w:val="auto"/>
              </w:rPr>
            </w:pPr>
          </w:p>
        </w:tc>
        <w:tc>
          <w:tcPr>
            <w:tcW w:w="40" w:type="dxa"/>
            <w:vAlign w:val="bottom"/>
            <w:tcBorders>
              <w:top w:val="single" w:sz="8" w:color="215E9E"/>
            </w:tcBorders>
            <w:shd w:val="clear" w:color="auto" w:fill="CCEEFF"/>
          </w:tcPr>
          <w:p>
            <w:pPr>
              <w:spacing w:after="0"/>
              <w:rPr>
                <w:sz w:val="5"/>
                <w:szCs w:val="5"/>
                <w:color w:val="auto"/>
              </w:rPr>
            </w:pPr>
          </w:p>
        </w:tc>
        <w:tc>
          <w:tcPr>
            <w:tcW w:w="20" w:type="dxa"/>
            <w:vAlign w:val="bottom"/>
            <w:tcBorders>
              <w:top w:val="single" w:sz="8" w:color="215E9E"/>
            </w:tcBorders>
            <w:shd w:val="clear" w:color="auto" w:fill="CCEEFF"/>
          </w:tcPr>
          <w:p>
            <w:pPr>
              <w:spacing w:after="0"/>
              <w:rPr>
                <w:sz w:val="5"/>
                <w:szCs w:val="5"/>
                <w:color w:val="auto"/>
              </w:rPr>
            </w:pPr>
          </w:p>
        </w:tc>
        <w:tc>
          <w:tcPr>
            <w:tcW w:w="20" w:type="dxa"/>
            <w:vAlign w:val="bottom"/>
            <w:tcBorders>
              <w:top w:val="single" w:sz="8" w:color="215E9E"/>
            </w:tcBorders>
            <w:shd w:val="clear" w:color="auto" w:fill="CCEEFF"/>
          </w:tcPr>
          <w:p>
            <w:pPr>
              <w:spacing w:after="0"/>
              <w:rPr>
                <w:sz w:val="5"/>
                <w:szCs w:val="5"/>
                <w:color w:val="auto"/>
              </w:rPr>
            </w:pPr>
          </w:p>
        </w:tc>
        <w:tc>
          <w:tcPr>
            <w:tcW w:w="20" w:type="dxa"/>
            <w:vAlign w:val="bottom"/>
            <w:tcBorders>
              <w:top w:val="single" w:sz="8" w:color="215E9E"/>
            </w:tcBorders>
            <w:shd w:val="clear" w:color="auto" w:fill="CCEEFF"/>
          </w:tcPr>
          <w:p>
            <w:pPr>
              <w:spacing w:after="0"/>
              <w:rPr>
                <w:sz w:val="5"/>
                <w:szCs w:val="5"/>
                <w:color w:val="auto"/>
              </w:rPr>
            </w:pPr>
          </w:p>
        </w:tc>
        <w:tc>
          <w:tcPr>
            <w:tcW w:w="60" w:type="dxa"/>
            <w:vAlign w:val="bottom"/>
            <w:tcBorders>
              <w:top w:val="single" w:sz="8" w:color="215E9E"/>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5"/>
                <w:szCs w:val="15"/>
                <w:color w:val="auto"/>
              </w:rPr>
            </w:pPr>
          </w:p>
        </w:tc>
        <w:tc>
          <w:tcPr>
            <w:tcW w:w="2880" w:type="dxa"/>
            <w:vAlign w:val="bottom"/>
            <w:gridSpan w:val="37"/>
          </w:tcPr>
          <w:p>
            <w:pPr>
              <w:spacing w:after="0" w:line="176" w:lineRule="exact"/>
              <w:rPr>
                <w:rFonts w:ascii="Arial" w:cs="Arial" w:eastAsia="Arial" w:hAnsi="Arial"/>
                <w:sz w:val="18"/>
                <w:szCs w:val="18"/>
                <w:color w:val="0000EE"/>
              </w:rPr>
            </w:pPr>
            <w:hyperlink w:anchor="page323">
              <w:r>
                <w:rPr>
                  <w:rFonts w:ascii="Arial" w:cs="Arial" w:eastAsia="Arial" w:hAnsi="Arial"/>
                  <w:sz w:val="18"/>
                  <w:szCs w:val="18"/>
                  <w:color w:val="0000EE"/>
                </w:rPr>
                <w:t>Consent of Ernst &amp; Young LLP,</w:t>
              </w:r>
            </w:hyperlink>
          </w:p>
        </w:tc>
        <w:tc>
          <w:tcPr>
            <w:tcW w:w="7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323">
              <w:r>
                <w:rPr>
                  <w:rFonts w:ascii="Arial" w:cs="Arial" w:eastAsia="Arial" w:hAnsi="Arial"/>
                  <w:sz w:val="18"/>
                  <w:szCs w:val="18"/>
                  <w:color w:val="0000EE"/>
                  <w:w w:val="89"/>
                </w:rPr>
                <w:t>independent registered public</w:t>
              </w:r>
            </w:hyperlink>
          </w:p>
        </w:tc>
        <w:tc>
          <w:tcPr>
            <w:tcW w:w="120" w:type="dxa"/>
            <w:vAlign w:val="bottom"/>
            <w:tcBorders>
              <w:top w:val="single" w:sz="8" w:color="0000EE"/>
            </w:tcBorders>
            <w:gridSpan w:val="5"/>
          </w:tcPr>
          <w:p>
            <w:pPr>
              <w:spacing w:after="0"/>
              <w:rPr>
                <w:sz w:val="17"/>
                <w:szCs w:val="17"/>
                <w:color w:val="auto"/>
              </w:rPr>
            </w:pPr>
          </w:p>
        </w:tc>
        <w:tc>
          <w:tcPr>
            <w:tcW w:w="60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323">
              <w:r>
                <w:rPr>
                  <w:rFonts w:ascii="Arial" w:cs="Arial" w:eastAsia="Arial" w:hAnsi="Arial"/>
                  <w:sz w:val="18"/>
                  <w:szCs w:val="18"/>
                  <w:color w:val="0000EE"/>
                  <w:w w:val="91"/>
                </w:rPr>
                <w:t>accounting firm of TMC the metals</w:t>
              </w:r>
            </w:hyperlink>
          </w:p>
        </w:tc>
        <w:tc>
          <w:tcPr>
            <w:tcW w:w="34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323">
              <w:r>
                <w:rPr>
                  <w:rFonts w:ascii="Arial" w:cs="Arial" w:eastAsia="Arial" w:hAnsi="Arial"/>
                  <w:sz w:val="18"/>
                  <w:szCs w:val="18"/>
                  <w:color w:val="0000EE"/>
                  <w:w w:val="90"/>
                </w:rPr>
                <w:t>company Inc. (formerly Sustainable</w:t>
              </w:r>
            </w:hyperlink>
          </w:p>
        </w:tc>
        <w:tc>
          <w:tcPr>
            <w:tcW w:w="30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7"/>
          </w:tcPr>
          <w:p>
            <w:pPr>
              <w:spacing w:after="0" w:line="196" w:lineRule="exact"/>
              <w:rPr>
                <w:rFonts w:ascii="Arial" w:cs="Arial" w:eastAsia="Arial" w:hAnsi="Arial"/>
                <w:sz w:val="18"/>
                <w:szCs w:val="18"/>
                <w:color w:val="0000EE"/>
              </w:rPr>
            </w:pPr>
            <w:hyperlink w:anchor="page323">
              <w:r>
                <w:rPr>
                  <w:rFonts w:ascii="Arial" w:cs="Arial" w:eastAsia="Arial" w:hAnsi="Arial"/>
                  <w:sz w:val="18"/>
                  <w:szCs w:val="18"/>
                  <w:color w:val="0000EE"/>
                </w:rPr>
                <w:t>Opportunities Acquisition Corp.)</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23.3</w:t>
            </w:r>
          </w:p>
        </w:tc>
        <w:tc>
          <w:tcPr>
            <w:tcW w:w="120" w:type="dxa"/>
            <w:vAlign w:val="bottom"/>
            <w:tcBorders>
              <w:right w:val="single" w:sz="8" w:color="CCEEFF"/>
            </w:tcBorders>
            <w:shd w:val="clear" w:color="auto" w:fill="CCEEFF"/>
          </w:tcPr>
          <w:p>
            <w:pPr>
              <w:spacing w:after="0"/>
              <w:rPr>
                <w:sz w:val="15"/>
                <w:szCs w:val="15"/>
                <w:color w:val="auto"/>
              </w:rPr>
            </w:pPr>
          </w:p>
        </w:tc>
        <w:tc>
          <w:tcPr>
            <w:tcW w:w="2880" w:type="dxa"/>
            <w:vAlign w:val="bottom"/>
            <w:gridSpan w:val="37"/>
            <w:shd w:val="clear" w:color="auto" w:fill="CCEEFF"/>
          </w:tcPr>
          <w:p>
            <w:pPr>
              <w:spacing w:after="0" w:line="176" w:lineRule="exact"/>
              <w:rPr>
                <w:rFonts w:ascii="Arial" w:cs="Arial" w:eastAsia="Arial" w:hAnsi="Arial"/>
                <w:sz w:val="18"/>
                <w:szCs w:val="18"/>
                <w:color w:val="215E9E"/>
              </w:rPr>
            </w:pPr>
            <w:hyperlink w:anchor="page280">
              <w:r>
                <w:rPr>
                  <w:rFonts w:ascii="Arial" w:cs="Arial" w:eastAsia="Arial" w:hAnsi="Arial"/>
                  <w:sz w:val="18"/>
                  <w:szCs w:val="18"/>
                  <w:color w:val="215E9E"/>
                </w:rPr>
                <w:t>Consent of Fasken Martineau</w:t>
              </w:r>
            </w:hyperlink>
          </w:p>
        </w:tc>
        <w:tc>
          <w:tcPr>
            <w:tcW w:w="78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20" w:type="dxa"/>
            <w:vAlign w:val="bottom"/>
            <w:gridSpan w:val="5"/>
            <w:shd w:val="clear" w:color="auto" w:fill="215E9E"/>
          </w:tcPr>
          <w:p>
            <w:pPr>
              <w:spacing w:after="0" w:line="20" w:lineRule="exact"/>
              <w:rPr>
                <w:sz w:val="1"/>
                <w:szCs w:val="1"/>
                <w:color w:val="auto"/>
              </w:rPr>
            </w:pPr>
          </w:p>
        </w:tc>
        <w:tc>
          <w:tcPr>
            <w:tcW w:w="1340" w:type="dxa"/>
            <w:vAlign w:val="bottom"/>
            <w:tcBorders>
              <w:right w:val="single" w:sz="8" w:color="CCEEFF"/>
            </w:tcBorders>
            <w:gridSpan w:val="8"/>
            <w:shd w:val="clear" w:color="auto" w:fill="215E9E"/>
          </w:tcPr>
          <w:p>
            <w:pPr>
              <w:spacing w:after="0" w:line="20" w:lineRule="exact"/>
              <w:rPr>
                <w:sz w:val="1"/>
                <w:szCs w:val="1"/>
                <w:color w:val="auto"/>
              </w:rPr>
            </w:pPr>
          </w:p>
        </w:tc>
        <w:tc>
          <w:tcPr>
            <w:tcW w:w="380" w:type="dxa"/>
            <w:vAlign w:val="bottom"/>
            <w:gridSpan w:val="13"/>
            <w:shd w:val="clear" w:color="auto" w:fill="CCEEFF"/>
          </w:tcPr>
          <w:p>
            <w:pPr>
              <w:spacing w:after="0" w:line="20" w:lineRule="exact"/>
              <w:rPr>
                <w:sz w:val="1"/>
                <w:szCs w:val="1"/>
                <w:color w:val="auto"/>
              </w:rPr>
            </w:pPr>
          </w:p>
        </w:tc>
        <w:tc>
          <w:tcPr>
            <w:tcW w:w="340" w:type="dxa"/>
            <w:vAlign w:val="bottom"/>
            <w:gridSpan w:val="11"/>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215E9E"/>
              </w:rPr>
            </w:pPr>
            <w:hyperlink w:anchor="page280">
              <w:r>
                <w:rPr>
                  <w:rFonts w:ascii="Arial" w:cs="Arial" w:eastAsia="Arial" w:hAnsi="Arial"/>
                  <w:sz w:val="18"/>
                  <w:szCs w:val="18"/>
                  <w:color w:val="215E9E"/>
                </w:rPr>
                <w:t>DuMoulin LLP (included as part of</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20" w:type="dxa"/>
            <w:vAlign w:val="bottom"/>
            <w:gridSpan w:val="5"/>
            <w:shd w:val="clear" w:color="auto" w:fill="215E9E"/>
          </w:tcPr>
          <w:p>
            <w:pPr>
              <w:spacing w:after="0" w:line="20" w:lineRule="exact"/>
              <w:rPr>
                <w:sz w:val="1"/>
                <w:szCs w:val="1"/>
                <w:color w:val="auto"/>
              </w:rPr>
            </w:pPr>
          </w:p>
        </w:tc>
        <w:tc>
          <w:tcPr>
            <w:tcW w:w="1720" w:type="dxa"/>
            <w:vAlign w:val="bottom"/>
            <w:gridSpan w:val="21"/>
            <w:shd w:val="clear" w:color="auto" w:fill="215E9E"/>
          </w:tcPr>
          <w:p>
            <w:pPr>
              <w:spacing w:after="0" w:line="20" w:lineRule="exact"/>
              <w:rPr>
                <w:sz w:val="1"/>
                <w:szCs w:val="1"/>
                <w:color w:val="auto"/>
              </w:rPr>
            </w:pPr>
          </w:p>
        </w:tc>
        <w:tc>
          <w:tcPr>
            <w:tcW w:w="340" w:type="dxa"/>
            <w:vAlign w:val="bottom"/>
            <w:gridSpan w:val="11"/>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37"/>
            <w:shd w:val="clear" w:color="auto" w:fill="CCEEFF"/>
          </w:tcPr>
          <w:p>
            <w:pPr>
              <w:spacing w:after="0" w:line="196" w:lineRule="exact"/>
              <w:rPr>
                <w:rFonts w:ascii="Arial" w:cs="Arial" w:eastAsia="Arial" w:hAnsi="Arial"/>
                <w:sz w:val="18"/>
                <w:szCs w:val="18"/>
                <w:color w:val="215E9E"/>
              </w:rPr>
            </w:pPr>
            <w:hyperlink w:anchor="page280">
              <w:r>
                <w:rPr>
                  <w:rFonts w:ascii="Arial" w:cs="Arial" w:eastAsia="Arial" w:hAnsi="Arial"/>
                  <w:sz w:val="18"/>
                  <w:szCs w:val="18"/>
                  <w:color w:val="215E9E"/>
                </w:rPr>
                <w:t>exhibit 5.1)</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300" w:type="dxa"/>
            <w:vAlign w:val="bottom"/>
            <w:tcBorders>
              <w:top w:val="single" w:sz="8" w:color="215E9E"/>
            </w:tcBorders>
            <w:shd w:val="clear" w:color="auto" w:fill="CCEEFF"/>
          </w:tcPr>
          <w:p>
            <w:pPr>
              <w:spacing w:after="0"/>
              <w:rPr>
                <w:sz w:val="5"/>
                <w:szCs w:val="5"/>
                <w:color w:val="auto"/>
              </w:rPr>
            </w:pPr>
          </w:p>
        </w:tc>
        <w:tc>
          <w:tcPr>
            <w:tcW w:w="140" w:type="dxa"/>
            <w:vAlign w:val="bottom"/>
            <w:tcBorders>
              <w:top w:val="single" w:sz="8" w:color="215E9E"/>
            </w:tcBorders>
            <w:shd w:val="clear" w:color="auto" w:fill="CCEEFF"/>
          </w:tcPr>
          <w:p>
            <w:pPr>
              <w:spacing w:after="0"/>
              <w:rPr>
                <w:sz w:val="5"/>
                <w:szCs w:val="5"/>
                <w:color w:val="auto"/>
              </w:rPr>
            </w:pPr>
          </w:p>
        </w:tc>
        <w:tc>
          <w:tcPr>
            <w:tcW w:w="40" w:type="dxa"/>
            <w:vAlign w:val="bottom"/>
            <w:tcBorders>
              <w:top w:val="single" w:sz="8" w:color="215E9E"/>
            </w:tcBorders>
            <w:shd w:val="clear" w:color="auto" w:fill="CCEEFF"/>
          </w:tcPr>
          <w:p>
            <w:pPr>
              <w:spacing w:after="0"/>
              <w:rPr>
                <w:sz w:val="5"/>
                <w:szCs w:val="5"/>
                <w:color w:val="auto"/>
              </w:rPr>
            </w:pPr>
          </w:p>
        </w:tc>
        <w:tc>
          <w:tcPr>
            <w:tcW w:w="300" w:type="dxa"/>
            <w:vAlign w:val="bottom"/>
            <w:tcBorders>
              <w:top w:val="single" w:sz="8" w:color="215E9E"/>
            </w:tcBorders>
            <w:shd w:val="clear" w:color="auto" w:fill="CCEEFF"/>
          </w:tcPr>
          <w:p>
            <w:pPr>
              <w:spacing w:after="0"/>
              <w:rPr>
                <w:sz w:val="5"/>
                <w:szCs w:val="5"/>
                <w:color w:val="auto"/>
              </w:rPr>
            </w:pPr>
          </w:p>
        </w:tc>
        <w:tc>
          <w:tcPr>
            <w:tcW w:w="40" w:type="dxa"/>
            <w:vAlign w:val="bottom"/>
            <w:tcBorders>
              <w:top w:val="single" w:sz="8" w:color="215E9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5" w:name="page276"/>
    <w:bookmarkEnd w:id="27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Incorporated by</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Reference Herein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Filed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from Form or</w:t>
            </w: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Filing</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SEC File/Reg.</w:t>
            </w:r>
          </w:p>
        </w:tc>
      </w:tr>
      <w:tr>
        <w:trPr>
          <w:trHeight w:val="210"/>
        </w:trPr>
        <w:tc>
          <w:tcPr>
            <w:tcW w:w="7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22"/>
          </w:tcPr>
          <w:p>
            <w:pPr>
              <w:ind w:left="460"/>
              <w:spacing w:after="0"/>
              <w:rPr>
                <w:sz w:val="20"/>
                <w:szCs w:val="20"/>
                <w:color w:val="auto"/>
              </w:rPr>
            </w:pPr>
            <w:r>
              <w:rPr>
                <w:rFonts w:ascii="Arial" w:cs="Arial" w:eastAsia="Arial" w:hAnsi="Arial"/>
                <w:sz w:val="16"/>
                <w:szCs w:val="16"/>
                <w:b w:val="1"/>
                <w:bCs w:val="1"/>
                <w:color w:val="auto"/>
              </w:rPr>
              <w:t>Exhibit Description</w:t>
            </w: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Herewith</w:t>
            </w: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Schedule</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r>
      <w:tr>
        <w:trPr>
          <w:trHeight w:val="47"/>
        </w:trPr>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9"/>
        </w:trPr>
        <w:tc>
          <w:tcPr>
            <w:tcW w:w="74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0" w:type="dxa"/>
            <w:vAlign w:val="bottom"/>
            <w:gridSpan w:val="22"/>
            <w:shd w:val="clear" w:color="auto" w:fill="CCEEFF"/>
          </w:tcPr>
          <w:p>
            <w:pPr>
              <w:spacing w:after="0" w:line="169" w:lineRule="exact"/>
              <w:rPr>
                <w:rFonts w:ascii="Arial" w:cs="Arial" w:eastAsia="Arial" w:hAnsi="Arial"/>
                <w:sz w:val="18"/>
                <w:szCs w:val="18"/>
                <w:color w:val="0000EE"/>
                <w:w w:val="92"/>
              </w:rPr>
            </w:pPr>
            <w:hyperlink w:anchor="page286">
              <w:r>
                <w:rPr>
                  <w:rFonts w:ascii="Arial" w:cs="Arial" w:eastAsia="Arial" w:hAnsi="Arial"/>
                  <w:sz w:val="18"/>
                  <w:szCs w:val="18"/>
                  <w:color w:val="0000EE"/>
                  <w:w w:val="92"/>
                </w:rPr>
                <w:t>Consent of Mintz, Levin, Cohn, Ferris,</w:t>
              </w:r>
            </w:hyperlink>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rPr>
              <w:t>X</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6"/>
        </w:trPr>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720" w:type="dxa"/>
            <w:vAlign w:val="bottom"/>
            <w:tcBorders>
              <w:top w:val="single" w:sz="8" w:color="0000EE"/>
              <w:bottom w:val="single" w:sz="8" w:color="0000EE"/>
            </w:tcBorders>
            <w:gridSpan w:val="19"/>
            <w:shd w:val="clear" w:color="auto" w:fill="CCEEFF"/>
          </w:tcPr>
          <w:p>
            <w:pPr>
              <w:spacing w:after="0" w:line="196" w:lineRule="exact"/>
              <w:rPr>
                <w:rFonts w:ascii="Arial" w:cs="Arial" w:eastAsia="Arial" w:hAnsi="Arial"/>
                <w:sz w:val="18"/>
                <w:szCs w:val="18"/>
                <w:color w:val="0000EE"/>
                <w:w w:val="89"/>
              </w:rPr>
            </w:pPr>
            <w:hyperlink w:anchor="page286">
              <w:r>
                <w:rPr>
                  <w:rFonts w:ascii="Arial" w:cs="Arial" w:eastAsia="Arial" w:hAnsi="Arial"/>
                  <w:sz w:val="18"/>
                  <w:szCs w:val="18"/>
                  <w:color w:val="0000EE"/>
                  <w:w w:val="89"/>
                </w:rPr>
                <w:t>Glovsky and Popeo, P.C. (included as</w:t>
              </w:r>
            </w:hyperlink>
          </w:p>
        </w:tc>
        <w:tc>
          <w:tcPr>
            <w:tcW w:w="8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4"/>
            <w:shd w:val="clear" w:color="auto" w:fill="CCEEFF"/>
          </w:tcPr>
          <w:p>
            <w:pPr>
              <w:spacing w:after="0" w:line="196" w:lineRule="exact"/>
              <w:rPr>
                <w:rFonts w:ascii="Arial" w:cs="Arial" w:eastAsia="Arial" w:hAnsi="Arial"/>
                <w:sz w:val="18"/>
                <w:szCs w:val="18"/>
                <w:color w:val="0000EE"/>
              </w:rPr>
            </w:pPr>
            <w:hyperlink w:anchor="page286">
              <w:r>
                <w:rPr>
                  <w:rFonts w:ascii="Arial" w:cs="Arial" w:eastAsia="Arial" w:hAnsi="Arial"/>
                  <w:sz w:val="18"/>
                  <w:szCs w:val="18"/>
                  <w:color w:val="0000EE"/>
                </w:rPr>
                <w:t>part of exhibit 5.2)</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23.5</w:t>
            </w:r>
          </w:p>
        </w:tc>
        <w:tc>
          <w:tcPr>
            <w:tcW w:w="100" w:type="dxa"/>
            <w:vAlign w:val="bottom"/>
          </w:tcPr>
          <w:p>
            <w:pPr>
              <w:spacing w:after="0"/>
              <w:rPr>
                <w:sz w:val="15"/>
                <w:szCs w:val="15"/>
                <w:color w:val="auto"/>
              </w:rPr>
            </w:pPr>
          </w:p>
        </w:tc>
        <w:tc>
          <w:tcPr>
            <w:tcW w:w="2900" w:type="dxa"/>
            <w:vAlign w:val="bottom"/>
            <w:gridSpan w:val="24"/>
          </w:tcPr>
          <w:p>
            <w:pPr>
              <w:spacing w:after="0" w:line="176" w:lineRule="exact"/>
              <w:rPr>
                <w:rFonts w:ascii="Arial" w:cs="Arial" w:eastAsia="Arial" w:hAnsi="Arial"/>
                <w:sz w:val="18"/>
                <w:szCs w:val="18"/>
                <w:color w:val="0000EE"/>
                <w:w w:val="96"/>
              </w:rPr>
            </w:pPr>
            <w:hyperlink w:anchor="page324">
              <w:r>
                <w:rPr>
                  <w:rFonts w:ascii="Arial" w:cs="Arial" w:eastAsia="Arial" w:hAnsi="Arial"/>
                  <w:sz w:val="18"/>
                  <w:szCs w:val="18"/>
                  <w:color w:val="0000EE"/>
                  <w:w w:val="96"/>
                </w:rPr>
                <w:t>Consent of AMC Consultants Pty Ltd.</w:t>
              </w:r>
            </w:hyperlink>
          </w:p>
        </w:tc>
        <w:tc>
          <w:tcPr>
            <w:tcW w:w="7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88"/>
        </w:trPr>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84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6"/>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5"/>
                <w:szCs w:val="15"/>
                <w:color w:val="auto"/>
              </w:rPr>
            </w:pPr>
          </w:p>
        </w:tc>
        <w:tc>
          <w:tcPr>
            <w:tcW w:w="2900" w:type="dxa"/>
            <w:vAlign w:val="bottom"/>
            <w:gridSpan w:val="24"/>
            <w:shd w:val="clear" w:color="auto" w:fill="CCEEFF"/>
          </w:tcPr>
          <w:p>
            <w:pPr>
              <w:spacing w:after="0" w:line="176" w:lineRule="exact"/>
              <w:rPr>
                <w:rFonts w:ascii="Arial" w:cs="Arial" w:eastAsia="Arial" w:hAnsi="Arial"/>
                <w:sz w:val="18"/>
                <w:szCs w:val="18"/>
                <w:color w:val="0000EE"/>
                <w:w w:val="96"/>
              </w:rPr>
            </w:pPr>
            <w:hyperlink w:anchor="page325">
              <w:r>
                <w:rPr>
                  <w:rFonts w:ascii="Arial" w:cs="Arial" w:eastAsia="Arial" w:hAnsi="Arial"/>
                  <w:sz w:val="18"/>
                  <w:szCs w:val="18"/>
                  <w:color w:val="0000EE"/>
                  <w:w w:val="96"/>
                </w:rPr>
                <w:t>Consent of AMC Consultants Pty Ltd.</w:t>
              </w:r>
            </w:hyperlink>
          </w:p>
        </w:tc>
        <w:tc>
          <w:tcPr>
            <w:tcW w:w="78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88"/>
        </w:trPr>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840" w:type="dxa"/>
            <w:vAlign w:val="bottom"/>
            <w:tcBorders>
              <w:top w:val="single" w:sz="8" w:color="0000EE"/>
            </w:tcBorders>
            <w:shd w:val="clear" w:color="auto" w:fill="CCEEFF"/>
          </w:tcPr>
          <w:p>
            <w:pPr>
              <w:spacing w:after="0"/>
              <w:rPr>
                <w:sz w:val="7"/>
                <w:szCs w:val="7"/>
                <w:color w:val="auto"/>
              </w:rPr>
            </w:pPr>
          </w:p>
        </w:tc>
        <w:tc>
          <w:tcPr>
            <w:tcW w:w="24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44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right w:val="single" w:sz="8" w:color="CCEEFF"/>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23.7</w:t>
            </w:r>
          </w:p>
        </w:tc>
        <w:tc>
          <w:tcPr>
            <w:tcW w:w="100" w:type="dxa"/>
            <w:vAlign w:val="bottom"/>
          </w:tcPr>
          <w:p>
            <w:pPr>
              <w:spacing w:after="0"/>
              <w:rPr>
                <w:sz w:val="15"/>
                <w:szCs w:val="15"/>
                <w:color w:val="auto"/>
              </w:rPr>
            </w:pPr>
          </w:p>
        </w:tc>
        <w:tc>
          <w:tcPr>
            <w:tcW w:w="2440" w:type="dxa"/>
            <w:vAlign w:val="bottom"/>
            <w:tcBorders>
              <w:bottom w:val="single" w:sz="8" w:color="0000EE"/>
            </w:tcBorders>
            <w:gridSpan w:val="9"/>
          </w:tcPr>
          <w:p>
            <w:pPr>
              <w:spacing w:after="0" w:line="176" w:lineRule="exact"/>
              <w:rPr>
                <w:rFonts w:ascii="Arial" w:cs="Arial" w:eastAsia="Arial" w:hAnsi="Arial"/>
                <w:sz w:val="18"/>
                <w:szCs w:val="18"/>
                <w:color w:val="0000EE"/>
                <w:w w:val="89"/>
              </w:rPr>
            </w:pPr>
            <w:hyperlink w:anchor="page326">
              <w:r>
                <w:rPr>
                  <w:rFonts w:ascii="Arial" w:cs="Arial" w:eastAsia="Arial" w:hAnsi="Arial"/>
                  <w:sz w:val="18"/>
                  <w:szCs w:val="18"/>
                  <w:color w:val="0000EE"/>
                  <w:w w:val="89"/>
                </w:rPr>
                <w:t>Consent of Canadian Engineering</w:t>
              </w:r>
            </w:hyperlink>
          </w:p>
        </w:tc>
        <w:tc>
          <w:tcPr>
            <w:tcW w:w="460" w:type="dxa"/>
            <w:vAlign w:val="bottom"/>
            <w:gridSpan w:val="15"/>
          </w:tcPr>
          <w:p>
            <w:pPr>
              <w:spacing w:after="0"/>
              <w:rPr>
                <w:sz w:val="15"/>
                <w:szCs w:val="15"/>
                <w:color w:val="auto"/>
              </w:rPr>
            </w:pPr>
          </w:p>
        </w:tc>
        <w:tc>
          <w:tcPr>
            <w:tcW w:w="7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24"/>
          </w:tcPr>
          <w:p>
            <w:pPr>
              <w:spacing w:after="0" w:line="196" w:lineRule="exact"/>
              <w:rPr>
                <w:rFonts w:ascii="Arial" w:cs="Arial" w:eastAsia="Arial" w:hAnsi="Arial"/>
                <w:sz w:val="18"/>
                <w:szCs w:val="18"/>
                <w:color w:val="0000EE"/>
              </w:rPr>
            </w:pPr>
            <w:hyperlink w:anchor="page326">
              <w:r>
                <w:rPr>
                  <w:rFonts w:ascii="Arial" w:cs="Arial" w:eastAsia="Arial" w:hAnsi="Arial"/>
                  <w:sz w:val="18"/>
                  <w:szCs w:val="18"/>
                  <w:color w:val="0000EE"/>
                </w:rPr>
                <w:t>Associates Ltd.</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327">
              <w:r>
                <w:rPr>
                  <w:rFonts w:ascii="Arial" w:cs="Arial" w:eastAsia="Arial" w:hAnsi="Arial"/>
                  <w:sz w:val="18"/>
                  <w:szCs w:val="18"/>
                  <w:color w:val="0000EE"/>
                  <w:w w:val="89"/>
                </w:rPr>
                <w:t>Consent of Deep Reach Technology</w:t>
              </w:r>
            </w:hyperlink>
          </w:p>
        </w:tc>
        <w:tc>
          <w:tcPr>
            <w:tcW w:w="280" w:type="dxa"/>
            <w:vAlign w:val="bottom"/>
            <w:tcBorders>
              <w:bottom w:val="single" w:sz="8" w:color="CCEEFF"/>
            </w:tcBorders>
            <w:gridSpan w:val="7"/>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4"/>
            <w:shd w:val="clear" w:color="auto" w:fill="CCEEFF"/>
          </w:tcPr>
          <w:p>
            <w:pPr>
              <w:spacing w:after="0" w:line="196" w:lineRule="exact"/>
              <w:rPr>
                <w:rFonts w:ascii="Arial" w:cs="Arial" w:eastAsia="Arial" w:hAnsi="Arial"/>
                <w:sz w:val="18"/>
                <w:szCs w:val="18"/>
                <w:color w:val="0000EE"/>
              </w:rPr>
            </w:pPr>
            <w:hyperlink w:anchor="page327">
              <w:r>
                <w:rPr>
                  <w:rFonts w:ascii="Arial" w:cs="Arial" w:eastAsia="Arial" w:hAnsi="Arial"/>
                  <w:sz w:val="18"/>
                  <w:szCs w:val="18"/>
                  <w:color w:val="0000EE"/>
                </w:rPr>
                <w:t>Inc.</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23.9</w:t>
            </w:r>
          </w:p>
        </w:tc>
        <w:tc>
          <w:tcPr>
            <w:tcW w:w="100" w:type="dxa"/>
            <w:vAlign w:val="bottom"/>
          </w:tcPr>
          <w:p>
            <w:pPr>
              <w:spacing w:after="0"/>
              <w:rPr>
                <w:sz w:val="15"/>
                <w:szCs w:val="15"/>
                <w:color w:val="auto"/>
              </w:rPr>
            </w:pPr>
          </w:p>
        </w:tc>
        <w:tc>
          <w:tcPr>
            <w:tcW w:w="2900" w:type="dxa"/>
            <w:vAlign w:val="bottom"/>
            <w:gridSpan w:val="24"/>
          </w:tcPr>
          <w:p>
            <w:pPr>
              <w:spacing w:after="0" w:line="176" w:lineRule="exact"/>
              <w:rPr>
                <w:rFonts w:ascii="Arial" w:cs="Arial" w:eastAsia="Arial" w:hAnsi="Arial"/>
                <w:sz w:val="18"/>
                <w:szCs w:val="18"/>
                <w:color w:val="0000EE"/>
              </w:rPr>
            </w:pPr>
            <w:hyperlink w:anchor="page328">
              <w:r>
                <w:rPr>
                  <w:rFonts w:ascii="Arial" w:cs="Arial" w:eastAsia="Arial" w:hAnsi="Arial"/>
                  <w:sz w:val="18"/>
                  <w:szCs w:val="18"/>
                  <w:color w:val="0000EE"/>
                </w:rPr>
                <w:t>Consent of Margin — Marine</w:t>
              </w:r>
            </w:hyperlink>
          </w:p>
        </w:tc>
        <w:tc>
          <w:tcPr>
            <w:tcW w:w="7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28">
              <w:r>
                <w:rPr>
                  <w:rFonts w:ascii="Arial" w:cs="Arial" w:eastAsia="Arial" w:hAnsi="Arial"/>
                  <w:sz w:val="18"/>
                  <w:szCs w:val="18"/>
                  <w:color w:val="0000EE"/>
                </w:rPr>
                <w:t>Geoscience Innovation.</w:t>
              </w:r>
            </w:hyperlink>
          </w:p>
        </w:tc>
        <w:tc>
          <w:tcPr>
            <w:tcW w:w="76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23.10</w:t>
            </w:r>
          </w:p>
        </w:tc>
        <w:tc>
          <w:tcPr>
            <w:tcW w:w="100" w:type="dxa"/>
            <w:vAlign w:val="bottom"/>
            <w:shd w:val="clear" w:color="auto" w:fill="CCEEFF"/>
          </w:tcPr>
          <w:p>
            <w:pPr>
              <w:spacing w:after="0"/>
              <w:rPr>
                <w:sz w:val="15"/>
                <w:szCs w:val="15"/>
                <w:color w:val="auto"/>
              </w:rPr>
            </w:pPr>
          </w:p>
        </w:tc>
        <w:tc>
          <w:tcPr>
            <w:tcW w:w="2900" w:type="dxa"/>
            <w:vAlign w:val="bottom"/>
            <w:gridSpan w:val="24"/>
            <w:shd w:val="clear" w:color="auto" w:fill="CCEEFF"/>
          </w:tcPr>
          <w:p>
            <w:pPr>
              <w:spacing w:after="0" w:line="176" w:lineRule="exact"/>
              <w:rPr>
                <w:rFonts w:ascii="Arial" w:cs="Arial" w:eastAsia="Arial" w:hAnsi="Arial"/>
                <w:sz w:val="18"/>
                <w:szCs w:val="18"/>
                <w:color w:val="0000EE"/>
              </w:rPr>
            </w:pPr>
            <w:hyperlink w:anchor="page329">
              <w:r>
                <w:rPr>
                  <w:rFonts w:ascii="Arial" w:cs="Arial" w:eastAsia="Arial" w:hAnsi="Arial"/>
                  <w:sz w:val="18"/>
                  <w:szCs w:val="18"/>
                  <w:color w:val="0000EE"/>
                </w:rPr>
                <w:t>Consent of John Michael Parianos.</w:t>
              </w:r>
            </w:hyperlink>
          </w:p>
        </w:tc>
        <w:tc>
          <w:tcPr>
            <w:tcW w:w="78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88"/>
        </w:trPr>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840" w:type="dxa"/>
            <w:vAlign w:val="bottom"/>
            <w:tcBorders>
              <w:top w:val="single" w:sz="8" w:color="0000EE"/>
            </w:tcBorders>
            <w:shd w:val="clear" w:color="auto" w:fill="CCEEFF"/>
          </w:tcPr>
          <w:p>
            <w:pPr>
              <w:spacing w:after="0"/>
              <w:rPr>
                <w:sz w:val="7"/>
                <w:szCs w:val="7"/>
                <w:color w:val="auto"/>
              </w:rPr>
            </w:pPr>
          </w:p>
        </w:tc>
        <w:tc>
          <w:tcPr>
            <w:tcW w:w="24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44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right w:val="single" w:sz="8" w:color="CCEEFF"/>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tcPr>
          <w:p>
            <w:pPr>
              <w:spacing w:after="0"/>
              <w:rPr>
                <w:sz w:val="15"/>
                <w:szCs w:val="15"/>
                <w:color w:val="auto"/>
              </w:rPr>
            </w:pPr>
          </w:p>
        </w:tc>
        <w:tc>
          <w:tcPr>
            <w:tcW w:w="2560" w:type="dxa"/>
            <w:vAlign w:val="bottom"/>
            <w:tcBorders>
              <w:bottom w:val="single" w:sz="8" w:color="0000EE"/>
            </w:tcBorders>
            <w:gridSpan w:val="14"/>
          </w:tcPr>
          <w:p>
            <w:pPr>
              <w:spacing w:after="0" w:line="176" w:lineRule="exact"/>
              <w:rPr>
                <w:rFonts w:ascii="Arial" w:cs="Arial" w:eastAsia="Arial" w:hAnsi="Arial"/>
                <w:sz w:val="18"/>
                <w:szCs w:val="18"/>
                <w:color w:val="0000EE"/>
                <w:w w:val="91"/>
              </w:rPr>
            </w:pPr>
            <w:hyperlink w:anchor="page279">
              <w:r>
                <w:rPr>
                  <w:rFonts w:ascii="Arial" w:cs="Arial" w:eastAsia="Arial" w:hAnsi="Arial"/>
                  <w:sz w:val="18"/>
                  <w:szCs w:val="18"/>
                  <w:color w:val="0000EE"/>
                  <w:w w:val="91"/>
                </w:rPr>
                <w:t>Power of Attorney (included on the</w:t>
              </w:r>
            </w:hyperlink>
          </w:p>
        </w:tc>
        <w:tc>
          <w:tcPr>
            <w:tcW w:w="340" w:type="dxa"/>
            <w:vAlign w:val="bottom"/>
            <w:gridSpan w:val="10"/>
          </w:tcPr>
          <w:p>
            <w:pPr>
              <w:spacing w:after="0"/>
              <w:rPr>
                <w:sz w:val="15"/>
                <w:szCs w:val="15"/>
                <w:color w:val="auto"/>
              </w:rPr>
            </w:pPr>
          </w:p>
        </w:tc>
        <w:tc>
          <w:tcPr>
            <w:tcW w:w="7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rPr>
              <w:t>X</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24"/>
          </w:tcPr>
          <w:p>
            <w:pPr>
              <w:spacing w:after="0" w:line="196" w:lineRule="exact"/>
              <w:rPr>
                <w:rFonts w:ascii="Arial" w:cs="Arial" w:eastAsia="Arial" w:hAnsi="Arial"/>
                <w:sz w:val="18"/>
                <w:szCs w:val="18"/>
                <w:color w:val="0000EE"/>
              </w:rPr>
            </w:pPr>
            <w:hyperlink w:anchor="page279">
              <w:r>
                <w:rPr>
                  <w:rFonts w:ascii="Arial" w:cs="Arial" w:eastAsia="Arial" w:hAnsi="Arial"/>
                  <w:sz w:val="18"/>
                  <w:szCs w:val="18"/>
                  <w:color w:val="0000EE"/>
                </w:rPr>
                <w:t>signature page hereof)</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5"/>
                <w:szCs w:val="15"/>
                <w:color w:val="auto"/>
              </w:rPr>
            </w:pPr>
          </w:p>
        </w:tc>
        <w:tc>
          <w:tcPr>
            <w:tcW w:w="2900" w:type="dxa"/>
            <w:vAlign w:val="bottom"/>
            <w:gridSpan w:val="24"/>
            <w:shd w:val="clear" w:color="auto" w:fill="CCEEFF"/>
          </w:tcPr>
          <w:p>
            <w:pPr>
              <w:spacing w:after="0" w:line="176" w:lineRule="exact"/>
              <w:rPr>
                <w:rFonts w:ascii="Arial" w:cs="Arial" w:eastAsia="Arial" w:hAnsi="Arial"/>
                <w:sz w:val="18"/>
                <w:szCs w:val="18"/>
                <w:color w:val="0000EE"/>
                <w:w w:val="99"/>
              </w:rPr>
            </w:pPr>
            <w:hyperlink r:id="rId380">
              <w:r>
                <w:rPr>
                  <w:rFonts w:ascii="Arial" w:cs="Arial" w:eastAsia="Arial" w:hAnsi="Arial"/>
                  <w:sz w:val="18"/>
                  <w:szCs w:val="18"/>
                  <w:color w:val="0000EE"/>
                  <w:w w:val="99"/>
                </w:rPr>
                <w:t>Technical Report Summary — Initial</w:t>
              </w:r>
            </w:hyperlink>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500" w:type="dxa"/>
            <w:vAlign w:val="bottom"/>
            <w:tcBorders>
              <w:top w:val="single" w:sz="8" w:color="0000EE"/>
              <w:bottom w:val="single" w:sz="8" w:color="0000EE"/>
            </w:tcBorders>
            <w:gridSpan w:val="11"/>
            <w:shd w:val="clear" w:color="auto" w:fill="CCEEFF"/>
          </w:tcPr>
          <w:p>
            <w:pPr>
              <w:spacing w:after="0" w:line="196" w:lineRule="exact"/>
              <w:rPr>
                <w:rFonts w:ascii="Arial" w:cs="Arial" w:eastAsia="Arial" w:hAnsi="Arial"/>
                <w:sz w:val="18"/>
                <w:szCs w:val="18"/>
                <w:color w:val="0000EE"/>
                <w:w w:val="89"/>
              </w:rPr>
            </w:pPr>
            <w:hyperlink r:id="rId380">
              <w:r>
                <w:rPr>
                  <w:rFonts w:ascii="Arial" w:cs="Arial" w:eastAsia="Arial" w:hAnsi="Arial"/>
                  <w:sz w:val="18"/>
                  <w:szCs w:val="18"/>
                  <w:color w:val="0000EE"/>
                  <w:w w:val="89"/>
                </w:rPr>
                <w:t>Assessment of the NORI Property,</w:t>
              </w:r>
            </w:hyperlink>
          </w:p>
        </w:tc>
        <w:tc>
          <w:tcPr>
            <w:tcW w:w="180" w:type="dxa"/>
            <w:vAlign w:val="bottom"/>
            <w:tcBorders>
              <w:top w:val="single" w:sz="8" w:color="0000EE"/>
              <w:bottom w:val="single" w:sz="8" w:color="CCEEFF"/>
            </w:tcBorders>
            <w:gridSpan w:val="7"/>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00" w:type="dxa"/>
            <w:vAlign w:val="bottom"/>
            <w:tcBorders>
              <w:top w:val="single" w:sz="8" w:color="CCEEFF"/>
              <w:bottom w:val="single" w:sz="8" w:color="CCEEFF"/>
            </w:tcBorders>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auto"/>
                <w:w w:val="96"/>
              </w:rPr>
              <w:t>(Exhibit 96.1)</w:t>
            </w: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2"/>
              </w:rPr>
            </w:pPr>
            <w:hyperlink r:id="rId380">
              <w:r>
                <w:rPr>
                  <w:rFonts w:ascii="Arial" w:cs="Arial" w:eastAsia="Arial" w:hAnsi="Arial"/>
                  <w:sz w:val="18"/>
                  <w:szCs w:val="18"/>
                  <w:color w:val="0000EE"/>
                  <w:w w:val="92"/>
                </w:rPr>
                <w:t>Clarion-Clipperton Zone, for Deep</w:t>
              </w:r>
            </w:hyperlink>
          </w:p>
        </w:tc>
        <w:tc>
          <w:tcPr>
            <w:tcW w:w="380" w:type="dxa"/>
            <w:vAlign w:val="bottom"/>
            <w:tcBorders>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4"/>
            <w:shd w:val="clear" w:color="auto" w:fill="CCEEFF"/>
          </w:tcPr>
          <w:p>
            <w:pPr>
              <w:spacing w:after="0" w:line="196" w:lineRule="exact"/>
              <w:rPr>
                <w:rFonts w:ascii="Arial" w:cs="Arial" w:eastAsia="Arial" w:hAnsi="Arial"/>
                <w:sz w:val="18"/>
                <w:szCs w:val="18"/>
                <w:color w:val="0000EE"/>
              </w:rPr>
            </w:pPr>
            <w:hyperlink r:id="rId380">
              <w:r>
                <w:rPr>
                  <w:rFonts w:ascii="Arial" w:cs="Arial" w:eastAsia="Arial" w:hAnsi="Arial"/>
                  <w:sz w:val="18"/>
                  <w:szCs w:val="18"/>
                  <w:color w:val="0000EE"/>
                </w:rPr>
                <w:t>Green Metals Inc., effective as of</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720" w:type="dxa"/>
            <w:vAlign w:val="bottom"/>
            <w:tcBorders>
              <w:right w:val="single" w:sz="8" w:color="CCEEFF"/>
            </w:tcBorders>
            <w:gridSpan w:val="2"/>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2"/>
              </w:rPr>
            </w:pPr>
            <w:hyperlink r:id="rId380">
              <w:r>
                <w:rPr>
                  <w:rFonts w:ascii="Arial" w:cs="Arial" w:eastAsia="Arial" w:hAnsi="Arial"/>
                  <w:sz w:val="18"/>
                  <w:szCs w:val="18"/>
                  <w:color w:val="0000EE"/>
                  <w:w w:val="92"/>
                </w:rPr>
                <w:t>March 17, 2021, by AMC Consultants</w:t>
              </w:r>
            </w:hyperlink>
          </w:p>
        </w:tc>
        <w:tc>
          <w:tcPr>
            <w:tcW w:w="120" w:type="dxa"/>
            <w:vAlign w:val="bottom"/>
            <w:tcBorders>
              <w:bottom w:val="single" w:sz="8" w:color="CCEEFF"/>
            </w:tcBorders>
            <w:gridSpan w:val="3"/>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4"/>
            <w:shd w:val="clear" w:color="auto" w:fill="CCEEFF"/>
          </w:tcPr>
          <w:p>
            <w:pPr>
              <w:spacing w:after="0" w:line="196" w:lineRule="exact"/>
              <w:rPr>
                <w:rFonts w:ascii="Arial" w:cs="Arial" w:eastAsia="Arial" w:hAnsi="Arial"/>
                <w:sz w:val="18"/>
                <w:szCs w:val="18"/>
                <w:color w:val="0000EE"/>
              </w:rPr>
            </w:pPr>
            <w:hyperlink r:id="rId380">
              <w:r>
                <w:rPr>
                  <w:rFonts w:ascii="Arial" w:cs="Arial" w:eastAsia="Arial" w:hAnsi="Arial"/>
                  <w:sz w:val="18"/>
                  <w:szCs w:val="18"/>
                  <w:color w:val="0000EE"/>
                </w:rPr>
                <w:t>Pty Ltd and other qualified persons.</w:t>
              </w:r>
            </w:hyperlink>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96.2</w:t>
            </w:r>
          </w:p>
        </w:tc>
        <w:tc>
          <w:tcPr>
            <w:tcW w:w="100" w:type="dxa"/>
            <w:vAlign w:val="bottom"/>
          </w:tcPr>
          <w:p>
            <w:pPr>
              <w:spacing w:after="0"/>
              <w:rPr>
                <w:sz w:val="15"/>
                <w:szCs w:val="15"/>
                <w:color w:val="auto"/>
              </w:rPr>
            </w:pPr>
          </w:p>
        </w:tc>
        <w:tc>
          <w:tcPr>
            <w:tcW w:w="2900" w:type="dxa"/>
            <w:vAlign w:val="bottom"/>
            <w:gridSpan w:val="24"/>
          </w:tcPr>
          <w:p>
            <w:pPr>
              <w:spacing w:after="0" w:line="176" w:lineRule="exact"/>
              <w:rPr>
                <w:rFonts w:ascii="Arial" w:cs="Arial" w:eastAsia="Arial" w:hAnsi="Arial"/>
                <w:sz w:val="18"/>
                <w:szCs w:val="18"/>
                <w:color w:val="0000EE"/>
                <w:w w:val="99"/>
              </w:rPr>
            </w:pPr>
            <w:hyperlink r:id="rId381">
              <w:r>
                <w:rPr>
                  <w:rFonts w:ascii="Arial" w:cs="Arial" w:eastAsia="Arial" w:hAnsi="Arial"/>
                  <w:sz w:val="18"/>
                  <w:szCs w:val="18"/>
                  <w:color w:val="0000EE"/>
                  <w:w w:val="99"/>
                </w:rPr>
                <w:t>Technical Report Summary — Initial</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3"/>
              </w:rPr>
              <w:t>Form S-4/A</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381">
              <w:r>
                <w:rPr>
                  <w:rFonts w:ascii="Arial" w:cs="Arial" w:eastAsia="Arial" w:hAnsi="Arial"/>
                  <w:sz w:val="18"/>
                  <w:szCs w:val="18"/>
                  <w:color w:val="0000EE"/>
                  <w:w w:val="92"/>
                </w:rPr>
                <w:t>Assessment of the TOML Mineral</w:t>
              </w:r>
            </w:hyperlink>
          </w:p>
        </w:tc>
        <w:tc>
          <w:tcPr>
            <w:tcW w:w="200" w:type="dxa"/>
            <w:vAlign w:val="bottom"/>
            <w:tcBorders>
              <w:top w:val="single" w:sz="8" w:color="0000EE"/>
            </w:tcBorders>
            <w:gridSpan w:val="8"/>
          </w:tcPr>
          <w:p>
            <w:pPr>
              <w:spacing w:after="0"/>
              <w:rPr>
                <w:sz w:val="17"/>
                <w:szCs w:val="17"/>
                <w:color w:val="auto"/>
              </w:rPr>
            </w:pPr>
          </w:p>
        </w:tc>
        <w:tc>
          <w:tcPr>
            <w:tcW w:w="22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6"/>
              </w:rPr>
              <w:t>(Exhibit 96.2)</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381">
              <w:r>
                <w:rPr>
                  <w:rFonts w:ascii="Arial" w:cs="Arial" w:eastAsia="Arial" w:hAnsi="Arial"/>
                  <w:sz w:val="18"/>
                  <w:szCs w:val="18"/>
                  <w:color w:val="0000EE"/>
                  <w:w w:val="91"/>
                </w:rPr>
                <w:t>Resource, Clarion-Clipperton Zone,</w:t>
              </w:r>
            </w:hyperlink>
          </w:p>
        </w:tc>
        <w:tc>
          <w:tcPr>
            <w:tcW w:w="30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381">
              <w:r>
                <w:rPr>
                  <w:rFonts w:ascii="Arial" w:cs="Arial" w:eastAsia="Arial" w:hAnsi="Arial"/>
                  <w:sz w:val="18"/>
                  <w:szCs w:val="18"/>
                  <w:color w:val="0000EE"/>
                  <w:w w:val="90"/>
                </w:rPr>
                <w:t>Pacific Ocean, for Deep Green Metals</w:t>
              </w:r>
            </w:hyperlink>
          </w:p>
        </w:tc>
        <w:tc>
          <w:tcPr>
            <w:tcW w:w="1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381">
              <w:r>
                <w:rPr>
                  <w:rFonts w:ascii="Arial" w:cs="Arial" w:eastAsia="Arial" w:hAnsi="Arial"/>
                  <w:sz w:val="18"/>
                  <w:szCs w:val="18"/>
                  <w:color w:val="0000EE"/>
                  <w:w w:val="91"/>
                </w:rPr>
                <w:t>Inc., effective as of March 26, 2021,</w:t>
              </w:r>
            </w:hyperlink>
          </w:p>
        </w:tc>
        <w:tc>
          <w:tcPr>
            <w:tcW w:w="28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381">
              <w:r>
                <w:rPr>
                  <w:rFonts w:ascii="Arial" w:cs="Arial" w:eastAsia="Arial" w:hAnsi="Arial"/>
                  <w:sz w:val="18"/>
                  <w:szCs w:val="18"/>
                  <w:color w:val="0000EE"/>
                  <w:w w:val="91"/>
                </w:rPr>
                <w:t>by AMC Consultants Pty Ltd and</w:t>
              </w:r>
            </w:hyperlink>
          </w:p>
        </w:tc>
        <w:tc>
          <w:tcPr>
            <w:tcW w:w="480" w:type="dxa"/>
            <w:vAlign w:val="bottom"/>
            <w:gridSpan w:val="16"/>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24"/>
          </w:tcPr>
          <w:p>
            <w:pPr>
              <w:spacing w:after="0" w:line="196" w:lineRule="exact"/>
              <w:rPr>
                <w:rFonts w:ascii="Arial" w:cs="Arial" w:eastAsia="Arial" w:hAnsi="Arial"/>
                <w:sz w:val="18"/>
                <w:szCs w:val="18"/>
                <w:color w:val="0000EE"/>
              </w:rPr>
            </w:pPr>
            <w:hyperlink r:id="rId381">
              <w:r>
                <w:rPr>
                  <w:rFonts w:ascii="Arial" w:cs="Arial" w:eastAsia="Arial" w:hAnsi="Arial"/>
                  <w:sz w:val="18"/>
                  <w:szCs w:val="18"/>
                  <w:color w:val="0000EE"/>
                </w:rPr>
                <w:t>other qualified persons.</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63"/>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gridSpan w:val="24"/>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X</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02"/>
        </w:trPr>
        <w:tc>
          <w:tcPr>
            <w:tcW w:w="740" w:type="dxa"/>
            <w:vAlign w:val="bottom"/>
          </w:tcPr>
          <w:p>
            <w:pPr>
              <w:spacing w:after="0" w:line="201" w:lineRule="exact"/>
              <w:rPr>
                <w:sz w:val="20"/>
                <w:szCs w:val="20"/>
                <w:color w:val="auto"/>
              </w:rPr>
            </w:pPr>
            <w:r>
              <w:rPr>
                <w:rFonts w:ascii="Arial" w:cs="Arial" w:eastAsia="Arial" w:hAnsi="Arial"/>
                <w:sz w:val="18"/>
                <w:szCs w:val="18"/>
                <w:color w:val="auto"/>
                <w:w w:val="98"/>
              </w:rPr>
              <w:t>101.SCH</w:t>
            </w:r>
          </w:p>
        </w:tc>
        <w:tc>
          <w:tcPr>
            <w:tcW w:w="100" w:type="dxa"/>
            <w:vAlign w:val="bottom"/>
          </w:tcPr>
          <w:p>
            <w:pPr>
              <w:spacing w:after="0"/>
              <w:rPr>
                <w:sz w:val="17"/>
                <w:szCs w:val="17"/>
                <w:color w:val="auto"/>
              </w:rPr>
            </w:pPr>
          </w:p>
        </w:tc>
        <w:tc>
          <w:tcPr>
            <w:tcW w:w="2900" w:type="dxa"/>
            <w:vAlign w:val="bottom"/>
            <w:gridSpan w:val="24"/>
          </w:tcPr>
          <w:p>
            <w:pPr>
              <w:spacing w:after="0" w:line="201" w:lineRule="exact"/>
              <w:rPr>
                <w:sz w:val="20"/>
                <w:szCs w:val="20"/>
                <w:color w:val="auto"/>
              </w:rPr>
            </w:pPr>
            <w:r>
              <w:rPr>
                <w:rFonts w:ascii="Arial" w:cs="Arial" w:eastAsia="Arial" w:hAnsi="Arial"/>
                <w:sz w:val="18"/>
                <w:szCs w:val="18"/>
                <w:color w:val="auto"/>
              </w:rPr>
              <w:t>XBRL Taxonomy Extension</w:t>
            </w:r>
          </w:p>
        </w:tc>
        <w:tc>
          <w:tcPr>
            <w:tcW w:w="78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rPr>
              <w:t>X</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24"/>
          </w:tcPr>
          <w:p>
            <w:pPr>
              <w:spacing w:after="0"/>
              <w:rPr>
                <w:sz w:val="20"/>
                <w:szCs w:val="20"/>
                <w:color w:val="auto"/>
              </w:rPr>
            </w:pPr>
            <w:r>
              <w:rPr>
                <w:rFonts w:ascii="Arial" w:cs="Arial" w:eastAsia="Arial" w:hAnsi="Arial"/>
                <w:sz w:val="18"/>
                <w:szCs w:val="18"/>
                <w:color w:val="auto"/>
              </w:rPr>
              <w:t>Schema Document</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
        </w:trPr>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101.CAL</w:t>
            </w:r>
          </w:p>
        </w:tc>
        <w:tc>
          <w:tcPr>
            <w:tcW w:w="100" w:type="dxa"/>
            <w:vAlign w:val="bottom"/>
            <w:shd w:val="clear" w:color="auto" w:fill="CCEEFF"/>
          </w:tcPr>
          <w:p>
            <w:pPr>
              <w:spacing w:after="0"/>
              <w:rPr>
                <w:sz w:val="17"/>
                <w:szCs w:val="17"/>
                <w:color w:val="auto"/>
              </w:rPr>
            </w:pPr>
          </w:p>
        </w:tc>
        <w:tc>
          <w:tcPr>
            <w:tcW w:w="2900" w:type="dxa"/>
            <w:vAlign w:val="bottom"/>
            <w:gridSpan w:val="24"/>
            <w:shd w:val="clear" w:color="auto" w:fill="CCEEFF"/>
          </w:tcPr>
          <w:p>
            <w:pPr>
              <w:spacing w:after="0" w:line="201" w:lineRule="exact"/>
              <w:rPr>
                <w:sz w:val="20"/>
                <w:szCs w:val="20"/>
                <w:color w:val="auto"/>
              </w:rPr>
            </w:pPr>
            <w:r>
              <w:rPr>
                <w:rFonts w:ascii="Arial" w:cs="Arial" w:eastAsia="Arial" w:hAnsi="Arial"/>
                <w:sz w:val="18"/>
                <w:szCs w:val="18"/>
                <w:color w:val="auto"/>
              </w:rPr>
              <w:t>XBRL Taxonomy Extension</w:t>
            </w:r>
          </w:p>
        </w:tc>
        <w:tc>
          <w:tcPr>
            <w:tcW w:w="78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rPr>
              <w:t>X</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51"/>
        </w:trPr>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4"/>
            <w:shd w:val="clear" w:color="auto" w:fill="CCEEFF"/>
          </w:tcPr>
          <w:p>
            <w:pPr>
              <w:spacing w:after="0"/>
              <w:rPr>
                <w:sz w:val="20"/>
                <w:szCs w:val="20"/>
                <w:color w:val="auto"/>
              </w:rPr>
            </w:pPr>
            <w:r>
              <w:rPr>
                <w:rFonts w:ascii="Arial" w:cs="Arial" w:eastAsia="Arial" w:hAnsi="Arial"/>
                <w:sz w:val="18"/>
                <w:szCs w:val="18"/>
                <w:color w:val="auto"/>
              </w:rPr>
              <w:t>Calculation Linkbase Document</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2"/>
        </w:trPr>
        <w:tc>
          <w:tcPr>
            <w:tcW w:w="740" w:type="dxa"/>
            <w:vAlign w:val="bottom"/>
          </w:tcPr>
          <w:p>
            <w:pPr>
              <w:spacing w:after="0" w:line="201" w:lineRule="exact"/>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7"/>
                <w:szCs w:val="17"/>
                <w:color w:val="auto"/>
              </w:rPr>
            </w:pPr>
          </w:p>
        </w:tc>
        <w:tc>
          <w:tcPr>
            <w:tcW w:w="2900" w:type="dxa"/>
            <w:vAlign w:val="bottom"/>
            <w:gridSpan w:val="24"/>
          </w:tcPr>
          <w:p>
            <w:pPr>
              <w:spacing w:after="0" w:line="201" w:lineRule="exact"/>
              <w:rPr>
                <w:sz w:val="20"/>
                <w:szCs w:val="20"/>
                <w:color w:val="auto"/>
              </w:rPr>
            </w:pPr>
            <w:r>
              <w:rPr>
                <w:rFonts w:ascii="Arial" w:cs="Arial" w:eastAsia="Arial" w:hAnsi="Arial"/>
                <w:sz w:val="18"/>
                <w:szCs w:val="18"/>
                <w:color w:val="auto"/>
              </w:rPr>
              <w:t>XBRL Taxonomy Extension</w:t>
            </w:r>
          </w:p>
        </w:tc>
        <w:tc>
          <w:tcPr>
            <w:tcW w:w="78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rPr>
              <w:t>X</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24"/>
          </w:tcPr>
          <w:p>
            <w:pPr>
              <w:spacing w:after="0"/>
              <w:rPr>
                <w:sz w:val="20"/>
                <w:szCs w:val="20"/>
                <w:color w:val="auto"/>
              </w:rPr>
            </w:pPr>
            <w:r>
              <w:rPr>
                <w:rFonts w:ascii="Arial" w:cs="Arial" w:eastAsia="Arial" w:hAnsi="Arial"/>
                <w:sz w:val="18"/>
                <w:szCs w:val="18"/>
                <w:color w:val="auto"/>
              </w:rPr>
              <w:t>Definition Linkbase Document</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
        </w:trPr>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7"/>
                <w:szCs w:val="17"/>
                <w:color w:val="auto"/>
              </w:rPr>
            </w:pPr>
          </w:p>
        </w:tc>
        <w:tc>
          <w:tcPr>
            <w:tcW w:w="2900" w:type="dxa"/>
            <w:vAlign w:val="bottom"/>
            <w:gridSpan w:val="24"/>
            <w:shd w:val="clear" w:color="auto" w:fill="CCEEFF"/>
          </w:tcPr>
          <w:p>
            <w:pPr>
              <w:spacing w:after="0" w:line="201" w:lineRule="exact"/>
              <w:rPr>
                <w:sz w:val="20"/>
                <w:szCs w:val="20"/>
                <w:color w:val="auto"/>
              </w:rPr>
            </w:pPr>
            <w:r>
              <w:rPr>
                <w:rFonts w:ascii="Arial" w:cs="Arial" w:eastAsia="Arial" w:hAnsi="Arial"/>
                <w:sz w:val="18"/>
                <w:szCs w:val="18"/>
                <w:color w:val="auto"/>
              </w:rPr>
              <w:t>XBRL Taxonomy Extension Label</w:t>
            </w:r>
          </w:p>
        </w:tc>
        <w:tc>
          <w:tcPr>
            <w:tcW w:w="78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rPr>
              <w:t>X</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51"/>
        </w:trPr>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4"/>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2"/>
        </w:trPr>
        <w:tc>
          <w:tcPr>
            <w:tcW w:w="740" w:type="dxa"/>
            <w:vAlign w:val="bottom"/>
          </w:tcPr>
          <w:p>
            <w:pPr>
              <w:spacing w:after="0" w:line="201" w:lineRule="exact"/>
              <w:rPr>
                <w:sz w:val="20"/>
                <w:szCs w:val="20"/>
                <w:color w:val="auto"/>
              </w:rPr>
            </w:pPr>
            <w:r>
              <w:rPr>
                <w:rFonts w:ascii="Arial" w:cs="Arial" w:eastAsia="Arial" w:hAnsi="Arial"/>
                <w:sz w:val="18"/>
                <w:szCs w:val="18"/>
                <w:color w:val="auto"/>
                <w:w w:val="99"/>
              </w:rPr>
              <w:t>101.PRE</w:t>
            </w:r>
          </w:p>
        </w:tc>
        <w:tc>
          <w:tcPr>
            <w:tcW w:w="100" w:type="dxa"/>
            <w:vAlign w:val="bottom"/>
          </w:tcPr>
          <w:p>
            <w:pPr>
              <w:spacing w:after="0"/>
              <w:rPr>
                <w:sz w:val="17"/>
                <w:szCs w:val="17"/>
                <w:color w:val="auto"/>
              </w:rPr>
            </w:pPr>
          </w:p>
        </w:tc>
        <w:tc>
          <w:tcPr>
            <w:tcW w:w="2900" w:type="dxa"/>
            <w:vAlign w:val="bottom"/>
            <w:gridSpan w:val="24"/>
          </w:tcPr>
          <w:p>
            <w:pPr>
              <w:spacing w:after="0" w:line="201" w:lineRule="exact"/>
              <w:rPr>
                <w:sz w:val="20"/>
                <w:szCs w:val="20"/>
                <w:color w:val="auto"/>
              </w:rPr>
            </w:pPr>
            <w:r>
              <w:rPr>
                <w:rFonts w:ascii="Arial" w:cs="Arial" w:eastAsia="Arial" w:hAnsi="Arial"/>
                <w:sz w:val="18"/>
                <w:szCs w:val="18"/>
                <w:color w:val="auto"/>
              </w:rPr>
              <w:t>XBRL Taxonomy Extension</w:t>
            </w:r>
          </w:p>
        </w:tc>
        <w:tc>
          <w:tcPr>
            <w:tcW w:w="78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rPr>
              <w:t>X</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24"/>
          </w:tcPr>
          <w:p>
            <w:pPr>
              <w:spacing w:after="0"/>
              <w:rPr>
                <w:sz w:val="20"/>
                <w:szCs w:val="20"/>
                <w:color w:val="auto"/>
              </w:rPr>
            </w:pPr>
            <w:r>
              <w:rPr>
                <w:rFonts w:ascii="Arial" w:cs="Arial" w:eastAsia="Arial" w:hAnsi="Arial"/>
                <w:sz w:val="18"/>
                <w:szCs w:val="18"/>
                <w:color w:val="auto"/>
              </w:rPr>
              <w:t>Presentation Linkbase Document</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Certain confidential portions (indicated by brackets and asterisks) have been omitted from this exhibit.</w:t>
      </w:r>
    </w:p>
    <w:p>
      <w:pPr>
        <w:spacing w:after="0" w:line="22" w:lineRule="exact"/>
        <w:rPr>
          <w:sz w:val="20"/>
          <w:szCs w:val="20"/>
          <w:color w:val="auto"/>
        </w:rPr>
      </w:pPr>
    </w:p>
    <w:p>
      <w:pPr>
        <w:ind w:left="860" w:hanging="406"/>
        <w:spacing w:after="0"/>
        <w:tabs>
          <w:tab w:leader="none" w:pos="86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Certain of the exhibits and schedules to this Exhibit have been omitted in accordance with Regulation S-K Item 601(a)</w:t>
      </w:r>
    </w:p>
    <w:p>
      <w:pPr>
        <w:spacing w:after="0" w:line="4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5"/>
          <w:szCs w:val="15"/>
          <w:color w:val="auto"/>
        </w:rPr>
        <w:t>(5). The Registrant agrees to furnish a copy of all omitted exhibits and schedules to the SEC upon its request.</w:t>
      </w:r>
    </w:p>
    <w:p>
      <w:pPr>
        <w:spacing w:after="0" w:line="30" w:lineRule="exact"/>
        <w:rPr>
          <w:sz w:val="20"/>
          <w:szCs w:val="20"/>
          <w:color w:val="auto"/>
        </w:rPr>
      </w:pPr>
    </w:p>
    <w:p>
      <w:pPr>
        <w:ind w:left="860" w:hanging="406"/>
        <w:spacing w:after="0"/>
        <w:tabs>
          <w:tab w:leader="none" w:pos="8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ind w:left="1320" w:right="459" w:hanging="434"/>
        <w:spacing w:after="0" w:line="277" w:lineRule="auto"/>
        <w:tabs>
          <w:tab w:leader="none" w:pos="127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1700" w:hanging="382"/>
        <w:spacing w:after="0"/>
        <w:tabs>
          <w:tab w:leader="none" w:pos="17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44" w:lineRule="exact"/>
        <w:rPr>
          <w:rFonts w:ascii="Arial" w:cs="Arial" w:eastAsia="Arial" w:hAnsi="Arial"/>
          <w:sz w:val="18"/>
          <w:szCs w:val="18"/>
          <w:color w:val="auto"/>
        </w:rPr>
      </w:pPr>
    </w:p>
    <w:p>
      <w:pPr>
        <w:ind w:left="1760" w:right="459" w:hanging="442"/>
        <w:spacing w:after="0" w:line="259" w:lineRule="auto"/>
        <w:tabs>
          <w:tab w:leader="none" w:pos="172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6" w:name="page277"/>
    <w:bookmarkEnd w:id="27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right="579"/>
        <w:spacing w:after="0" w:line="254" w:lineRule="auto"/>
        <w:rPr>
          <w:sz w:val="20"/>
          <w:szCs w:val="20"/>
          <w:color w:val="auto"/>
        </w:rPr>
      </w:pPr>
      <w:r>
        <w:rPr>
          <w:rFonts w:ascii="Arial" w:cs="Arial" w:eastAsia="Arial" w:hAnsi="Arial"/>
          <w:sz w:val="18"/>
          <w:szCs w:val="18"/>
          <w:color w:val="auto"/>
        </w:rPr>
        <w:t>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4" w:lineRule="exact"/>
        <w:rPr>
          <w:sz w:val="20"/>
          <w:szCs w:val="20"/>
          <w:color w:val="auto"/>
        </w:rPr>
      </w:pPr>
    </w:p>
    <w:p>
      <w:pPr>
        <w:ind w:left="1760" w:right="839" w:hanging="442"/>
        <w:spacing w:after="0" w:line="263" w:lineRule="auto"/>
        <w:tabs>
          <w:tab w:leader="none" w:pos="173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(a)(1)(ii) and (a)(1)(iii) of this section do not apply if the</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information required to be included in a post-effective amendment by those paragraphs is contained in</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reports filed with or furnished to the Commission by the registrant pursuant to Section 13 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Section 15(d) of the Securities and Exchange Act of 1934, as amended (the “Exchange Act”), that are</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incorporated by reference in the registration statement, or is contained in a form of prospectus filed</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pursuant to Rule 424(b) that is part of the registration statement.</w:t>
      </w:r>
    </w:p>
    <w:p>
      <w:pPr>
        <w:spacing w:after="0" w:line="130" w:lineRule="exact"/>
        <w:rPr>
          <w:sz w:val="20"/>
          <w:szCs w:val="20"/>
          <w:color w:val="auto"/>
        </w:rPr>
      </w:pPr>
    </w:p>
    <w:p>
      <w:pPr>
        <w:ind w:left="1320" w:right="579" w:hanging="434"/>
        <w:spacing w:after="0" w:line="259" w:lineRule="auto"/>
        <w:tabs>
          <w:tab w:leader="none" w:pos="127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Arial" w:cs="Arial" w:eastAsia="Arial" w:hAnsi="Arial"/>
          <w:sz w:val="18"/>
          <w:szCs w:val="18"/>
          <w:color w:val="auto"/>
        </w:rPr>
      </w:pPr>
    </w:p>
    <w:p>
      <w:pPr>
        <w:ind w:left="1320" w:right="819" w:hanging="434"/>
        <w:spacing w:after="0" w:line="277" w:lineRule="auto"/>
        <w:tabs>
          <w:tab w:leader="none" w:pos="127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ind w:left="1280" w:hanging="394"/>
        <w:spacing w:after="0"/>
        <w:tabs>
          <w:tab w:leader="none" w:pos="12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44" w:lineRule="exact"/>
        <w:rPr>
          <w:rFonts w:ascii="Arial" w:cs="Arial" w:eastAsia="Arial" w:hAnsi="Arial"/>
          <w:sz w:val="18"/>
          <w:szCs w:val="18"/>
          <w:color w:val="auto"/>
        </w:rPr>
      </w:pPr>
    </w:p>
    <w:p>
      <w:pPr>
        <w:ind w:left="1760" w:right="639" w:hanging="442"/>
        <w:spacing w:after="0" w:line="263" w:lineRule="auto"/>
        <w:tabs>
          <w:tab w:leader="none" w:pos="172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6" w:lineRule="exact"/>
        <w:rPr>
          <w:rFonts w:ascii="Arial" w:cs="Arial" w:eastAsia="Arial" w:hAnsi="Arial"/>
          <w:sz w:val="18"/>
          <w:szCs w:val="18"/>
          <w:color w:val="auto"/>
        </w:rPr>
      </w:pPr>
    </w:p>
    <w:p>
      <w:pPr>
        <w:ind w:left="1760" w:right="479" w:hanging="442"/>
        <w:spacing w:after="0" w:line="285" w:lineRule="auto"/>
        <w:tabs>
          <w:tab w:leader="none" w:pos="172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6" w:lineRule="exact"/>
        <w:rPr>
          <w:rFonts w:ascii="Arial" w:cs="Arial" w:eastAsia="Arial" w:hAnsi="Arial"/>
          <w:sz w:val="16"/>
          <w:szCs w:val="16"/>
          <w:color w:val="auto"/>
        </w:rPr>
      </w:pPr>
    </w:p>
    <w:p>
      <w:pPr>
        <w:ind w:left="1320" w:right="619" w:hanging="434"/>
        <w:spacing w:after="0" w:line="259" w:lineRule="auto"/>
        <w:tabs>
          <w:tab w:leader="none" w:pos="127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7" w:name="page278"/>
    <w:bookmarkEnd w:id="27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spacing w:after="0" w:line="259" w:lineRule="auto"/>
        <w:rPr>
          <w:sz w:val="20"/>
          <w:szCs w:val="20"/>
          <w:color w:val="auto"/>
        </w:rPr>
      </w:pPr>
      <w:r>
        <w:rPr>
          <w:rFonts w:ascii="Arial" w:cs="Arial" w:eastAsia="Arial" w:hAnsi="Arial"/>
          <w:sz w:val="18"/>
          <w:szCs w:val="18"/>
          <w:color w:val="auto"/>
        </w:rPr>
        <w:t>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9" w:lineRule="exact"/>
        <w:rPr>
          <w:sz w:val="20"/>
          <w:szCs w:val="20"/>
          <w:color w:val="auto"/>
        </w:rPr>
      </w:pPr>
    </w:p>
    <w:p>
      <w:pPr>
        <w:ind w:left="1760" w:right="519" w:hanging="442"/>
        <w:spacing w:after="0" w:line="277" w:lineRule="auto"/>
        <w:tabs>
          <w:tab w:leader="none" w:pos="171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1760" w:right="1359" w:hanging="442"/>
        <w:spacing w:after="0" w:line="342" w:lineRule="auto"/>
        <w:tabs>
          <w:tab w:leader="none" w:pos="171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42" w:lineRule="exact"/>
        <w:rPr>
          <w:rFonts w:ascii="Arial" w:cs="Arial" w:eastAsia="Arial" w:hAnsi="Arial"/>
          <w:sz w:val="16"/>
          <w:szCs w:val="16"/>
          <w:color w:val="auto"/>
        </w:rPr>
      </w:pPr>
    </w:p>
    <w:p>
      <w:pPr>
        <w:ind w:left="1760" w:right="639" w:hanging="442"/>
        <w:spacing w:after="0" w:line="263" w:lineRule="auto"/>
        <w:tabs>
          <w:tab w:leader="none" w:pos="173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1760" w:right="519" w:hanging="442"/>
        <w:spacing w:after="0" w:line="277" w:lineRule="auto"/>
        <w:tabs>
          <w:tab w:leader="none" w:pos="171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3" w:lineRule="exact"/>
        <w:rPr>
          <w:sz w:val="20"/>
          <w:szCs w:val="20"/>
          <w:color w:val="auto"/>
        </w:rPr>
      </w:pPr>
    </w:p>
    <w:p>
      <w:pPr>
        <w:ind w:left="460" w:right="579" w:firstLine="432"/>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8" w:name="page279"/>
    <w:bookmarkEnd w:id="27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October 7, 2021.</w:t>
      </w:r>
    </w:p>
    <w:p>
      <w:pPr>
        <w:spacing w:after="0" w:line="15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TMC THE METALS COMPANY INC.</w:t>
      </w:r>
    </w:p>
    <w:p>
      <w:pPr>
        <w:spacing w:after="0" w:line="216"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Shesky</w:t>
      </w:r>
    </w:p>
    <w:p>
      <w:pPr>
        <w:spacing w:after="0" w:line="7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-130175</wp:posOffset>
            </wp:positionV>
            <wp:extent cx="230568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w:t>
      </w:r>
    </w:p>
    <w:p>
      <w:pPr>
        <w:spacing w:after="0" w:line="2" w:lineRule="exact"/>
        <w:rPr>
          <w:sz w:val="20"/>
          <w:szCs w:val="20"/>
          <w:color w:val="auto"/>
        </w:rPr>
      </w:pPr>
    </w:p>
    <w:p>
      <w:pPr>
        <w:ind w:left="460" w:right="459"/>
        <w:spacing w:after="0" w:line="269" w:lineRule="auto"/>
        <w:rPr>
          <w:sz w:val="20"/>
          <w:szCs w:val="20"/>
          <w:color w:val="auto"/>
        </w:rPr>
      </w:pPr>
      <w:r>
        <w:rPr>
          <w:rFonts w:ascii="Arial" w:cs="Arial" w:eastAsia="Arial" w:hAnsi="Arial"/>
          <w:sz w:val="17"/>
          <w:szCs w:val="17"/>
          <w:color w:val="auto"/>
        </w:rPr>
        <w:t>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13"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dated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0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8"/>
                <w:szCs w:val="18"/>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Title</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tcPr>
          <w:p>
            <w:pPr>
              <w:spacing w:after="0"/>
              <w:rPr>
                <w:sz w:val="20"/>
                <w:szCs w:val="20"/>
                <w:color w:val="auto"/>
              </w:rPr>
            </w:pPr>
            <w:r>
              <w:rPr>
                <w:rFonts w:ascii="Arial" w:cs="Arial" w:eastAsia="Arial" w:hAnsi="Arial"/>
                <w:sz w:val="18"/>
                <w:szCs w:val="18"/>
                <w:color w:val="auto"/>
              </w:rPr>
              <w:t>/s/ Gerard Barron</w:t>
            </w:r>
          </w:p>
        </w:tc>
        <w:tc>
          <w:tcPr>
            <w:tcW w:w="100" w:type="dxa"/>
            <w:vAlign w:val="bottom"/>
          </w:tcPr>
          <w:p>
            <w:pPr>
              <w:spacing w:after="0"/>
              <w:rPr>
                <w:sz w:val="24"/>
                <w:szCs w:val="24"/>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and Chairman</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7, 2021</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Gerard Barron</w:t>
            </w:r>
          </w:p>
        </w:tc>
        <w:tc>
          <w:tcPr>
            <w:tcW w:w="100" w:type="dxa"/>
            <w:vAlign w:val="bottom"/>
          </w:tcPr>
          <w:p>
            <w:pPr>
              <w:spacing w:after="0"/>
              <w:rPr>
                <w:sz w:val="19"/>
                <w:szCs w:val="19"/>
                <w:color w:val="auto"/>
              </w:rPr>
            </w:pPr>
          </w:p>
        </w:tc>
        <w:tc>
          <w:tcPr>
            <w:tcW w:w="35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0" w:type="dxa"/>
            <w:vAlign w:val="bottom"/>
          </w:tcPr>
          <w:p>
            <w:pPr>
              <w:spacing w:after="0"/>
              <w:rPr>
                <w:sz w:val="20"/>
                <w:szCs w:val="20"/>
                <w:color w:val="auto"/>
              </w:rPr>
            </w:pPr>
            <w:r>
              <w:rPr>
                <w:rFonts w:ascii="Arial" w:cs="Arial" w:eastAsia="Arial" w:hAnsi="Arial"/>
                <w:sz w:val="18"/>
                <w:szCs w:val="18"/>
                <w:color w:val="auto"/>
              </w:rPr>
              <w:t>/s/ Craig Shesky</w:t>
            </w:r>
          </w:p>
        </w:tc>
        <w:tc>
          <w:tcPr>
            <w:tcW w:w="100" w:type="dxa"/>
            <w:vAlign w:val="bottom"/>
          </w:tcPr>
          <w:p>
            <w:pPr>
              <w:spacing w:after="0"/>
              <w:rPr>
                <w:sz w:val="24"/>
                <w:szCs w:val="24"/>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7, 2021</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Craig Shesky</w:t>
            </w:r>
          </w:p>
        </w:tc>
        <w:tc>
          <w:tcPr>
            <w:tcW w:w="100" w:type="dxa"/>
            <w:vAlign w:val="bottom"/>
          </w:tcPr>
          <w:p>
            <w:pPr>
              <w:spacing w:after="0"/>
              <w:rPr>
                <w:sz w:val="19"/>
                <w:szCs w:val="19"/>
                <w:color w:val="auto"/>
              </w:rPr>
            </w:pPr>
          </w:p>
        </w:tc>
        <w:tc>
          <w:tcPr>
            <w:tcW w:w="35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0" w:type="dxa"/>
            <w:vAlign w:val="bottom"/>
          </w:tcPr>
          <w:p>
            <w:pPr>
              <w:spacing w:after="0"/>
              <w:rPr>
                <w:sz w:val="20"/>
                <w:szCs w:val="20"/>
                <w:color w:val="auto"/>
              </w:rPr>
            </w:pPr>
            <w:r>
              <w:rPr>
                <w:rFonts w:ascii="Arial" w:cs="Arial" w:eastAsia="Arial" w:hAnsi="Arial"/>
                <w:sz w:val="18"/>
                <w:szCs w:val="18"/>
                <w:color w:val="auto"/>
              </w:rPr>
              <w:t>/s/ Gina Stryker</w:t>
            </w:r>
          </w:p>
        </w:tc>
        <w:tc>
          <w:tcPr>
            <w:tcW w:w="100" w:type="dxa"/>
            <w:vAlign w:val="bottom"/>
          </w:tcPr>
          <w:p>
            <w:pPr>
              <w:spacing w:after="0"/>
              <w:rPr>
                <w:sz w:val="24"/>
                <w:szCs w:val="24"/>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7, 2021</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600" w:type="dxa"/>
            <w:vAlign w:val="bottom"/>
          </w:tcPr>
          <w:p>
            <w:pPr>
              <w:spacing w:after="0"/>
              <w:rPr>
                <w:sz w:val="20"/>
                <w:szCs w:val="20"/>
                <w:color w:val="auto"/>
              </w:rPr>
            </w:pPr>
            <w:r>
              <w:rPr>
                <w:rFonts w:ascii="Arial" w:cs="Arial" w:eastAsia="Arial" w:hAnsi="Arial"/>
                <w:sz w:val="18"/>
                <w:szCs w:val="18"/>
                <w:color w:val="auto"/>
              </w:rPr>
              <w:t>Gina Stryker</w:t>
            </w: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600" w:type="dxa"/>
            <w:vAlign w:val="bottom"/>
          </w:tcPr>
          <w:p>
            <w:pPr>
              <w:spacing w:after="0"/>
              <w:rPr>
                <w:sz w:val="20"/>
                <w:szCs w:val="20"/>
                <w:color w:val="auto"/>
              </w:rPr>
            </w:pPr>
            <w:r>
              <w:rPr>
                <w:rFonts w:ascii="Arial" w:cs="Arial" w:eastAsia="Arial" w:hAnsi="Arial"/>
                <w:sz w:val="18"/>
                <w:szCs w:val="18"/>
                <w:color w:val="auto"/>
              </w:rPr>
              <w:t>/s/ Christian Madsbjerg</w:t>
            </w:r>
          </w:p>
        </w:tc>
        <w:tc>
          <w:tcPr>
            <w:tcW w:w="100" w:type="dxa"/>
            <w:vAlign w:val="bottom"/>
          </w:tcPr>
          <w:p>
            <w:pPr>
              <w:spacing w:after="0"/>
              <w:rPr>
                <w:sz w:val="24"/>
                <w:szCs w:val="24"/>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7, 2021</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Christian Madsbjerg</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0" w:type="dxa"/>
            <w:vAlign w:val="bottom"/>
          </w:tcPr>
          <w:p>
            <w:pPr>
              <w:spacing w:after="0"/>
              <w:rPr>
                <w:sz w:val="20"/>
                <w:szCs w:val="20"/>
                <w:color w:val="auto"/>
              </w:rPr>
            </w:pPr>
            <w:r>
              <w:rPr>
                <w:rFonts w:ascii="Arial" w:cs="Arial" w:eastAsia="Arial" w:hAnsi="Arial"/>
                <w:sz w:val="18"/>
                <w:szCs w:val="18"/>
                <w:color w:val="auto"/>
              </w:rPr>
              <w:t>/s/ Andrew Hall</w:t>
            </w:r>
          </w:p>
        </w:tc>
        <w:tc>
          <w:tcPr>
            <w:tcW w:w="100" w:type="dxa"/>
            <w:vAlign w:val="bottom"/>
          </w:tcPr>
          <w:p>
            <w:pPr>
              <w:spacing w:after="0"/>
              <w:rPr>
                <w:sz w:val="24"/>
                <w:szCs w:val="24"/>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7, 2021</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Andrew Hall</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0" w:type="dxa"/>
            <w:vAlign w:val="bottom"/>
          </w:tcPr>
          <w:p>
            <w:pPr>
              <w:spacing w:after="0"/>
              <w:rPr>
                <w:sz w:val="20"/>
                <w:szCs w:val="20"/>
                <w:color w:val="auto"/>
              </w:rPr>
            </w:pPr>
            <w:r>
              <w:rPr>
                <w:rFonts w:ascii="Arial" w:cs="Arial" w:eastAsia="Arial" w:hAnsi="Arial"/>
                <w:sz w:val="18"/>
                <w:szCs w:val="18"/>
                <w:color w:val="auto"/>
              </w:rPr>
              <w:t>/s/ Scott Leonard</w:t>
            </w:r>
          </w:p>
        </w:tc>
        <w:tc>
          <w:tcPr>
            <w:tcW w:w="100" w:type="dxa"/>
            <w:vAlign w:val="bottom"/>
          </w:tcPr>
          <w:p>
            <w:pPr>
              <w:spacing w:after="0"/>
              <w:rPr>
                <w:sz w:val="24"/>
                <w:szCs w:val="24"/>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7, 2021</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Scott Leonard</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0" w:type="dxa"/>
            <w:vAlign w:val="bottom"/>
          </w:tcPr>
          <w:p>
            <w:pPr>
              <w:spacing w:after="0"/>
              <w:rPr>
                <w:sz w:val="20"/>
                <w:szCs w:val="20"/>
                <w:color w:val="auto"/>
              </w:rPr>
            </w:pPr>
            <w:r>
              <w:rPr>
                <w:rFonts w:ascii="Arial" w:cs="Arial" w:eastAsia="Arial" w:hAnsi="Arial"/>
                <w:sz w:val="18"/>
                <w:szCs w:val="18"/>
                <w:color w:val="auto"/>
              </w:rPr>
              <w:t>/s/ Sheila Khama</w:t>
            </w:r>
          </w:p>
        </w:tc>
        <w:tc>
          <w:tcPr>
            <w:tcW w:w="100" w:type="dxa"/>
            <w:vAlign w:val="bottom"/>
          </w:tcPr>
          <w:p>
            <w:pPr>
              <w:spacing w:after="0"/>
              <w:rPr>
                <w:sz w:val="24"/>
                <w:szCs w:val="24"/>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7, 2021</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Sheila Khama</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0" w:type="dxa"/>
            <w:vAlign w:val="bottom"/>
          </w:tcPr>
          <w:p>
            <w:pPr>
              <w:spacing w:after="0"/>
              <w:rPr>
                <w:sz w:val="20"/>
                <w:szCs w:val="20"/>
                <w:color w:val="auto"/>
              </w:rPr>
            </w:pPr>
            <w:r>
              <w:rPr>
                <w:rFonts w:ascii="Arial" w:cs="Arial" w:eastAsia="Arial" w:hAnsi="Arial"/>
                <w:sz w:val="18"/>
                <w:szCs w:val="18"/>
                <w:color w:val="auto"/>
              </w:rPr>
              <w:t>/s/ Andrei Karkar</w:t>
            </w:r>
          </w:p>
        </w:tc>
        <w:tc>
          <w:tcPr>
            <w:tcW w:w="100" w:type="dxa"/>
            <w:vAlign w:val="bottom"/>
          </w:tcPr>
          <w:p>
            <w:pPr>
              <w:spacing w:after="0"/>
              <w:rPr>
                <w:sz w:val="24"/>
                <w:szCs w:val="24"/>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7, 2021</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Andrei Karkar</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0" w:type="dxa"/>
            <w:vAlign w:val="bottom"/>
          </w:tcPr>
          <w:p>
            <w:pPr>
              <w:spacing w:after="0"/>
              <w:rPr>
                <w:sz w:val="20"/>
                <w:szCs w:val="20"/>
                <w:color w:val="auto"/>
              </w:rPr>
            </w:pPr>
            <w:r>
              <w:rPr>
                <w:rFonts w:ascii="Arial" w:cs="Arial" w:eastAsia="Arial" w:hAnsi="Arial"/>
                <w:sz w:val="18"/>
                <w:szCs w:val="18"/>
                <w:color w:val="auto"/>
              </w:rPr>
              <w:t>/s/ Amelia Kinahoi Siamomua</w:t>
            </w:r>
          </w:p>
        </w:tc>
        <w:tc>
          <w:tcPr>
            <w:tcW w:w="100" w:type="dxa"/>
            <w:vAlign w:val="bottom"/>
          </w:tcPr>
          <w:p>
            <w:pPr>
              <w:spacing w:after="0"/>
              <w:rPr>
                <w:sz w:val="24"/>
                <w:szCs w:val="24"/>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October 7, 2021</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Amelia Kinahoi Siamomua</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II-9</w:t>
            </w: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154305</wp:posOffset>
            </wp:positionV>
            <wp:extent cx="5572125" cy="9601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6">
                      <a:extLst>
                        <a:ext uri="{28A0092B-C50C-407E-A947-70E740481C1C}"/>
                      </a:extLst>
                    </a:blip>
                    <a:srcRect/>
                    <a:stretch>
                      <a:fillRect/>
                    </a:stretch>
                  </pic:blipFill>
                  <pic:spPr bwMode="auto">
                    <a:xfrm>
                      <a:off x="0" y="0"/>
                      <a:ext cx="557212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October 7,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 No.: 328015.00001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V6C 2T5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Sirs/Mesdames: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TMC the metals company Inc. – Registration Statement on Form S-1</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have acted as Canadian counsel to TMC the metals company Inc., a corporation continued under the laws of the Province of British Columbia (the “</w:t>
      </w:r>
      <w:r>
        <w:rPr>
          <w:rFonts w:ascii="Arial" w:cs="Arial" w:eastAsia="Arial" w:hAnsi="Arial"/>
          <w:sz w:val="18"/>
          <w:szCs w:val="18"/>
          <w:b w:val="1"/>
          <w:bCs w:val="1"/>
          <w:color w:val="auto"/>
        </w:rPr>
        <w:t>Corporation</w:t>
      </w:r>
      <w:r>
        <w:rPr>
          <w:rFonts w:ascii="Arial" w:cs="Arial" w:eastAsia="Arial" w:hAnsi="Arial"/>
          <w:sz w:val="18"/>
          <w:szCs w:val="18"/>
          <w:color w:val="auto"/>
        </w:rPr>
        <w:t>”), in connection with the filing of a registration statement on Form S-1 (as may be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The Registration Statement relates to, among other securities, the issuance of up to an aggregate of 24,500,000 common shares without par value in the capital of the Corporation (collectively, the “</w:t>
      </w:r>
      <w:r>
        <w:rPr>
          <w:rFonts w:ascii="Arial" w:cs="Arial" w:eastAsia="Arial" w:hAnsi="Arial"/>
          <w:sz w:val="18"/>
          <w:szCs w:val="18"/>
          <w:b w:val="1"/>
          <w:bCs w:val="1"/>
          <w:color w:val="auto"/>
        </w:rPr>
        <w:t>Primary Shares</w:t>
      </w:r>
      <w:r>
        <w:rPr>
          <w:rFonts w:ascii="Arial" w:cs="Arial" w:eastAsia="Arial" w:hAnsi="Arial"/>
          <w:sz w:val="18"/>
          <w:szCs w:val="18"/>
          <w:color w:val="auto"/>
        </w:rPr>
        <w:t>”), which consists of up to:</w:t>
      </w:r>
    </w:p>
    <w:p>
      <w:pPr>
        <w:spacing w:after="0" w:line="184" w:lineRule="exact"/>
        <w:rPr>
          <w:sz w:val="20"/>
          <w:szCs w:val="20"/>
          <w:color w:val="auto"/>
        </w:rPr>
      </w:pPr>
    </w:p>
    <w:p>
      <w:pPr>
        <w:ind w:left="660" w:right="160" w:hanging="328"/>
        <w:spacing w:after="0" w:line="281" w:lineRule="auto"/>
        <w:tabs>
          <w:tab w:leader="none" w:pos="6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9,500,000 common shares without par value in the capital of the Corporation (the “</w:t>
      </w:r>
      <w:r>
        <w:rPr>
          <w:rFonts w:ascii="Arial" w:cs="Arial" w:eastAsia="Arial" w:hAnsi="Arial"/>
          <w:sz w:val="17"/>
          <w:szCs w:val="17"/>
          <w:b w:val="1"/>
          <w:bCs w:val="1"/>
          <w:color w:val="auto"/>
        </w:rPr>
        <w:t>Private Placement Warrant Shares</w:t>
      </w:r>
      <w:r>
        <w:rPr>
          <w:rFonts w:ascii="Arial" w:cs="Arial" w:eastAsia="Arial" w:hAnsi="Arial"/>
          <w:sz w:val="17"/>
          <w:szCs w:val="17"/>
          <w:color w:val="auto"/>
        </w:rPr>
        <w:t>”) that are issuable upon the exercise of up to 9,500,000 warrants issued in a private placement in connection with the initial public offering of Sustainable Opportunities Acquisition Corp. (“</w:t>
      </w:r>
      <w:r>
        <w:rPr>
          <w:rFonts w:ascii="Arial" w:cs="Arial" w:eastAsia="Arial" w:hAnsi="Arial"/>
          <w:sz w:val="17"/>
          <w:szCs w:val="17"/>
          <w:b w:val="1"/>
          <w:bCs w:val="1"/>
          <w:color w:val="auto"/>
        </w:rPr>
        <w:t>SOAC</w:t>
      </w:r>
      <w:r>
        <w:rPr>
          <w:rFonts w:ascii="Arial" w:cs="Arial" w:eastAsia="Arial" w:hAnsi="Arial"/>
          <w:sz w:val="17"/>
          <w:szCs w:val="17"/>
          <w:color w:val="auto"/>
        </w:rPr>
        <w:t>”), which continued under the laws of the Province of British Columbia and changed its name to that of the Corporation, at an exercise price of $11.50 per common share (the “</w:t>
      </w:r>
      <w:r>
        <w:rPr>
          <w:rFonts w:ascii="Arial" w:cs="Arial" w:eastAsia="Arial" w:hAnsi="Arial"/>
          <w:sz w:val="17"/>
          <w:szCs w:val="17"/>
          <w:b w:val="1"/>
          <w:bCs w:val="1"/>
          <w:color w:val="auto"/>
        </w:rPr>
        <w:t>Private Placement Warrants</w:t>
      </w:r>
      <w:r>
        <w:rPr>
          <w:rFonts w:ascii="Arial" w:cs="Arial" w:eastAsia="Arial" w:hAnsi="Arial"/>
          <w:sz w:val="17"/>
          <w:szCs w:val="17"/>
          <w:color w:val="auto"/>
        </w:rPr>
        <w:t>”); and</w:t>
      </w:r>
    </w:p>
    <w:p>
      <w:pPr>
        <w:spacing w:after="0" w:line="164" w:lineRule="exact"/>
        <w:rPr>
          <w:rFonts w:ascii="Arial" w:cs="Arial" w:eastAsia="Arial" w:hAnsi="Arial"/>
          <w:sz w:val="17"/>
          <w:szCs w:val="17"/>
          <w:color w:val="auto"/>
        </w:rPr>
      </w:pPr>
    </w:p>
    <w:p>
      <w:pPr>
        <w:ind w:left="660" w:right="80" w:hanging="328"/>
        <w:spacing w:after="0" w:line="266"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15,000,000 common shares without par value in the capital of the Corporation (the “</w:t>
      </w:r>
      <w:r>
        <w:rPr>
          <w:rFonts w:ascii="Arial" w:cs="Arial" w:eastAsia="Arial" w:hAnsi="Arial"/>
          <w:sz w:val="18"/>
          <w:szCs w:val="18"/>
          <w:b w:val="1"/>
          <w:bCs w:val="1"/>
          <w:color w:val="auto"/>
        </w:rPr>
        <w:t>Public Warrant Shares</w:t>
      </w:r>
      <w:r>
        <w:rPr>
          <w:rFonts w:ascii="Arial" w:cs="Arial" w:eastAsia="Arial" w:hAnsi="Arial"/>
          <w:sz w:val="18"/>
          <w:szCs w:val="18"/>
          <w:color w:val="auto"/>
        </w:rPr>
        <w:t>”) that are issuable upon the exercise of up to 15,000,000 warrants issued in connection with the initial public offering of SOAC at an exercise price of $11.50 per common share (the “</w:t>
      </w:r>
      <w:r>
        <w:rPr>
          <w:rFonts w:ascii="Arial" w:cs="Arial" w:eastAsia="Arial" w:hAnsi="Arial"/>
          <w:sz w:val="18"/>
          <w:szCs w:val="18"/>
          <w:b w:val="1"/>
          <w:b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18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Registration Statement also relates to the offer and sale by certain security holders of the Corporation named in the Registration Statement (the “</w:t>
      </w:r>
      <w:r>
        <w:rPr>
          <w:rFonts w:ascii="Arial" w:cs="Arial" w:eastAsia="Arial" w:hAnsi="Arial"/>
          <w:sz w:val="18"/>
          <w:szCs w:val="18"/>
          <w:b w:val="1"/>
          <w:bCs w:val="1"/>
          <w:color w:val="auto"/>
        </w:rPr>
        <w:t>Selling Securityholders</w:t>
      </w:r>
      <w:r>
        <w:rPr>
          <w:rFonts w:ascii="Arial" w:cs="Arial" w:eastAsia="Arial" w:hAnsi="Arial"/>
          <w:sz w:val="18"/>
          <w:szCs w:val="18"/>
          <w:color w:val="auto"/>
        </w:rPr>
        <w:t>”) of up to an aggregate of 247,875,716 common shares without par value in the capital of the Corporation (collectively, the “</w:t>
      </w:r>
      <w:r>
        <w:rPr>
          <w:rFonts w:ascii="Arial" w:cs="Arial" w:eastAsia="Arial" w:hAnsi="Arial"/>
          <w:sz w:val="18"/>
          <w:szCs w:val="18"/>
          <w:b w:val="1"/>
          <w:bCs w:val="1"/>
          <w:color w:val="auto"/>
        </w:rPr>
        <w:t>Resale Shares</w:t>
      </w:r>
      <w:r>
        <w:rPr>
          <w:rFonts w:ascii="Arial" w:cs="Arial" w:eastAsia="Arial" w:hAnsi="Arial"/>
          <w:sz w:val="18"/>
          <w:szCs w:val="18"/>
          <w:color w:val="auto"/>
        </w:rPr>
        <w:t>”), which consists of up to:</w:t>
      </w:r>
    </w:p>
    <w:p>
      <w:pPr>
        <w:spacing w:after="0" w:line="18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5"/>
          <w:szCs w:val="15"/>
          <w:color w:val="auto"/>
        </w:rPr>
        <w:t>9,500,000 Private Placement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0" w:name="page281"/>
    <w:bookmarkEnd w:id="280"/>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3277235</wp:posOffset>
            </wp:positionH>
            <wp:positionV relativeFrom="page">
              <wp:posOffset>586105</wp:posOffset>
            </wp:positionV>
            <wp:extent cx="968375" cy="2400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8">
                      <a:clrChange>
                        <a:clrFrom>
                          <a:srgbClr val="FFFFFF"/>
                        </a:clrFrom>
                        <a:clrTo>
                          <a:srgbClr val="FFFFFF">
                            <a:alpha val="0"/>
                          </a:srgbClr>
                        </a:clrTo>
                      </a:clrChange>
                      <a:extLst>
                        <a:ext uri="{28A0092B-C50C-407E-A947-70E740481C1C}"/>
                      </a:extLst>
                    </a:blip>
                    <a:srcRect/>
                    <a:stretch>
                      <a:fillRect/>
                    </a:stretch>
                  </pic:blipFill>
                  <pic:spPr bwMode="auto">
                    <a:xfrm>
                      <a:off x="0" y="0"/>
                      <a:ext cx="968375" cy="240030"/>
                    </a:xfrm>
                    <a:prstGeom prst="rect">
                      <a:avLst/>
                    </a:prstGeom>
                    <a:noFill/>
                  </pic:spPr>
                </pic:pic>
              </a:graphicData>
            </a:graphic>
          </wp:anchor>
        </w:drawing>
      </w:r>
    </w:p>
    <w:p>
      <w:pPr>
        <w:ind w:left="660" w:right="140" w:hanging="328"/>
        <w:spacing w:after="0" w:line="282"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11,578,620 common shares without par value in the capital of the Corporation (the “</w:t>
      </w:r>
      <w:r>
        <w:rPr>
          <w:rFonts w:ascii="Arial" w:cs="Arial" w:eastAsia="Arial" w:hAnsi="Arial"/>
          <w:sz w:val="18"/>
          <w:szCs w:val="18"/>
          <w:b w:val="1"/>
          <w:bCs w:val="1"/>
          <w:color w:val="auto"/>
        </w:rPr>
        <w:t>Allseas Warrant Shares</w:t>
      </w:r>
      <w:r>
        <w:rPr>
          <w:rFonts w:ascii="Arial" w:cs="Arial" w:eastAsia="Arial" w:hAnsi="Arial"/>
          <w:sz w:val="18"/>
          <w:szCs w:val="18"/>
          <w:color w:val="auto"/>
        </w:rPr>
        <w:t>”) that may be issued upon exercise of the warrants held by Allseas Group S.A. (the “</w:t>
      </w:r>
      <w:r>
        <w:rPr>
          <w:rFonts w:ascii="Arial" w:cs="Arial" w:eastAsia="Arial" w:hAnsi="Arial"/>
          <w:sz w:val="18"/>
          <w:szCs w:val="18"/>
          <w:b w:val="1"/>
          <w:bCs w:val="1"/>
          <w:color w:val="auto"/>
        </w:rPr>
        <w:t>Allseas Warrants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60" w:right="480" w:hanging="328"/>
        <w:spacing w:after="0" w:line="282"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6,759,000 common shares without par value in the capital of the Corporation (the “</w:t>
      </w:r>
      <w:r>
        <w:rPr>
          <w:rFonts w:ascii="Arial" w:cs="Arial" w:eastAsia="Arial" w:hAnsi="Arial"/>
          <w:sz w:val="18"/>
          <w:szCs w:val="18"/>
          <w:b w:val="1"/>
          <w:bCs w:val="1"/>
          <w:color w:val="auto"/>
        </w:rPr>
        <w:t>Founder Shares</w:t>
      </w:r>
      <w:r>
        <w:rPr>
          <w:rFonts w:ascii="Arial" w:cs="Arial" w:eastAsia="Arial" w:hAnsi="Arial"/>
          <w:sz w:val="18"/>
          <w:szCs w:val="18"/>
          <w:color w:val="auto"/>
        </w:rPr>
        <w:t>”) held by SOAC’s sponsor, Sustainable Opportunities Holdings LLC (the “</w:t>
      </w:r>
      <w:r>
        <w:rPr>
          <w:rFonts w:ascii="Arial" w:cs="Arial" w:eastAsia="Arial" w:hAnsi="Arial"/>
          <w:sz w:val="18"/>
          <w:szCs w:val="18"/>
          <w:b w:val="1"/>
          <w:bCs w:val="1"/>
          <w:color w:val="auto"/>
        </w:rPr>
        <w:t>Sponsor</w:t>
      </w:r>
      <w:r>
        <w:rPr>
          <w:rFonts w:ascii="Arial" w:cs="Arial" w:eastAsia="Arial" w:hAnsi="Arial"/>
          <w:sz w:val="18"/>
          <w:szCs w:val="18"/>
          <w:color w:val="auto"/>
        </w:rPr>
        <w:t>”), SOAC’s former directors and certain of their transferees;</w:t>
      </w:r>
    </w:p>
    <w:p>
      <w:pPr>
        <w:spacing w:after="0" w:line="16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11,030,000 common shares without par value in the capital of the Corporation issued to certain investors pursuant to a private placement (the “</w:t>
      </w:r>
      <w:r>
        <w:rPr>
          <w:rFonts w:ascii="Arial" w:cs="Arial" w:eastAsia="Arial" w:hAnsi="Arial"/>
          <w:sz w:val="18"/>
          <w:szCs w:val="18"/>
          <w:b w:val="1"/>
          <w:bCs w:val="1"/>
          <w:color w:val="auto"/>
        </w:rPr>
        <w:t>PIPE Shares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60" w:right="60" w:hanging="328"/>
        <w:spacing w:after="0" w:line="258"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129,615,899 common shares without par value in the capital of the Corporation (the “</w:t>
      </w:r>
      <w:r>
        <w:rPr>
          <w:rFonts w:ascii="Arial" w:cs="Arial" w:eastAsia="Arial" w:hAnsi="Arial"/>
          <w:sz w:val="18"/>
          <w:szCs w:val="18"/>
          <w:b w:val="1"/>
          <w:bCs w:val="1"/>
          <w:color w:val="auto"/>
        </w:rPr>
        <w:t>Legacy DeepGreen Shares</w:t>
      </w:r>
      <w:r>
        <w:rPr>
          <w:rFonts w:ascii="Arial" w:cs="Arial" w:eastAsia="Arial" w:hAnsi="Arial"/>
          <w:sz w:val="18"/>
          <w:szCs w:val="18"/>
          <w:color w:val="auto"/>
        </w:rPr>
        <w:t>”) issued to certain former shareholders of DeepGreen Metals Inc. (“</w:t>
      </w:r>
      <w:r>
        <w:rPr>
          <w:rFonts w:ascii="Arial" w:cs="Arial" w:eastAsia="Arial" w:hAnsi="Arial"/>
          <w:sz w:val="18"/>
          <w:szCs w:val="18"/>
          <w:b w:val="1"/>
          <w:bCs w:val="1"/>
          <w:color w:val="auto"/>
        </w:rPr>
        <w:t>Legacy DeepGreen</w:t>
      </w:r>
      <w:r>
        <w:rPr>
          <w:rFonts w:ascii="Arial" w:cs="Arial" w:eastAsia="Arial" w:hAnsi="Arial"/>
          <w:sz w:val="18"/>
          <w:szCs w:val="18"/>
          <w:color w:val="auto"/>
        </w:rPr>
        <w:t>”) in connection with (a) a plan of arrangement (the “</w:t>
      </w:r>
      <w:r>
        <w:rPr>
          <w:rFonts w:ascii="Arial" w:cs="Arial" w:eastAsia="Arial" w:hAnsi="Arial"/>
          <w:sz w:val="18"/>
          <w:szCs w:val="18"/>
          <w:b w:val="1"/>
          <w:bCs w:val="1"/>
          <w:color w:val="auto"/>
        </w:rPr>
        <w:t>Arrangement</w:t>
      </w:r>
      <w:r>
        <w:rPr>
          <w:rFonts w:ascii="Arial" w:cs="Arial" w:eastAsia="Arial" w:hAnsi="Arial"/>
          <w:sz w:val="18"/>
          <w:szCs w:val="18"/>
          <w:color w:val="auto"/>
        </w:rPr>
        <w:t xml:space="preserve">”) under Part 9, Division 5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8"/>
          <w:szCs w:val="18"/>
          <w:b w:val="1"/>
          <w:bCs w:val="1"/>
          <w:color w:val="auto"/>
        </w:rPr>
        <w:t>BCBCA</w:t>
      </w:r>
      <w:r>
        <w:rPr>
          <w:rFonts w:ascii="Arial" w:cs="Arial" w:eastAsia="Arial" w:hAnsi="Arial"/>
          <w:sz w:val="18"/>
          <w:szCs w:val="18"/>
          <w:color w:val="auto"/>
        </w:rPr>
        <w:t>”) and (b) the transactions contemplated by a business combination agreement dated March 4, 2021 among SOAC, Legacy DeepGreen and 1291924 B.C. Unlimited Liability Company (the “</w:t>
      </w:r>
      <w:r>
        <w:rPr>
          <w:rFonts w:ascii="Arial" w:cs="Arial" w:eastAsia="Arial" w:hAnsi="Arial"/>
          <w:sz w:val="18"/>
          <w:szCs w:val="18"/>
          <w:b w:val="1"/>
          <w:b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660" w:right="60" w:hanging="328"/>
        <w:spacing w:after="0" w:line="305" w:lineRule="auto"/>
        <w:tabs>
          <w:tab w:leader="none" w:pos="6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77,277,244 common shares without par value in the capital of the Corporation issuable to certain former shareholders of Legacy DeepGreen upon the conversion of the following shares in the capital of the Corporation issued pursuant to the Arrangement and the Business Combination Agreement: (a) 4,999,973 Class A Special Shares, (b) 9,999,853 Class B Special Shares, (c) 9,999,853 Class C Special Shares, (d) 19,999,855 Class D Special Shares, (e) 19,999,855 Class E Special Shares, (f) 19,999,855 Class F Special Shares, (g) 24,999,860 Class G Special Shares, and</w:t>
      </w:r>
    </w:p>
    <w:p>
      <w:pPr>
        <w:spacing w:after="0" w:line="1" w:lineRule="exact"/>
        <w:rPr>
          <w:rFonts w:ascii="Arial" w:cs="Arial" w:eastAsia="Arial" w:hAnsi="Arial"/>
          <w:sz w:val="15"/>
          <w:szCs w:val="15"/>
          <w:color w:val="auto"/>
        </w:rPr>
      </w:pPr>
    </w:p>
    <w:p>
      <w:pPr>
        <w:ind w:left="660" w:right="300"/>
        <w:spacing w:after="0" w:line="255" w:lineRule="auto"/>
        <w:rPr>
          <w:rFonts w:ascii="Arial" w:cs="Arial" w:eastAsia="Arial" w:hAnsi="Arial"/>
          <w:sz w:val="15"/>
          <w:szCs w:val="15"/>
          <w:color w:val="auto"/>
        </w:rPr>
      </w:pPr>
      <w:r>
        <w:rPr>
          <w:rFonts w:ascii="Arial" w:cs="Arial" w:eastAsia="Arial" w:hAnsi="Arial"/>
          <w:sz w:val="18"/>
          <w:szCs w:val="18"/>
          <w:color w:val="auto"/>
        </w:rPr>
        <w:t>(h) 24,999,860 Class H Special Shares, each of which is automatically convertible into common shares without par value in the capital of the Corporation on a one-for-one basis (unless adjusted in accordance with their respective terms) if certain price per common share thresholds are met (collectively, “</w:t>
      </w:r>
      <w:r>
        <w:rPr>
          <w:rFonts w:ascii="Arial" w:cs="Arial" w:eastAsia="Arial" w:hAnsi="Arial"/>
          <w:sz w:val="18"/>
          <w:szCs w:val="18"/>
          <w:b w:val="1"/>
          <w:bCs w:val="1"/>
          <w:color w:val="auto"/>
        </w:rPr>
        <w:t>DeepGreen Earnout Conversion Shares</w:t>
      </w:r>
      <w:r>
        <w:rPr>
          <w:rFonts w:ascii="Arial" w:cs="Arial" w:eastAsia="Arial" w:hAnsi="Arial"/>
          <w:sz w:val="18"/>
          <w:szCs w:val="18"/>
          <w:color w:val="auto"/>
        </w:rPr>
        <w:t>”);</w:t>
      </w:r>
    </w:p>
    <w:p>
      <w:pPr>
        <w:spacing w:after="0" w:line="186" w:lineRule="exact"/>
        <w:rPr>
          <w:sz w:val="20"/>
          <w:szCs w:val="20"/>
          <w:color w:val="auto"/>
        </w:rPr>
      </w:pPr>
    </w:p>
    <w:p>
      <w:pPr>
        <w:ind w:left="660" w:right="40" w:hanging="323"/>
        <w:spacing w:after="0" w:line="258" w:lineRule="auto"/>
        <w:rPr>
          <w:sz w:val="20"/>
          <w:szCs w:val="20"/>
          <w:color w:val="auto"/>
        </w:rPr>
      </w:pPr>
      <w:r>
        <w:rPr>
          <w:rFonts w:ascii="Arial" w:cs="Arial" w:eastAsia="Arial" w:hAnsi="Arial"/>
          <w:sz w:val="18"/>
          <w:szCs w:val="18"/>
          <w:color w:val="auto"/>
        </w:rPr>
        <w:t>(vii)1,241,000 common shares without par value in the capital of the Corporation (the “</w:t>
      </w:r>
      <w:r>
        <w:rPr>
          <w:rFonts w:ascii="Arial" w:cs="Arial" w:eastAsia="Arial" w:hAnsi="Arial"/>
          <w:sz w:val="18"/>
          <w:szCs w:val="18"/>
          <w:b w:val="1"/>
          <w:bCs w:val="1"/>
          <w:color w:val="auto"/>
        </w:rPr>
        <w:t>Sponsor Earnout Conversion Shares</w:t>
      </w:r>
      <w:r>
        <w:rPr>
          <w:rFonts w:ascii="Arial" w:cs="Arial" w:eastAsia="Arial" w:hAnsi="Arial"/>
          <w:sz w:val="18"/>
          <w:szCs w:val="18"/>
          <w:color w:val="auto"/>
        </w:rPr>
        <w:t>”) issuable to the Sponsor and its transferees upon the conversion of 500,000 Class I Special Shares and 741,000 Class J Special Shares in the capital of the Corporation that were issued pursuant to the Business Combination Agreement, with each such Special Share being automatically convertible into common shares without par value in the capital of the Corporation on a one-for-one basis (unless adjusted in accordance with their respective terms) if certain common share price thresholds are met; and</w:t>
      </w:r>
    </w:p>
    <w:p>
      <w:pPr>
        <w:spacing w:after="0" w:line="187" w:lineRule="exact"/>
        <w:rPr>
          <w:sz w:val="20"/>
          <w:szCs w:val="20"/>
          <w:color w:val="auto"/>
        </w:rPr>
      </w:pPr>
    </w:p>
    <w:p>
      <w:pPr>
        <w:ind w:left="700" w:right="20" w:hanging="363"/>
        <w:spacing w:after="0" w:line="277" w:lineRule="auto"/>
        <w:rPr>
          <w:sz w:val="20"/>
          <w:szCs w:val="20"/>
          <w:color w:val="auto"/>
        </w:rPr>
      </w:pPr>
      <w:r>
        <w:rPr>
          <w:rFonts w:ascii="Arial" w:cs="Arial" w:eastAsia="Arial" w:hAnsi="Arial"/>
          <w:sz w:val="18"/>
          <w:szCs w:val="18"/>
          <w:color w:val="auto"/>
        </w:rPr>
        <w:t>(viii)873,953 common shares without par value in the capital of the Corporation authorized to be issued to five service providers of Legacy DeepGreen (the “</w:t>
      </w:r>
      <w:r>
        <w:rPr>
          <w:rFonts w:ascii="Arial" w:cs="Arial" w:eastAsia="Arial" w:hAnsi="Arial"/>
          <w:sz w:val="18"/>
          <w:szCs w:val="18"/>
          <w:b w:val="1"/>
          <w:bCs w:val="1"/>
          <w:color w:val="auto"/>
        </w:rPr>
        <w:t>Service Provider Shares</w:t>
      </w:r>
      <w:r>
        <w:rPr>
          <w:rFonts w:ascii="Arial" w:cs="Arial" w:eastAsia="Arial" w:hAnsi="Arial"/>
          <w:sz w:val="18"/>
          <w:szCs w:val="18"/>
          <w:color w:val="auto"/>
        </w:rPr>
        <w: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Warrants were issued pursuant to a warrant agreement, dated as of May 8, 2020, between SOAC and Continental Stock Transfer &amp; Trust Company (the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3277235</wp:posOffset>
            </wp:positionH>
            <wp:positionV relativeFrom="page">
              <wp:posOffset>586105</wp:posOffset>
            </wp:positionV>
            <wp:extent cx="968375" cy="2400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0">
                      <a:clrChange>
                        <a:clrFrom>
                          <a:srgbClr val="FFFFFF"/>
                        </a:clrFrom>
                        <a:clrTo>
                          <a:srgbClr val="FFFFFF">
                            <a:alpha val="0"/>
                          </a:srgbClr>
                        </a:clrTo>
                      </a:clrChange>
                      <a:extLst>
                        <a:ext uri="{28A0092B-C50C-407E-A947-70E740481C1C}"/>
                      </a:extLst>
                    </a:blip>
                    <a:srcRect/>
                    <a:stretch>
                      <a:fillRect/>
                    </a:stretch>
                  </pic:blipFill>
                  <pic:spPr bwMode="auto">
                    <a:xfrm>
                      <a:off x="0" y="0"/>
                      <a:ext cx="968375" cy="240030"/>
                    </a:xfrm>
                    <a:prstGeom prst="rect">
                      <a:avLst/>
                    </a:prstGeom>
                    <a:noFill/>
                  </pic:spPr>
                </pic:pic>
              </a:graphicData>
            </a:graphic>
          </wp:anchor>
        </w:drawing>
      </w:r>
    </w:p>
    <w:p>
      <w:pPr>
        <w:ind w:left="660" w:hanging="652"/>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Documents Reviewed and Reliance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Canadian counsel to the Corporation, we have participated in the preparation of and/or examined original executed or electronically delivered copies, which have been certified or otherwise identified to our satisfaction, of:</w:t>
      </w:r>
    </w:p>
    <w:p>
      <w:pPr>
        <w:spacing w:after="0" w:line="170" w:lineRule="exact"/>
        <w:rPr>
          <w:sz w:val="20"/>
          <w:szCs w:val="20"/>
          <w:color w:val="auto"/>
        </w:rPr>
      </w:pPr>
    </w:p>
    <w:p>
      <w:pPr>
        <w:ind w:left="13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also examined original executed or electronically delivered copies, which have been certified or otherwise identified to our satisfaction, of:</w:t>
      </w:r>
    </w:p>
    <w:p>
      <w:pPr>
        <w:spacing w:after="0" w:line="237" w:lineRule="exact"/>
        <w:rPr>
          <w:sz w:val="20"/>
          <w:szCs w:val="20"/>
          <w:color w:val="auto"/>
        </w:rPr>
      </w:pPr>
    </w:p>
    <w:p>
      <w:pPr>
        <w:ind w:left="1300" w:hanging="64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Warrant Agreement, including the form of certificate representing the Warrants;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certificate representing the Allseas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Registration Statement, Warrant Agreement and Allseas Warrants, collectively, the “</w:t>
      </w:r>
      <w:r>
        <w:rPr>
          <w:rFonts w:ascii="Arial" w:cs="Arial" w:eastAsia="Arial" w:hAnsi="Arial"/>
          <w:sz w:val="18"/>
          <w:szCs w:val="18"/>
          <w:b w:val="1"/>
          <w:bCs w:val="1"/>
          <w:color w:val="auto"/>
        </w:rPr>
        <w:t>Transaction Documents</w:t>
      </w:r>
      <w:r>
        <w:rPr>
          <w:rFonts w:ascii="Arial" w:cs="Arial" w:eastAsia="Arial" w:hAnsi="Arial"/>
          <w:sz w:val="18"/>
          <w:szCs w:val="18"/>
          <w:color w:val="auto"/>
        </w:rPr>
        <w:t>”.</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spacing w:after="0" w:line="184"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certificate of continuation dated September 9, 2021 issued pursuant to the BCBCA relating to the Corporation;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certificate of good standing dated October 6, 2021 issued pursuant to the BCBCA relating to the Corporation; and</w:t>
      </w:r>
    </w:p>
    <w:p>
      <w:pPr>
        <w:spacing w:after="0" w:line="225" w:lineRule="exact"/>
        <w:rPr>
          <w:rFonts w:ascii="Arial" w:cs="Arial" w:eastAsia="Arial" w:hAnsi="Arial"/>
          <w:sz w:val="18"/>
          <w:szCs w:val="18"/>
          <w:color w:val="auto"/>
        </w:rPr>
      </w:pPr>
    </w:p>
    <w:p>
      <w:pPr>
        <w:ind w:left="1300" w:hanging="644"/>
        <w:spacing w:after="0" w:line="269" w:lineRule="auto"/>
        <w:tabs>
          <w:tab w:leader="none" w:pos="13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(collectively, the “</w:t>
      </w:r>
      <w:r>
        <w:rPr>
          <w:rFonts w:ascii="Arial" w:cs="Arial" w:eastAsia="Arial" w:hAnsi="Arial"/>
          <w:sz w:val="17"/>
          <w:szCs w:val="17"/>
          <w:b w:val="1"/>
          <w:bCs w:val="1"/>
          <w:color w:val="auto"/>
        </w:rPr>
        <w:t>Constating Documents</w:t>
      </w:r>
      <w:r>
        <w:rPr>
          <w:rFonts w:ascii="Arial" w:cs="Arial" w:eastAsia="Arial" w:hAnsi="Arial"/>
          <w:sz w:val="17"/>
          <w:szCs w:val="17"/>
          <w:color w:val="auto"/>
        </w:rPr>
        <w:t>”), the resolutions of the directors of the Corporation authorizing and approving the issuance of the Primary Shares and the Resale Shares (the “</w:t>
      </w:r>
      <w:r>
        <w:rPr>
          <w:rFonts w:ascii="Arial" w:cs="Arial" w:eastAsia="Arial" w:hAnsi="Arial"/>
          <w:sz w:val="17"/>
          <w:szCs w:val="17"/>
          <w:b w:val="1"/>
          <w:bCs w:val="1"/>
          <w:color w:val="auto"/>
        </w:rPr>
        <w:t>Authorizing</w:t>
      </w:r>
      <w:r>
        <w:rPr>
          <w:rFonts w:ascii="Arial" w:cs="Arial" w:eastAsia="Arial" w:hAnsi="Arial"/>
          <w:sz w:val="17"/>
          <w:szCs w:val="17"/>
          <w:color w:val="auto"/>
        </w:rPr>
        <w:t xml:space="preserve"> </w:t>
      </w:r>
      <w:r>
        <w:rPr>
          <w:rFonts w:ascii="Arial" w:cs="Arial" w:eastAsia="Arial" w:hAnsi="Arial"/>
          <w:sz w:val="17"/>
          <w:szCs w:val="17"/>
          <w:b w:val="1"/>
          <w:bCs w:val="1"/>
          <w:color w:val="auto"/>
        </w:rPr>
        <w:t>Resolutions</w:t>
      </w:r>
      <w:r>
        <w:rPr>
          <w:rFonts w:ascii="Arial" w:cs="Arial" w:eastAsia="Arial" w:hAnsi="Arial"/>
          <w:sz w:val="17"/>
          <w:szCs w:val="17"/>
          <w:color w:val="auto"/>
        </w:rPr>
        <w:t>”), the central securities registers of each class of shares outstanding of SOAC dated September 8, 2021 (the “</w:t>
      </w:r>
      <w:r>
        <w:rPr>
          <w:rFonts w:ascii="Arial" w:cs="Arial" w:eastAsia="Arial" w:hAnsi="Arial"/>
          <w:sz w:val="17"/>
          <w:szCs w:val="17"/>
          <w:b w:val="1"/>
          <w:bCs w:val="1"/>
          <w:color w:val="auto"/>
        </w:rPr>
        <w:t>SOAC Securities Registers</w:t>
      </w:r>
      <w:r>
        <w:rPr>
          <w:rFonts w:ascii="Arial" w:cs="Arial" w:eastAsia="Arial" w:hAnsi="Arial"/>
          <w:sz w:val="17"/>
          <w:szCs w:val="17"/>
          <w:color w:val="auto"/>
        </w:rPr>
        <w:t>”), certified copies of the central securities registers of each class of shares outstanding of the Corporation dated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9, 2021 (the “</w:t>
      </w:r>
      <w:r>
        <w:rPr>
          <w:rFonts w:ascii="Arial" w:cs="Arial" w:eastAsia="Arial" w:hAnsi="Arial"/>
          <w:sz w:val="17"/>
          <w:szCs w:val="17"/>
          <w:b w:val="1"/>
          <w:bCs w:val="1"/>
          <w:color w:val="auto"/>
        </w:rPr>
        <w:t>Corporation Securities Registers</w:t>
      </w:r>
      <w:r>
        <w:rPr>
          <w:rFonts w:ascii="Arial" w:cs="Arial" w:eastAsia="Arial" w:hAnsi="Arial"/>
          <w:sz w:val="17"/>
          <w:szCs w:val="17"/>
          <w:color w:val="auto"/>
        </w:rPr>
        <w:t>”) upon completion of the Arrangement, the final order of the Supreme Court of British Columbia dated June 25, 2021 with respect to the Arrangement, and the closing certificate executed by the Corporation, Legacy DeepGreen and 1291924 B.C. Unlimited Liability Company confirming that the parties are satisfied that the conditions precedent to complete the Agreement have been satisfied and confirming the effective date and effective time of the Arrangement (the “</w:t>
      </w:r>
      <w:r>
        <w:rPr>
          <w:rFonts w:ascii="Arial" w:cs="Arial" w:eastAsia="Arial" w:hAnsi="Arial"/>
          <w:sz w:val="17"/>
          <w:szCs w:val="17"/>
          <w:b w:val="1"/>
          <w:bCs w:val="1"/>
          <w:color w:val="auto"/>
        </w:rPr>
        <w:t>Officer’s</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w:t>
      </w:r>
      <w:r>
        <w:rPr>
          <w:rFonts w:ascii="Arial" w:cs="Arial" w:eastAsia="Arial" w:hAnsi="Arial"/>
          <w:sz w:val="17"/>
          <w:szCs w:val="17"/>
          <w:color w:val="auto"/>
        </w:rPr>
        <w: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2" w:name="page283"/>
    <w:bookmarkEnd w:id="282"/>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3277235</wp:posOffset>
            </wp:positionH>
            <wp:positionV relativeFrom="page">
              <wp:posOffset>586105</wp:posOffset>
            </wp:positionV>
            <wp:extent cx="968375" cy="2400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2">
                      <a:clrChange>
                        <a:clrFrom>
                          <a:srgbClr val="FFFFFF"/>
                        </a:clrFrom>
                        <a:clrTo>
                          <a:srgbClr val="FFFFFF">
                            <a:alpha val="0"/>
                          </a:srgbClr>
                        </a:clrTo>
                      </a:clrChange>
                      <a:extLst>
                        <a:ext uri="{28A0092B-C50C-407E-A947-70E740481C1C}"/>
                      </a:extLst>
                    </a:blip>
                    <a:srcRect/>
                    <a:stretch>
                      <a:fillRect/>
                    </a:stretch>
                  </pic:blipFill>
                  <pic:spPr bwMode="auto">
                    <a:xfrm>
                      <a:off x="0" y="0"/>
                      <a:ext cx="968375" cy="2400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As to various questions of fact material to the opinions provided herein, we have relied upon the Officer’s Certificate.</w:t>
      </w:r>
    </w:p>
    <w:p>
      <w:pPr>
        <w:spacing w:after="0" w:line="221" w:lineRule="exact"/>
        <w:rPr>
          <w:sz w:val="20"/>
          <w:szCs w:val="20"/>
          <w:color w:val="auto"/>
        </w:rPr>
      </w:pPr>
    </w:p>
    <w:p>
      <w:pPr>
        <w:ind w:left="660" w:hanging="652"/>
        <w:spacing w:after="0"/>
        <w:tabs>
          <w:tab w:leader="none" w:pos="6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Laws Addressed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qualified to practice law in the Province of British Columbia and our opinion herein is restricted to the laws of the Province of British Columbia and the federal laws of Canada applicable therein (the “</w:t>
      </w:r>
      <w:r>
        <w:rPr>
          <w:rFonts w:ascii="Arial" w:cs="Arial" w:eastAsia="Arial" w:hAnsi="Arial"/>
          <w:sz w:val="18"/>
          <w:szCs w:val="18"/>
          <w:b w:val="1"/>
          <w:bCs w:val="1"/>
          <w:color w:val="auto"/>
        </w:rPr>
        <w:t>Applicable Laws</w:t>
      </w:r>
      <w:r>
        <w:rPr>
          <w:rFonts w:ascii="Arial" w:cs="Arial" w:eastAsia="Arial" w:hAnsi="Arial"/>
          <w:sz w:val="18"/>
          <w:szCs w:val="18"/>
          <w:color w:val="auto"/>
        </w:rPr>
        <w:t>”).</w:t>
      </w:r>
    </w:p>
    <w:p>
      <w:pPr>
        <w:spacing w:after="0" w:line="166" w:lineRule="exact"/>
        <w:rPr>
          <w:sz w:val="20"/>
          <w:szCs w:val="20"/>
          <w:color w:val="auto"/>
        </w:rPr>
      </w:pPr>
    </w:p>
    <w:p>
      <w:pPr>
        <w:ind w:left="660" w:hanging="652"/>
        <w:spacing w:after="0"/>
        <w:tabs>
          <w:tab w:leader="none" w:pos="6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opinions expressed herein, we have assumed, without independent investigation, the following:</w:t>
      </w:r>
    </w:p>
    <w:p>
      <w:pPr>
        <w:spacing w:after="0" w:line="225" w:lineRule="exact"/>
        <w:rPr>
          <w:sz w:val="20"/>
          <w:szCs w:val="20"/>
          <w:color w:val="auto"/>
        </w:rPr>
      </w:pPr>
    </w:p>
    <w:p>
      <w:pPr>
        <w:ind w:left="1300" w:right="160" w:hanging="644"/>
        <w:spacing w:after="0" w:line="286" w:lineRule="auto"/>
        <w:tabs>
          <w:tab w:leader="none" w:pos="13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p>
      <w:pPr>
        <w:spacing w:after="0" w:line="165" w:lineRule="exact"/>
        <w:rPr>
          <w:rFonts w:ascii="Arial" w:cs="Arial" w:eastAsia="Arial" w:hAnsi="Arial"/>
          <w:sz w:val="17"/>
          <w:szCs w:val="17"/>
          <w:color w:val="auto"/>
        </w:rPr>
      </w:pPr>
    </w:p>
    <w:p>
      <w:pPr>
        <w:ind w:left="1300" w:right="320" w:hanging="644"/>
        <w:spacing w:after="0" w:line="277" w:lineRule="auto"/>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completeness, accuracy and currency of the indices and filing systems maintained at the public offices where we have searched or made relevant inquiries and of other documents and certificates supplied by public officials;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that the Officer’s Certificate continues to be accurate on the date hereof;</w:t>
      </w:r>
    </w:p>
    <w:p>
      <w:pPr>
        <w:spacing w:after="0" w:line="225" w:lineRule="exact"/>
        <w:rPr>
          <w:rFonts w:ascii="Arial" w:cs="Arial" w:eastAsia="Arial" w:hAnsi="Arial"/>
          <w:sz w:val="18"/>
          <w:szCs w:val="18"/>
          <w:color w:val="auto"/>
        </w:rPr>
      </w:pPr>
    </w:p>
    <w:p>
      <w:pPr>
        <w:ind w:left="1300" w:right="320" w:hanging="644"/>
        <w:spacing w:after="0" w:line="263" w:lineRule="auto"/>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that all necessary consents, authorizations, approvals, permits or certificates (governmental or otherwise) which are required as a condition to the execution and delivery of each of the Transaction Documents by the parties thereto and to the consummation by such parties of the transactions contemplated thereby have been obtained;</w:t>
      </w:r>
    </w:p>
    <w:p>
      <w:pPr>
        <w:spacing w:after="0" w:line="183" w:lineRule="exact"/>
        <w:rPr>
          <w:rFonts w:ascii="Arial" w:cs="Arial" w:eastAsia="Arial" w:hAnsi="Arial"/>
          <w:sz w:val="18"/>
          <w:szCs w:val="18"/>
          <w:color w:val="auto"/>
        </w:rPr>
      </w:pPr>
    </w:p>
    <w:p>
      <w:pPr>
        <w:ind w:left="1300" w:right="400" w:hanging="644"/>
        <w:spacing w:after="0" w:line="286" w:lineRule="auto"/>
        <w:tabs>
          <w:tab w:leader="none" w:pos="13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that the minute books and corporate records of the Corporation made available to us are the original minute books and records of the Corporation and contain all of the articles and constating documents of the Corporation and any amendments thereto and all of the respective minutes, or copies thereof, of all proceedings of the shareholders and directors;</w:t>
      </w:r>
    </w:p>
    <w:p>
      <w:pPr>
        <w:spacing w:after="0" w:line="165" w:lineRule="exact"/>
        <w:rPr>
          <w:rFonts w:ascii="Arial" w:cs="Arial" w:eastAsia="Arial" w:hAnsi="Arial"/>
          <w:sz w:val="17"/>
          <w:szCs w:val="17"/>
          <w:color w:val="auto"/>
        </w:rPr>
      </w:pPr>
    </w:p>
    <w:p>
      <w:pPr>
        <w:ind w:left="1300" w:right="60" w:hanging="644"/>
        <w:spacing w:after="0" w:line="277" w:lineRule="auto"/>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that each of the Transaction Documents constitutes a legal, valid and binding obligation of the parties thereto, other than the Corporation, enforceable against each of the parties thereto in accordance with its terms;</w:t>
      </w:r>
    </w:p>
    <w:p>
      <w:pPr>
        <w:spacing w:after="0" w:line="170" w:lineRule="exact"/>
        <w:rPr>
          <w:rFonts w:ascii="Arial" w:cs="Arial" w:eastAsia="Arial" w:hAnsi="Arial"/>
          <w:sz w:val="18"/>
          <w:szCs w:val="18"/>
          <w:color w:val="auto"/>
        </w:rPr>
      </w:pPr>
    </w:p>
    <w:p>
      <w:pPr>
        <w:ind w:left="1300" w:right="20" w:hanging="644"/>
        <w:spacing w:after="0" w:line="263" w:lineRule="auto"/>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of the Warrant Agreement, the Warrants and the Allseas Warrants constitutes a legal, valid and binding obligation of the Corporation and the other parties thereto, enforceable against each of the parties thereto in accordance with its terms and the execution and delivery thereof was duly authorized by the parties thereto;</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3277235</wp:posOffset>
            </wp:positionH>
            <wp:positionV relativeFrom="page">
              <wp:posOffset>586105</wp:posOffset>
            </wp:positionV>
            <wp:extent cx="968375" cy="2400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4">
                      <a:clrChange>
                        <a:clrFrom>
                          <a:srgbClr val="FFFFFF"/>
                        </a:clrFrom>
                        <a:clrTo>
                          <a:srgbClr val="FFFFFF">
                            <a:alpha val="0"/>
                          </a:srgbClr>
                        </a:clrTo>
                      </a:clrChange>
                      <a:extLst>
                        <a:ext uri="{28A0092B-C50C-407E-A947-70E740481C1C}"/>
                      </a:extLst>
                    </a:blip>
                    <a:srcRect/>
                    <a:stretch>
                      <a:fillRect/>
                    </a:stretch>
                  </pic:blipFill>
                  <pic:spPr bwMode="auto">
                    <a:xfrm>
                      <a:off x="0" y="0"/>
                      <a:ext cx="968375" cy="240030"/>
                    </a:xfrm>
                    <a:prstGeom prst="rect">
                      <a:avLst/>
                    </a:prstGeom>
                    <a:noFill/>
                  </pic:spPr>
                </pic:pic>
              </a:graphicData>
            </a:graphic>
          </wp:anchor>
        </w:drawing>
      </w:r>
    </w:p>
    <w:p>
      <w:pPr>
        <w:jc w:val="both"/>
        <w:ind w:left="1300" w:right="100" w:hanging="644"/>
        <w:spacing w:after="0" w:line="261" w:lineRule="auto"/>
        <w:tabs>
          <w:tab w:leader="none" w:pos="13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continuation of SOAC to become a company existing under BCBCA (the “</w:t>
      </w:r>
      <w:r>
        <w:rPr>
          <w:rFonts w:ascii="Arial" w:cs="Arial" w:eastAsia="Arial" w:hAnsi="Arial"/>
          <w:sz w:val="18"/>
          <w:szCs w:val="18"/>
          <w:b w:val="1"/>
          <w:bCs w:val="1"/>
          <w:color w:val="auto"/>
        </w:rPr>
        <w:t>Continuation</w:t>
      </w:r>
      <w:r>
        <w:rPr>
          <w:rFonts w:ascii="Arial" w:cs="Arial" w:eastAsia="Arial" w:hAnsi="Arial"/>
          <w:sz w:val="18"/>
          <w:szCs w:val="18"/>
          <w:color w:val="auto"/>
        </w:rPr>
        <w:t>”), being the Corporation, including the re-designation of the Class A ordinary fully paid shares (the “</w:t>
      </w:r>
      <w:r>
        <w:rPr>
          <w:rFonts w:ascii="Arial" w:cs="Arial" w:eastAsia="Arial" w:hAnsi="Arial"/>
          <w:sz w:val="18"/>
          <w:szCs w:val="18"/>
          <w:b w:val="1"/>
          <w:bCs w:val="1"/>
          <w:color w:val="auto"/>
        </w:rPr>
        <w:t>Class A Shares</w:t>
      </w:r>
      <w:r>
        <w:rPr>
          <w:rFonts w:ascii="Arial" w:cs="Arial" w:eastAsia="Arial" w:hAnsi="Arial"/>
          <w:sz w:val="18"/>
          <w:szCs w:val="18"/>
          <w:color w:val="auto"/>
        </w:rPr>
        <w:t>”) and Class B ordinary fully paid ordinary shares (the “</w:t>
      </w:r>
      <w:r>
        <w:rPr>
          <w:rFonts w:ascii="Arial" w:cs="Arial" w:eastAsia="Arial" w:hAnsi="Arial"/>
          <w:sz w:val="18"/>
          <w:szCs w:val="18"/>
          <w:b w:val="1"/>
          <w:bCs w:val="1"/>
          <w:color w:val="auto"/>
        </w:rPr>
        <w:t>Class</w:t>
      </w:r>
      <w:r>
        <w:rPr>
          <w:rFonts w:ascii="Arial" w:cs="Arial" w:eastAsia="Arial" w:hAnsi="Arial"/>
          <w:sz w:val="18"/>
          <w:szCs w:val="18"/>
          <w:color w:val="auto"/>
        </w:rPr>
        <w:t xml:space="preserve"> </w:t>
      </w:r>
      <w:r>
        <w:rPr>
          <w:rFonts w:ascii="Arial" w:cs="Arial" w:eastAsia="Arial" w:hAnsi="Arial"/>
          <w:sz w:val="18"/>
          <w:szCs w:val="18"/>
          <w:b w:val="1"/>
          <w:bCs w:val="1"/>
          <w:color w:val="auto"/>
        </w:rPr>
        <w:t>B Shares</w:t>
      </w:r>
      <w:r>
        <w:rPr>
          <w:rFonts w:ascii="Arial" w:cs="Arial" w:eastAsia="Arial" w:hAnsi="Arial"/>
          <w:sz w:val="18"/>
          <w:szCs w:val="18"/>
          <w:color w:val="auto"/>
        </w:rPr>
        <w:t>”) of SOAC into common shares of the Corporation upon completion of such Continuation, was duly authorized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laws of SOAC’s jurisdiction of incorporation;</w:t>
      </w:r>
    </w:p>
    <w:p>
      <w:pPr>
        <w:spacing w:after="0" w:line="183" w:lineRule="exact"/>
        <w:rPr>
          <w:rFonts w:ascii="Arial" w:cs="Arial" w:eastAsia="Arial" w:hAnsi="Arial"/>
          <w:sz w:val="18"/>
          <w:szCs w:val="18"/>
          <w:color w:val="auto"/>
        </w:rPr>
      </w:pPr>
    </w:p>
    <w:p>
      <w:pPr>
        <w:ind w:left="1300" w:right="20" w:hanging="644"/>
        <w:spacing w:after="0" w:line="257" w:lineRule="auto"/>
        <w:tabs>
          <w:tab w:leader="none" w:pos="13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SOAC Securities Registers remain accurate and correct as of immediately prior to the completion of the Continuation, and each of the shares set out in the SOAC Securities Registers were validly issued, fully paid and non-assessable shares in the capital of SOAC in accordance with the laws of SOAC’s jurisdiction of incorporation as of the Continuation Time, issued to the shareholders of SOAC as indicated on the SOAC Securities Registers, including the 6,759,000 Class B Shares that were re-designated to become the Founder Shares upon completion of the Continuation;</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Corporation Securities Register was accurate and correct as of September 9, 2021 following completion of the Arrangement;</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6,759,000 Class B Shares were re-designated to become the Founder Shares upon completion of the Continuation; and</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that if any obligation under any document is required to be performed in a jurisdiction outside of the Province of British Columbia, the performance of that obligation will not be illegal under the laws of that jurisdiction.</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Reliance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purposes of expressing the opinions set forth herein, in connection with certain factual matters pertaining to this opinion, we have relied exclusively and without independent investigation upon the Officer’s Certificate.</w:t>
      </w:r>
    </w:p>
    <w:p>
      <w:pPr>
        <w:spacing w:after="0" w:line="166"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Opinions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Based upon and relying on the foregoing and the qualifications hereinafter expressed, we are of the opinion that:</w:t>
      </w:r>
    </w:p>
    <w:p>
      <w:pPr>
        <w:spacing w:after="0" w:line="225" w:lineRule="exact"/>
        <w:rPr>
          <w:sz w:val="20"/>
          <w:szCs w:val="20"/>
          <w:color w:val="auto"/>
        </w:rPr>
      </w:pPr>
    </w:p>
    <w:p>
      <w:pPr>
        <w:ind w:left="1300" w:hanging="644"/>
        <w:spacing w:after="0" w:line="263" w:lineRule="auto"/>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Primary Shares have been authorized for issuance and when issued in compliance with the provisions of the Warrant Agreement, including due exercise of such warrants and the receipt by the Corporation of consideration required, will be validly issued, fully paid and non-assessable common shares in the capital of the Corporation.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3277235</wp:posOffset>
            </wp:positionH>
            <wp:positionV relativeFrom="page">
              <wp:posOffset>586105</wp:posOffset>
            </wp:positionV>
            <wp:extent cx="968375" cy="2400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6">
                      <a:clrChange>
                        <a:clrFrom>
                          <a:srgbClr val="FFFFFF"/>
                        </a:clrFrom>
                        <a:clrTo>
                          <a:srgbClr val="FFFFFF">
                            <a:alpha val="0"/>
                          </a:srgbClr>
                        </a:clrTo>
                      </a:clrChange>
                      <a:extLst>
                        <a:ext uri="{28A0092B-C50C-407E-A947-70E740481C1C}"/>
                      </a:extLst>
                    </a:blip>
                    <a:srcRect/>
                    <a:stretch>
                      <a:fillRect/>
                    </a:stretch>
                  </pic:blipFill>
                  <pic:spPr bwMode="auto">
                    <a:xfrm>
                      <a:off x="0" y="0"/>
                      <a:ext cx="968375" cy="240030"/>
                    </a:xfrm>
                    <a:prstGeom prst="rect">
                      <a:avLst/>
                    </a:prstGeom>
                    <a:noFill/>
                  </pic:spPr>
                </pic:pic>
              </a:graphicData>
            </a:graphic>
          </wp:anchor>
        </w:drawing>
      </w:r>
    </w:p>
    <w:p>
      <w:pPr>
        <w:ind w:left="1300" w:hanging="644"/>
        <w:spacing w:after="0" w:line="263"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Resale Shares, other than any Private Placement Warrant Shares, Allseas Warrant Shares, DeepGreen Earnout Conversion Shares Sponsor Earnout Conversion Shares and the Service Provider Shares included in the Resale Shares, are validly issued, fully paid and non-assessable common shares in the capital of the Corporation.</w:t>
      </w:r>
    </w:p>
    <w:p>
      <w:pPr>
        <w:spacing w:after="0" w:line="183" w:lineRule="exact"/>
        <w:rPr>
          <w:rFonts w:ascii="Arial" w:cs="Arial" w:eastAsia="Arial" w:hAnsi="Arial"/>
          <w:sz w:val="18"/>
          <w:szCs w:val="18"/>
          <w:color w:val="auto"/>
        </w:rPr>
      </w:pPr>
    </w:p>
    <w:p>
      <w:pPr>
        <w:ind w:left="1300" w:right="300" w:hanging="644"/>
        <w:spacing w:after="0" w:line="263"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Allseas Warrant Shares have been authorized for issuance and when issued in compliance with the provisions of the Allseas Warrants, including due exercise of such warrants and the receipt by the Corporation of consideration required, will be validly issued, fully paid and non-assessable common shares in the capital of the Corporation.</w:t>
      </w:r>
    </w:p>
    <w:p>
      <w:pPr>
        <w:spacing w:after="0" w:line="183" w:lineRule="exact"/>
        <w:rPr>
          <w:rFonts w:ascii="Arial" w:cs="Arial" w:eastAsia="Arial" w:hAnsi="Arial"/>
          <w:sz w:val="18"/>
          <w:szCs w:val="18"/>
          <w:color w:val="auto"/>
        </w:rPr>
      </w:pPr>
    </w:p>
    <w:p>
      <w:pPr>
        <w:ind w:left="1300" w:right="200" w:hanging="644"/>
        <w:spacing w:after="0" w:line="277"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DeepGreen Earnout Conversion Shares have been authorized for issuance and when issued in compliance with the Articles will be validly issued, fully paid and non-assessable common shares in the capital of the Corporation.</w:t>
      </w:r>
    </w:p>
    <w:p>
      <w:pPr>
        <w:spacing w:after="0" w:line="170" w:lineRule="exact"/>
        <w:rPr>
          <w:rFonts w:ascii="Arial" w:cs="Arial" w:eastAsia="Arial" w:hAnsi="Arial"/>
          <w:sz w:val="18"/>
          <w:szCs w:val="18"/>
          <w:color w:val="auto"/>
        </w:rPr>
      </w:pPr>
    </w:p>
    <w:p>
      <w:pPr>
        <w:ind w:left="1300" w:right="420" w:hanging="644"/>
        <w:spacing w:after="0" w:line="277"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Sponsor Earnout Conversion Shares have been authorized for issuance and when issued in compliance with the Articles will be validly issued, fully paid and non-assessable common shares in the capital of the Corporation.</w:t>
      </w:r>
    </w:p>
    <w:p>
      <w:pPr>
        <w:spacing w:after="0" w:line="170" w:lineRule="exact"/>
        <w:rPr>
          <w:rFonts w:ascii="Arial" w:cs="Arial" w:eastAsia="Arial" w:hAnsi="Arial"/>
          <w:sz w:val="18"/>
          <w:szCs w:val="18"/>
          <w:color w:val="auto"/>
        </w:rPr>
      </w:pPr>
    </w:p>
    <w:p>
      <w:pPr>
        <w:jc w:val="both"/>
        <w:ind w:left="1300" w:right="360" w:hanging="644"/>
        <w:spacing w:after="0" w:line="263"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Service Provider Shares have been authorized for issuance and when issued in compliance with the Articles and the Authorizing Resolutions, including the receipt by the Corporation of consideration required, will be validly issued, fully paid and non-assessable common shares in the capital of the Corporation.</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Qualifications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spacing w:after="0" w:line="184"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We hereby consent to the reference to us under the headings “</w:t>
      </w:r>
      <w:r>
        <w:rPr>
          <w:rFonts w:ascii="Arial" w:cs="Arial" w:eastAsia="Arial" w:hAnsi="Arial"/>
          <w:sz w:val="16"/>
          <w:szCs w:val="16"/>
          <w:i w:val="1"/>
          <w:iCs w:val="1"/>
          <w:color w:val="auto"/>
        </w:rPr>
        <w:t>Legal Matters</w:t>
      </w:r>
      <w:r>
        <w:rPr>
          <w:rFonts w:ascii="Arial" w:cs="Arial" w:eastAsia="Arial" w:hAnsi="Arial"/>
          <w:sz w:val="16"/>
          <w:szCs w:val="16"/>
          <w:color w:val="auto"/>
        </w:rPr>
        <w:t>” and “</w:t>
      </w:r>
      <w:r>
        <w:rPr>
          <w:rFonts w:ascii="Arial" w:cs="Arial" w:eastAsia="Arial" w:hAnsi="Arial"/>
          <w:sz w:val="16"/>
          <w:szCs w:val="16"/>
          <w:i w:val="1"/>
          <w:iCs w:val="1"/>
          <w:color w:val="auto"/>
        </w:rPr>
        <w:t>Selling Securityholders</w:t>
      </w:r>
      <w:r>
        <w:rPr>
          <w:rFonts w:ascii="Arial" w:cs="Arial" w:eastAsia="Arial" w:hAnsi="Arial"/>
          <w:sz w:val="16"/>
          <w:szCs w:val="16"/>
          <w:color w:val="auto"/>
        </w:rPr>
        <w:t>” in the Registration Statement and to the filing of this opinion as an exhibit to the Registration Statement. In giving this consent, we do not thereby admit that we are included in the category of persons whose consent is required under Section 7 or Section 11 of the Securities Act or the rules and regulations of the Commission promulgated thereunder.</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opinions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FASKEN MARTINEAU DuMOULIN LLP</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-121920</wp:posOffset>
            </wp:positionV>
            <wp:extent cx="728980" cy="9175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8">
                      <a:extLst>
                        <a:ext uri="{28A0092B-C50C-407E-A947-70E740481C1C}"/>
                      </a:extLst>
                    </a:blip>
                    <a:srcRect/>
                    <a:stretch>
                      <a:fillRect/>
                    </a:stretch>
                  </pic:blipFill>
                  <pic:spPr bwMode="auto">
                    <a:xfrm>
                      <a:off x="0" y="0"/>
                      <a:ext cx="728980" cy="91757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617 542 6000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V6C 2T5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This opinion is furnished to you in connection with the Registration Statement on Form S-1,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by TMC the metals company Inc. (the “</w:t>
      </w:r>
      <w:r>
        <w:rPr>
          <w:rFonts w:ascii="Arial" w:cs="Arial" w:eastAsia="Arial" w:hAnsi="Arial"/>
          <w:sz w:val="16"/>
          <w:szCs w:val="16"/>
          <w:u w:val="single" w:color="auto"/>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in connection with the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up to 261,859,958 common shares of the Company, without par value (the “</w:t>
      </w:r>
      <w:r>
        <w:rPr>
          <w:rFonts w:ascii="Arial" w:cs="Arial" w:eastAsia="Arial" w:hAnsi="Arial"/>
          <w:sz w:val="16"/>
          <w:szCs w:val="16"/>
          <w:u w:val="single" w:color="auto"/>
          <w:color w:val="auto"/>
        </w:rPr>
        <w:t>Shares</w:t>
      </w:r>
      <w:r>
        <w:rPr>
          <w:rFonts w:ascii="Arial" w:cs="Arial" w:eastAsia="Arial" w:hAnsi="Arial"/>
          <w:sz w:val="16"/>
          <w:szCs w:val="16"/>
          <w:color w:val="auto"/>
        </w:rPr>
        <w:t>”), which includes (i) up to 246,859,958 common shares and 9,500,000 private placement warrants (the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to be sold by the selling securityholders listed in the Registration Statement under “Selling Securityholders” and (ii) up to 24,500,000 common shares (the “</w:t>
      </w:r>
      <w:r>
        <w:rPr>
          <w:rFonts w:ascii="Arial" w:cs="Arial" w:eastAsia="Arial" w:hAnsi="Arial"/>
          <w:sz w:val="16"/>
          <w:szCs w:val="16"/>
          <w:u w:val="single" w:color="auto"/>
          <w:color w:val="auto"/>
        </w:rPr>
        <w:t>Warrant Shares</w:t>
      </w:r>
      <w:r>
        <w:rPr>
          <w:rFonts w:ascii="Arial" w:cs="Arial" w:eastAsia="Arial" w:hAnsi="Arial"/>
          <w:sz w:val="16"/>
          <w:szCs w:val="16"/>
          <w:color w:val="auto"/>
        </w:rPr>
        <w:t>”) that may be issued upon exercise of outstanding warrants to purchase Common Stock, including the Private Placement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w:t>
      </w:r>
    </w:p>
    <w:p>
      <w:pPr>
        <w:spacing w:after="0" w:line="16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are acting as United States counsel for the Company in connection with the registration of the Securities. As such counsel, we have made such legal and factual examinations and inquiries as we have deemed necessary or advisable for the purpose of rendering the opinions and statements set forth below. In rendering the opinions and statements expressed below, 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15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rendering the opinion stated herein, we have examined and relied upon the following: (i) the form of Warrant Certificate (included as Exhibit A to the Warrant Agreement (defined below)) (the “</w:t>
      </w:r>
      <w:r>
        <w:rPr>
          <w:rFonts w:ascii="Arial" w:cs="Arial" w:eastAsia="Arial" w:hAnsi="Arial"/>
          <w:sz w:val="18"/>
          <w:szCs w:val="18"/>
          <w:u w:val="single" w:color="auto"/>
          <w:color w:val="auto"/>
        </w:rPr>
        <w:t>Warrant Certificate</w:t>
      </w:r>
      <w:r>
        <w:rPr>
          <w:rFonts w:ascii="Arial" w:cs="Arial" w:eastAsia="Arial" w:hAnsi="Arial"/>
          <w:sz w:val="18"/>
          <w:szCs w:val="18"/>
          <w:color w:val="auto"/>
        </w:rPr>
        <w:t>”) and (ii) the agreed form of the Warrant Agreement between the Company, Sustainable Opportunities Acquisition Corp. and Continental Stock Transfer &amp; Trust Company (“</w:t>
      </w:r>
      <w:r>
        <w:rPr>
          <w:rFonts w:ascii="Arial" w:cs="Arial" w:eastAsia="Arial" w:hAnsi="Arial"/>
          <w:sz w:val="18"/>
          <w:szCs w:val="18"/>
          <w:u w:val="single" w:color="auto"/>
          <w:color w:val="auto"/>
        </w:rPr>
        <w:t>CST</w:t>
      </w:r>
      <w:r>
        <w:rPr>
          <w:rFonts w:ascii="Arial" w:cs="Arial" w:eastAsia="Arial" w:hAnsi="Arial"/>
          <w:sz w:val="18"/>
          <w:szCs w:val="18"/>
          <w:color w:val="auto"/>
        </w:rPr>
        <w:t>”), as warrant agent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filed as Exhibit 4.2 to the Registration Statement, and (iii) the opinion of Fasken Martineau DuMoulin LLP, being filed as an exhibit to the Registration Statement, that all necessary corporate action on the part of the Company has been taken under the laws of British Columbia, Canada to authorize the issuance of the Shares, the Warrants, and the Warrant Shares.</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our examination, we have assumed the genuineness of all signatures, the authenticity and completeness of all documents submitted to us as originals, the conformity with the originals of all documents submitted to us as copies, the authenticity of the originals of such documents and the legal competence of all signatories to such documents. We have also assumed the authority of such persons signing on behalf of the parties thereto other than the Company and the due authorization, execution and delivery of all documents by the parties thereto other than the Company. We have assumed the due authorization, execution and delivery by CST of the Warrant Agreement and that the Warrant Agreement constitutes the valid and binding obligation of CST, enforceable against CST in accordance with its terms. We have assumed that the choice of New York Law to govern the Warrant Agreement is a valid and legal provision.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We have also assumed the conformity of the documents filed with the Commission via the Electronic Data Gathering, Analysis and Retrieval System</w:t>
      </w:r>
    </w:p>
    <w:p>
      <w:pPr>
        <w:spacing w:after="0" w:line="35"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EDGAR</w:t>
      </w:r>
      <w:r>
        <w:rPr>
          <w:rFonts w:ascii="Arial" w:cs="Arial" w:eastAsia="Arial" w:hAnsi="Arial"/>
          <w:sz w:val="16"/>
          <w:szCs w:val="16"/>
          <w:color w:val="auto"/>
        </w:rPr>
        <w:t>”), except for required EDGAR formatting changes, to physical copies submitted for our examination and the absence of any evidence extrinsic to the provisions of the written agreements between the parties that the parties intended a meaning contrary to that expressed by those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BOSTON LONDON LOS ANGELES NEW YORK SAN DIEGO SAN FRANCISCO WASHINGTON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-119380</wp:posOffset>
            </wp:positionV>
            <wp:extent cx="368935" cy="4718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1">
                      <a:extLst>
                        <a:ext uri="{28A0092B-C50C-407E-A947-70E740481C1C}"/>
                      </a:extLst>
                    </a:blip>
                    <a:srcRect/>
                    <a:stretch>
                      <a:fillRect/>
                    </a:stretch>
                  </pic:blipFill>
                  <pic:spPr bwMode="auto">
                    <a:xfrm>
                      <a:off x="0" y="0"/>
                      <a:ext cx="368935"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October 7,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express no opinion as to any matter relating to the laws of any jurisdiction other than the federal laws of the United States of America and the State of New York.</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Based upon and subject to the foregoing qualifications, assumptions and limitations and the further limitations set forth below, we are of the opinion that the Private Placement Warrants to be offered pursuant to the Registration Statement shall constitute valid and binding obligations of the Company, subject to applicable bankruptcy, insolvency and similar laws affecting creditors’ rights generally and to equitable principles of general applicability.</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filing of this opinion letter as Exhibit 5.2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opinion is furnished to you in connection with the filing of the Registration Statement, and is not to be used, circulated, quoted or otherwise relied upon for any other purpose.</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22225</wp:posOffset>
            </wp:positionV>
            <wp:extent cx="284607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287" w:name="page288"/>
    <w:bookmarkEnd w:id="287"/>
    <w:p>
      <w:pPr>
        <w:ind w:left="10020"/>
        <w:spacing w:after="0"/>
        <w:rPr>
          <w:sz w:val="20"/>
          <w:szCs w:val="20"/>
          <w:color w:val="auto"/>
        </w:rPr>
      </w:pPr>
      <w:r>
        <w:rPr>
          <w:rFonts w:ascii="Arial" w:cs="Arial" w:eastAsia="Arial" w:hAnsi="Arial"/>
          <w:sz w:val="19"/>
          <w:szCs w:val="19"/>
          <w:b w:val="1"/>
          <w:bCs w:val="1"/>
          <w:color w:val="auto"/>
        </w:rPr>
        <w:t>Exhibit 10.13</w:t>
      </w:r>
    </w:p>
    <w:p>
      <w:pPr>
        <w:spacing w:after="0" w:line="25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Sponsorship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Kingdom of Tonga/ The Tonga Seabed Minerals Authority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Tonga Offshore Mining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8" w:name="page289"/>
    <w:bookmarkEnd w:id="288"/>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220" w:type="dxa"/>
            <w:vAlign w:val="bottom"/>
          </w:tcPr>
          <w:p>
            <w:pPr>
              <w:spacing w:after="0"/>
              <w:rPr>
                <w:sz w:val="20"/>
                <w:szCs w:val="20"/>
                <w:color w:val="auto"/>
              </w:rPr>
            </w:pPr>
          </w:p>
        </w:tc>
      </w:tr>
      <w:tr>
        <w:trPr>
          <w:trHeight w:val="216"/>
        </w:trPr>
        <w:tc>
          <w:tcPr>
            <w:tcW w:w="5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Term</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99"/>
              </w:rPr>
              <w:t>3</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2.</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Sponsorship</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4</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Commercial Recovery Payment</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99"/>
              </w:rPr>
              <w:t>5</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4.</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Audit</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Undertaking to Comply with ISA Contract Terms</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99"/>
              </w:rPr>
              <w:t>6</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6.</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Subcontractors</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Training and Capacity Building</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99"/>
              </w:rPr>
              <w:t>7</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8.</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Indemnification</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Applicable Taxes and Payments</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99"/>
              </w:rPr>
              <w:t>9</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Tongan Laws, Expropriation and Corporate Existence</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9</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Assignment of TOML Rights</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Notification to TOML</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13.</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Exploitation Application</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14.</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Environmental and Safety Performance Monitoring Program</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15.</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ESPMP Officers</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15</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16.</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Completion Criteria</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17.</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Confidentiality</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18.</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Administration Fee</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19.</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TOML Default and State Default</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20.</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Temporary Suspension of Activities</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21.</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Material TOML Breach Termination</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22.</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Material State Breach</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23.</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Dispute Resolution</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24.</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Authorisation to Enter Agreement</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25.</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Governing Jurisdiction</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26.</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International Law</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27.</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Notices</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28.</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Entire Agreement</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29.</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Force Majeure</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30.</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Amendment</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Severability of Provisions</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32.</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Further Assurances</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33.</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No Limitation</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34.</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Representations and Warranties</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35.</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Non Reliance</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36.</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Counterparts</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25</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37.</w:t>
            </w: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Interpretation</w:t>
            </w:r>
          </w:p>
        </w:tc>
        <w:tc>
          <w:tcPr>
            <w:tcW w:w="3220" w:type="dxa"/>
            <w:vAlign w:val="bottom"/>
            <w:shd w:val="clear" w:color="auto" w:fill="CCEEFF"/>
          </w:tcPr>
          <w:p>
            <w:pPr>
              <w:jc w:val="center"/>
              <w:ind w:left="1910"/>
              <w:spacing w:after="0"/>
              <w:rPr>
                <w:sz w:val="20"/>
                <w:szCs w:val="20"/>
                <w:color w:val="auto"/>
              </w:rPr>
            </w:pPr>
            <w:r>
              <w:rPr>
                <w:rFonts w:ascii="Arial" w:cs="Arial" w:eastAsia="Arial" w:hAnsi="Arial"/>
                <w:sz w:val="18"/>
                <w:szCs w:val="18"/>
                <w:b w:val="1"/>
                <w:bCs w:val="1"/>
                <w:color w:val="auto"/>
                <w:w w:val="89"/>
              </w:rPr>
              <w:t>25</w:t>
            </w:r>
          </w:p>
        </w:tc>
      </w:t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38.</w:t>
            </w:r>
          </w:p>
        </w:tc>
        <w:tc>
          <w:tcPr>
            <w:tcW w:w="7500" w:type="dxa"/>
            <w:vAlign w:val="bottom"/>
          </w:tcPr>
          <w:p>
            <w:pPr>
              <w:ind w:left="280"/>
              <w:spacing w:after="0"/>
              <w:rPr>
                <w:sz w:val="20"/>
                <w:szCs w:val="20"/>
                <w:color w:val="auto"/>
              </w:rPr>
            </w:pPr>
            <w:r>
              <w:rPr>
                <w:rFonts w:ascii="Arial" w:cs="Arial" w:eastAsia="Arial" w:hAnsi="Arial"/>
                <w:sz w:val="18"/>
                <w:szCs w:val="18"/>
                <w:b w:val="1"/>
                <w:bCs w:val="1"/>
                <w:color w:val="auto"/>
              </w:rPr>
              <w:t>Definitions</w:t>
            </w:r>
          </w:p>
        </w:tc>
        <w:tc>
          <w:tcPr>
            <w:tcW w:w="32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(i)</w:t>
      </w:r>
    </w:p>
    <w:p>
      <w:pPr>
        <w:sectPr>
          <w:pgSz w:w="11900" w:h="16838" w:orient="portrait"/>
          <w:cols w:equalWidth="0" w:num="1">
            <w:col w:w="11240"/>
          </w:cols>
          <w:pgMar w:left="320" w:top="901" w:right="339" w:bottom="1440" w:gutter="0" w:footer="0" w:header="0"/>
        </w:sectPr>
      </w:pPr>
    </w:p>
    <w:bookmarkStart w:id="289" w:name="page290"/>
    <w:bookmarkEnd w:id="289"/>
    <w:p>
      <w:pPr>
        <w:spacing w:after="0"/>
        <w:rPr>
          <w:sz w:val="20"/>
          <w:szCs w:val="20"/>
          <w:color w:val="auto"/>
        </w:rPr>
      </w:pPr>
      <w:r>
        <w:rPr>
          <w:rFonts w:ascii="Arial" w:cs="Arial" w:eastAsia="Arial" w:hAnsi="Arial"/>
          <w:sz w:val="19"/>
          <w:szCs w:val="19"/>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96925" cy="43033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8">
                      <a:extLst>
                        <a:ext uri="{28A0092B-C50C-407E-A947-70E740481C1C}"/>
                      </a:extLst>
                    </a:blip>
                    <a:srcRect/>
                    <a:stretch>
                      <a:fillRect/>
                    </a:stretch>
                  </pic:blipFill>
                  <pic:spPr bwMode="auto">
                    <a:xfrm>
                      <a:off x="0" y="0"/>
                      <a:ext cx="796925" cy="430339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Recitals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September, 2021</w:t>
      </w:r>
    </w:p>
    <w:p>
      <w:pPr>
        <w:spacing w:after="0" w:line="200" w:lineRule="exact"/>
        <w:rPr>
          <w:sz w:val="20"/>
          <w:szCs w:val="20"/>
          <w:color w:val="auto"/>
        </w:rPr>
      </w:pPr>
    </w:p>
    <w:p>
      <w:pPr>
        <w:spacing w:after="0" w:line="39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The Kingdom of Tonga </w:t>
      </w:r>
      <w:r>
        <w:rPr>
          <w:rFonts w:ascii="Arial" w:cs="Arial" w:eastAsia="Arial" w:hAnsi="Arial"/>
          <w:sz w:val="18"/>
          <w:szCs w:val="18"/>
          <w:color w:val="auto"/>
        </w:rPr>
        <w:t>(the “</w:t>
      </w:r>
      <w:r>
        <w:rPr>
          <w:rFonts w:ascii="Arial" w:cs="Arial" w:eastAsia="Arial" w:hAnsi="Arial"/>
          <w:sz w:val="18"/>
          <w:szCs w:val="18"/>
          <w:b w:val="1"/>
          <w:bCs w:val="1"/>
          <w:i w:val="1"/>
          <w:iCs w:val="1"/>
          <w:color w:val="auto"/>
        </w:rPr>
        <w:t>State</w:t>
      </w:r>
      <w:r>
        <w:rPr>
          <w:rFonts w:ascii="Arial" w:cs="Arial" w:eastAsia="Arial" w:hAnsi="Arial"/>
          <w:sz w:val="18"/>
          <w:szCs w:val="18"/>
          <w:color w:val="auto"/>
        </w:rPr>
        <w:t>”)/</w:t>
      </w:r>
      <w:r>
        <w:rPr>
          <w:rFonts w:ascii="Arial" w:cs="Arial" w:eastAsia="Arial" w:hAnsi="Arial"/>
          <w:sz w:val="18"/>
          <w:szCs w:val="18"/>
          <w:b w:val="1"/>
          <w:bCs w:val="1"/>
          <w:color w:val="auto"/>
        </w:rPr>
        <w:t xml:space="preserve"> The Tonga Seabed Minerals Authority</w:t>
      </w:r>
      <w:r>
        <w:rPr>
          <w:rFonts w:ascii="Arial" w:cs="Arial" w:eastAsia="Arial" w:hAnsi="Arial"/>
          <w:sz w:val="18"/>
          <w:szCs w:val="18"/>
          <w:color w:val="auto"/>
        </w:rPr>
        <w:t>, established under the Seabed Minerals Act 2014</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the Act</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Tonga Offshore Mining Limited </w:t>
      </w:r>
      <w:r>
        <w:rPr>
          <w:rFonts w:ascii="Arial" w:cs="Arial" w:eastAsia="Arial" w:hAnsi="Arial"/>
          <w:sz w:val="18"/>
          <w:szCs w:val="18"/>
          <w:color w:val="auto"/>
        </w:rPr>
        <w:t>(“</w:t>
      </w:r>
      <w:r>
        <w:rPr>
          <w:rFonts w:ascii="Arial" w:cs="Arial" w:eastAsia="Arial" w:hAnsi="Arial"/>
          <w:sz w:val="18"/>
          <w:szCs w:val="18"/>
          <w:b w:val="1"/>
          <w:bCs w:val="1"/>
          <w:i w:val="1"/>
          <w:iCs w:val="1"/>
          <w:color w:val="auto"/>
        </w:rPr>
        <w:t>TOML</w:t>
      </w:r>
      <w:r>
        <w:rPr>
          <w:rFonts w:ascii="Arial" w:cs="Arial" w:eastAsia="Arial" w:hAnsi="Arial"/>
          <w:sz w:val="18"/>
          <w:szCs w:val="18"/>
          <w:color w:val="auto"/>
        </w:rPr>
        <w:t>”)</w:t>
      </w:r>
    </w:p>
    <w:p>
      <w:pPr>
        <w:spacing w:after="0" w:line="2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TOML has the exclusive right to explore for Polymetallic Nodules in the International Seabed Area pursuant to the ISA Exploration Contract.</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State has Sponsored TOML’s Activities in the International Seabed Area pursuant to the Sponsorship Certificate, and agrees to maintain Sponsorship on the terms of this Agreement.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exchange for the State’s sponsorship, TOML will pay a Commercial Recovery Payment during Exploitation in accordance with Section 91(2)(b) of the Act.</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Commercial Recovery Payment will be paid via the Tonga Seabed Minerals Authority to the Seabed Minerals Fund, in accordance with the Act to provide benefits to Tonga’s current and future generations in a transparent manner. In this way, the Commercial Recovery Payment paid by TOML during Exploitation is intended to provide significant benefits with a high social rate of return to the people of Tonga.</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TOML currently provides capacity building initiatives for Tongan nationals and proposes to continue to provide such initiatives during the Exploration and Exploitation phases.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exploration and exploitation will be carried out in the International Seabed Area, which is outside the sovereign jurisdiction of the State. For clarity, the State does not own the Polymetallic Nodules contained in TOML’s Tenement Area. Polymetallic nodule processing will also be carried out in a different national jurisdiction to the State given geographic and infrastructure constraints.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251460</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720"/>
            <w:col w:w="9720"/>
          </w:cols>
          <w:pgMar w:left="320" w:top="901" w:right="3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240"/>
          </w:cols>
          <w:pgMar w:left="320" w:top="901" w:right="339" w:bottom="1440" w:gutter="0" w:footer="0" w:header="0"/>
          <w:type w:val="continuous"/>
        </w:sectPr>
      </w:pPr>
    </w:p>
    <w:bookmarkStart w:id="290" w:name="page291"/>
    <w:bookmarkEnd w:id="290"/>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520" w:right="120" w:hanging="1257"/>
        <w:spacing w:after="0" w:line="259" w:lineRule="auto"/>
        <w:tabs>
          <w:tab w:leader="none" w:pos="15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seafloor minerals contained in the Tenement Area are administered by the ISA, and TOML will be required to make payments to the ISA for the right to recover the minerals during Exploitation. In addition, because deep-sea mineral production involves many different areas of expertise and speciality, TOML will likely engage subcontractors for certain parts of the project. These subcontractors will need to earn a profit and will pay taxes in their own national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2074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1">
                      <a:extLst>
                        <a:ext uri="{28A0092B-C50C-407E-A947-70E740481C1C}"/>
                      </a:extLst>
                    </a:blip>
                    <a:srcRect/>
                    <a:stretch>
                      <a:fillRect/>
                    </a:stretch>
                  </pic:blipFill>
                  <pic:spPr bwMode="auto">
                    <a:xfrm>
                      <a:off x="0" y="0"/>
                      <a:ext cx="7132320" cy="2074545"/>
                    </a:xfrm>
                    <a:prstGeom prst="rect">
                      <a:avLst/>
                    </a:prstGeom>
                    <a:noFill/>
                  </pic:spPr>
                </pic:pic>
              </a:graphicData>
            </a:graphic>
          </wp:anchor>
        </w:drawing>
      </w:r>
    </w:p>
    <w:p>
      <w:pPr>
        <w:spacing w:after="0" w:line="167" w:lineRule="exact"/>
        <w:rPr>
          <w:sz w:val="20"/>
          <w:szCs w:val="20"/>
          <w:color w:val="auto"/>
        </w:rPr>
      </w:pPr>
    </w:p>
    <w:p>
      <w:pPr>
        <w:ind w:left="1520" w:right="320" w:hanging="1257"/>
        <w:spacing w:after="0" w:line="311" w:lineRule="auto"/>
        <w:tabs>
          <w:tab w:leader="none" w:pos="15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It is acknowledged that considerable funds will be required to be expended at risk before any commercial development of the Polymetallic Nodules in the Tenement Area. The State is not making any monetary investment in the Exploration and Exploitation activities in the Tenement Area, and accordingly is not exposed to the risk of loss associated with such investment.</w:t>
      </w:r>
    </w:p>
    <w:p>
      <w:pPr>
        <w:spacing w:after="0" w:line="149" w:lineRule="exact"/>
        <w:rPr>
          <w:sz w:val="20"/>
          <w:szCs w:val="20"/>
          <w:color w:val="auto"/>
        </w:rPr>
      </w:pPr>
    </w:p>
    <w:p>
      <w:pPr>
        <w:ind w:left="1520" w:right="800" w:hanging="1257"/>
        <w:spacing w:after="0" w:line="342" w:lineRule="auto"/>
        <w:tabs>
          <w:tab w:leader="none" w:pos="15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TOML undertakes that its Polymetallic Nodule Exploitation in the International Seabed Area will not directly impact on the environment in the Kingdom of Tonga and will not cause depletion of the Kingdom of Tonga’s own mineral resources.</w:t>
      </w:r>
    </w:p>
    <w:p>
      <w:pPr>
        <w:spacing w:after="0" w:line="124" w:lineRule="exact"/>
        <w:rPr>
          <w:sz w:val="20"/>
          <w:szCs w:val="20"/>
          <w:color w:val="auto"/>
        </w:rPr>
      </w:pPr>
    </w:p>
    <w:p>
      <w:pPr>
        <w:ind w:left="1520" w:right="60" w:hanging="1257"/>
        <w:spacing w:after="0" w:line="277" w:lineRule="auto"/>
        <w:tabs>
          <w:tab w:leader="none" w:pos="15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With regard to the respective obligations and commitments under this Agreement, each of the parties covenant that it shall act in good faith and deal fairly with the other party.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For good and valuable consideration, the Parties hereto agree to be bound by the following terms and conditions:</w:t>
      </w:r>
    </w:p>
    <w:p>
      <w:pPr>
        <w:spacing w:after="0" w:line="221" w:lineRule="exact"/>
        <w:rPr>
          <w:sz w:val="20"/>
          <w:szCs w:val="20"/>
          <w:color w:val="auto"/>
        </w:rPr>
      </w:pPr>
    </w:p>
    <w:p>
      <w:pPr>
        <w:ind w:left="660" w:hanging="652"/>
        <w:spacing w:after="0"/>
        <w:tabs>
          <w:tab w:leader="none" w:pos="6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right="78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Agreement will remain in force for the duration of TOML’s 15 year ISA Exploration Contract, and any extensions thereof, and will automatically extend for a further 25 years upon TOML being granted an ISA Exploitation Contract, unless:</w:t>
      </w:r>
    </w:p>
    <w:p>
      <w:pPr>
        <w:spacing w:after="0" w:line="197" w:lineRule="exact"/>
        <w:rPr>
          <w:sz w:val="20"/>
          <w:szCs w:val="20"/>
          <w:color w:val="auto"/>
        </w:rPr>
      </w:pPr>
    </w:p>
    <w:p>
      <w:pPr>
        <w:ind w:left="1300" w:hanging="644"/>
        <w:spacing w:after="0"/>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TOML’s ISA Contract is terminated by the ISA as a result of TOML breaching the ISA Contract;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this Agreement is terminated pursuant to clauses 10.6, 11, 21, or 22 of this Agreement.</w:t>
      </w:r>
    </w:p>
    <w:p>
      <w:pPr>
        <w:spacing w:after="0" w:line="225" w:lineRule="exact"/>
        <w:rPr>
          <w:sz w:val="20"/>
          <w:szCs w:val="20"/>
          <w:color w:val="auto"/>
        </w:rPr>
      </w:pPr>
    </w:p>
    <w:p>
      <w:pPr>
        <w:jc w:val="both"/>
        <w:ind w:left="660" w:right="20" w:hanging="647"/>
        <w:spacing w:after="0" w:line="311"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During the Term TOML shall, within 30 days of the end of each calendar year, submit a report to the Tonga Seabed Minerals Authority, containing information on its program of Activities for the previous year. Within 60 days of submitting the report, the parties shall meet to discuss the report, as well as the performance of each of the parties under this Agreement, to ensure the Agreement is being fulfilled as originally intended.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240"/>
          </w:cols>
          <w:pgMar w:left="320" w:top="901" w:right="339" w:bottom="1440" w:gutter="0" w:footer="0" w:header="0"/>
        </w:sectPr>
      </w:pPr>
    </w:p>
    <w:bookmarkStart w:id="291" w:name="page292"/>
    <w:bookmarkEnd w:id="291"/>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Sponsorship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State agrees to:</w:t>
      </w:r>
    </w:p>
    <w:p>
      <w:pPr>
        <w:spacing w:after="0" w:line="252" w:lineRule="exact"/>
        <w:rPr>
          <w:sz w:val="20"/>
          <w:szCs w:val="20"/>
          <w:color w:val="auto"/>
        </w:rPr>
      </w:pPr>
    </w:p>
    <w:p>
      <w:pPr>
        <w:ind w:left="1300" w:right="500" w:hanging="644"/>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provide and maintain Sponsorship of TOML and TOML’s Exploration and Exploitation of the Tenement Area (including providing Sponsorship of TOML’s Exploitation application(s) to the ISA) for the Term of this Agreement; and</w:t>
      </w:r>
    </w:p>
    <w:p>
      <w:pPr>
        <w:spacing w:after="0" w:line="197" w:lineRule="exact"/>
        <w:rPr>
          <w:rFonts w:ascii="Arial" w:cs="Arial" w:eastAsia="Arial" w:hAnsi="Arial"/>
          <w:sz w:val="18"/>
          <w:szCs w:val="18"/>
          <w:color w:val="auto"/>
        </w:rPr>
      </w:pPr>
    </w:p>
    <w:p>
      <w:pPr>
        <w:ind w:left="1300" w:right="300" w:hanging="644"/>
        <w:spacing w:after="0" w:line="263"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do all things reasonably necessary to give effect to TOML having the full benefit of the Sponsorship, including renewing TOML’s Sponsorship Certificate, undertaking communications with, and providing documentation, certificates and undertakings to, the ISA or other regulatory body required in respect of the Sponsorship.</w:t>
      </w:r>
    </w:p>
    <w:p>
      <w:pPr>
        <w:spacing w:after="0" w:line="184" w:lineRule="exact"/>
        <w:rPr>
          <w:sz w:val="20"/>
          <w:szCs w:val="20"/>
          <w:color w:val="auto"/>
        </w:rPr>
      </w:pPr>
    </w:p>
    <w:p>
      <w:pPr>
        <w:ind w:left="660" w:right="260" w:hanging="647"/>
        <w:spacing w:after="0" w:line="342"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 clarity, the State acknowledges that the Sponsorship is provided by the State, as a signatory to UNCLOS, for the purposes of UNCLOS and the ISA Regulations and that neither this Agreement nor Sponsorship confers on the State any rights to or in connection with:</w:t>
      </w:r>
    </w:p>
    <w:p>
      <w:pPr>
        <w:spacing w:after="0" w:line="151" w:lineRule="exact"/>
        <w:rPr>
          <w:sz w:val="20"/>
          <w:szCs w:val="20"/>
          <w:color w:val="auto"/>
        </w:rPr>
      </w:pPr>
    </w:p>
    <w:p>
      <w:pPr>
        <w:ind w:left="1960" w:hanging="656"/>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Tenements;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Polymetallic Nodules contained within the Tenements or recovered therefrom; or</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product produced from the processing of the Polymetallic Nodules.</w:t>
      </w:r>
    </w:p>
    <w:p>
      <w:pPr>
        <w:spacing w:after="0" w:line="225"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TOML will have the exclusive enjoyment and right to carry out the Exploration and Exploitation in the Tenement Area, and TOML may at its sole discretion deal with the title and ownership of Tenements and Polymetallic Nodules in any way.</w:t>
      </w:r>
    </w:p>
    <w:p>
      <w:pPr>
        <w:spacing w:after="0" w:line="170" w:lineRule="exact"/>
        <w:rPr>
          <w:sz w:val="20"/>
          <w:szCs w:val="20"/>
          <w:color w:val="auto"/>
        </w:rPr>
      </w:pPr>
    </w:p>
    <w:p>
      <w:pPr>
        <w:ind w:left="660" w:right="260" w:hanging="647"/>
        <w:spacing w:after="0" w:line="279"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The State recognizes that the Exploration and Exploitation within the Tenements shall require significant international financing, and the State agrees to use its best efforts to assist the TOML Group to obtain financing, including entering into agreements and providing formal documents that the lenders, investors and other third parties may reasonably require in relation to Sponsorship and the provision of regulatory certainty, however nothing herein will require or be deemed that the State has provided or guaranteed any such financing.</w:t>
      </w:r>
    </w:p>
    <w:p>
      <w:pPr>
        <w:spacing w:after="0" w:line="171"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For the avoidance of doubt, the State is only sponsoring TOML, and is not sponsoring or responsible for the activities of any other entity in the TOML Group.</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For clarity, the Sponsorship Certificate is also referred to as a Title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240"/>
          </w:cols>
          <w:pgMar w:left="320" w:top="901" w:right="339" w:bottom="1440" w:gutter="0" w:footer="0" w:header="0"/>
        </w:sectPr>
      </w:pPr>
    </w:p>
    <w:bookmarkStart w:id="292" w:name="page293"/>
    <w:bookmarkEnd w:id="292"/>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 Recovery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right="180" w:hanging="647"/>
        <w:spacing w:after="0" w:line="342"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In exchange for the State agreeing to provide continued Sponsorship for the Term on the terms set out in this Agreement, TOML shall pay to the Tonga Seabed Minerals Authority during Payment Years a Commercial Recovery Payment (“</w:t>
      </w:r>
      <w:r>
        <w:rPr>
          <w:rFonts w:ascii="Arial" w:cs="Arial" w:eastAsia="Arial" w:hAnsi="Arial"/>
          <w:sz w:val="16"/>
          <w:szCs w:val="16"/>
          <w:b w:val="1"/>
          <w:bCs w:val="1"/>
          <w:color w:val="auto"/>
        </w:rPr>
        <w:t>CRP</w:t>
      </w:r>
      <w:r>
        <w:rPr>
          <w:rFonts w:ascii="Arial" w:cs="Arial" w:eastAsia="Arial" w:hAnsi="Arial"/>
          <w:sz w:val="16"/>
          <w:szCs w:val="16"/>
          <w:color w:val="auto"/>
        </w:rPr>
        <w:t>”) in accordance with this Clause 3.</w:t>
      </w:r>
    </w:p>
    <w:p>
      <w:pPr>
        <w:spacing w:after="0" w:line="124"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Commercial Recovery Payment will be US$[***] per Tonne of Polymetallic Nodules Recovered from the Tenement Area during Payment Years.</w:t>
      </w:r>
    </w:p>
    <w:p>
      <w:pPr>
        <w:spacing w:after="0" w:line="170"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CRP shall be paid in arrears on or before the last day of the month immediately following the end of each calendar quarter during Payment Years.</w:t>
      </w:r>
    </w:p>
    <w:p>
      <w:pPr>
        <w:spacing w:after="0" w:line="170" w:lineRule="exact"/>
        <w:rPr>
          <w:sz w:val="20"/>
          <w:szCs w:val="20"/>
          <w:color w:val="auto"/>
        </w:rPr>
      </w:pPr>
    </w:p>
    <w:p>
      <w:pPr>
        <w:ind w:left="660" w:right="140" w:hanging="647"/>
        <w:spacing w:after="0" w:line="287"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CRP is fixed for the first five years of this Agreement, and shall be adjusted (on a compounding basis) on the first day of January in each following year by the relevant factor in each following year that represents official inflation in the United States of America using the All Items Consumer Price Index for All Urban Consumers (CPI-U) for the U.S. City Average published from time to time by the United States Department</w:t>
      </w:r>
    </w:p>
    <w:p>
      <w:pPr>
        <w:spacing w:after="0" w:line="2" w:lineRule="exact"/>
        <w:rPr>
          <w:sz w:val="20"/>
          <w:szCs w:val="20"/>
          <w:color w:val="auto"/>
        </w:rPr>
      </w:pPr>
    </w:p>
    <w:p>
      <w:pPr>
        <w:ind w:left="660" w:right="640"/>
        <w:spacing w:after="0" w:line="209" w:lineRule="auto"/>
        <w:rPr>
          <w:sz w:val="20"/>
          <w:szCs w:val="20"/>
          <w:color w:val="auto"/>
        </w:rPr>
      </w:pPr>
      <w:r>
        <w:rPr>
          <w:rFonts w:ascii="Arial" w:cs="Arial" w:eastAsia="Arial" w:hAnsi="Arial"/>
          <w:sz w:val="18"/>
          <w:szCs w:val="18"/>
          <w:color w:val="auto"/>
        </w:rPr>
        <w:t>of Labour, Bureau of Labour Statistics. For example, if official inflation in the US is 3% in the 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year of this Agreement the CRP will be increased by 3% from US$[***] to US$[***].</w:t>
      </w:r>
    </w:p>
    <w:p>
      <w:pPr>
        <w:spacing w:after="0" w:line="204"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Until such time as TOML reaches the Minimum Recovery Level within the Tenement Area, no CRP or other amounts or payments will be payable by TOML to the State, except for the Administration Fee under Section 18 of this Agreement.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Subject to Sections 9 and 18 of this Agreement:</w:t>
      </w:r>
    </w:p>
    <w:p>
      <w:pPr>
        <w:spacing w:after="0" w:line="225" w:lineRule="exact"/>
        <w:rPr>
          <w:sz w:val="20"/>
          <w:szCs w:val="20"/>
          <w:color w:val="auto"/>
        </w:rPr>
      </w:pPr>
    </w:p>
    <w:p>
      <w:pPr>
        <w:ind w:left="1300" w:right="260" w:hanging="644"/>
        <w:spacing w:after="0" w:line="277" w:lineRule="auto"/>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State hereby agrees that the CRP contemplated under this Section 3 represents the totality of the monetary contributions, payments and Taxes the TOML Group is required to make to the State;</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TOML Group will not be subject to or required to pay any other Taxes for the Term, including without limitation any Tax related to the Exploration, Exploitation, the TOML Rights, the Business and/or Sponsorship.</w:t>
      </w:r>
    </w:p>
    <w:p>
      <w:pPr>
        <w:spacing w:after="0" w:line="170" w:lineRule="exact"/>
        <w:rPr>
          <w:sz w:val="20"/>
          <w:szCs w:val="20"/>
          <w:color w:val="auto"/>
        </w:rPr>
      </w:pPr>
    </w:p>
    <w:p>
      <w:pPr>
        <w:ind w:left="640" w:right="160" w:hanging="620"/>
        <w:spacing w:after="0" w:line="301" w:lineRule="auto"/>
        <w:tabs>
          <w:tab w:leader="none" w:pos="6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The State hereby undertakes and affirms that at no time will the rights (and the full and peaceful enjoyment thereof) granted by it under this Agreement be discriminately derogated from or otherwise prejudiced by any Tongan Law or the action or inaction of the State, or any official thereof, or any other person whose actions or inactions are subject to the control of the Government. To the extent there is inconsistency between any future Tongan Law related to taxation or the financial terms between the State and the TOML Group, then this Agreement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240"/>
          </w:cols>
          <w:pgMar w:left="320" w:top="901" w:right="339" w:bottom="1440" w:gutter="0" w:footer="0" w:header="0"/>
        </w:sectPr>
      </w:pPr>
    </w:p>
    <w:bookmarkStart w:id="293" w:name="page294"/>
    <w:bookmarkEnd w:id="293"/>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640" w:right="100" w:hanging="620"/>
        <w:spacing w:after="0" w:line="286" w:lineRule="auto"/>
        <w:tabs>
          <w:tab w:leader="none" w:pos="6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In accordance with Section 94 of the Act, once the CRP has been received by the Tonga Seabed Minerals Authority, the Tonga Seabed Minerals Authority will pay the funds in to the Seabed Minerals Fund, excepting any funds allocated by the Treasury to be used directly for the purposes of covering the costs of establishing the Tonga Seabed Minerals Authority and performing the functions under the Act.</w:t>
      </w:r>
    </w:p>
    <w:p>
      <w:pPr>
        <w:spacing w:after="0" w:line="161" w:lineRule="exact"/>
        <w:rPr>
          <w:sz w:val="20"/>
          <w:szCs w:val="20"/>
          <w:color w:val="auto"/>
        </w:rPr>
      </w:pPr>
    </w:p>
    <w:p>
      <w:pPr>
        <w:ind w:left="660" w:hanging="652"/>
        <w:spacing w:after="0"/>
        <w:tabs>
          <w:tab w:leader="none" w:pos="6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right="160" w:hanging="647"/>
        <w:spacing w:after="0" w:line="263"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State may, not more than once each calendar year, request in writing an independent audit of the amount of Polymetallic Nodules Recovered in the preceding calendar year (“</w:t>
      </w:r>
      <w:r>
        <w:rPr>
          <w:rFonts w:ascii="Arial" w:cs="Arial" w:eastAsia="Arial" w:hAnsi="Arial"/>
          <w:sz w:val="18"/>
          <w:szCs w:val="18"/>
          <w:b w:val="1"/>
          <w:bCs w:val="1"/>
          <w:color w:val="auto"/>
        </w:rPr>
        <w:t>Production Audit</w:t>
      </w:r>
      <w:r>
        <w:rPr>
          <w:rFonts w:ascii="Arial" w:cs="Arial" w:eastAsia="Arial" w:hAnsi="Arial"/>
          <w:sz w:val="18"/>
          <w:szCs w:val="18"/>
          <w:color w:val="auto"/>
        </w:rPr>
        <w:t>”). If the State requests a Production Audit, TOML and the State shall seek to agree on a suitably qualified and independent auditor to conduct the Production Audit.</w:t>
      </w:r>
    </w:p>
    <w:p>
      <w:pPr>
        <w:spacing w:after="0" w:line="18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TOML will provide the auditor with reasonable access to its records for the purpose of undertaking the Production Audit.</w:t>
      </w:r>
    </w:p>
    <w:p>
      <w:pPr>
        <w:spacing w:after="0" w:line="225" w:lineRule="exact"/>
        <w:rPr>
          <w:sz w:val="20"/>
          <w:szCs w:val="20"/>
          <w:color w:val="auto"/>
        </w:rPr>
      </w:pPr>
    </w:p>
    <w:p>
      <w:pPr>
        <w:ind w:left="640" w:right="140" w:hanging="620"/>
        <w:spacing w:after="0" w:line="277"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Parties will require the auditor to provide a written report to the Parties on the findings of the Production Audit within 30 days of completion of the Production Audit. In the absence of manifest error, the findings of the auditor will be binding on the Parties.</w:t>
      </w:r>
    </w:p>
    <w:p>
      <w:pPr>
        <w:spacing w:after="0" w:line="170" w:lineRule="exact"/>
        <w:rPr>
          <w:sz w:val="20"/>
          <w:szCs w:val="20"/>
          <w:color w:val="auto"/>
        </w:rPr>
      </w:pPr>
    </w:p>
    <w:p>
      <w:pPr>
        <w:ind w:left="660" w:right="120" w:hanging="647"/>
        <w:spacing w:after="0" w:line="257"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If the auditor determines that a materially larger or smaller (i.e. more than 5%) amount of Polymetallic Nodules were Recovered from the Tenement Area in the preceding year than reflected in the CRP calculated by TOML for the year pursuant to clause 3, then within 30 days of receipt of the auditor’s report, TOML must recalculate in accordance with the accurate and revised figures determined by the auditor for that year the CRP under clause 3, and pay to (or deduct from future payments to) the State the difference between the CRP already paid and the CRP due under clause 3 on the basis of the revised figures.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The cost of an audit under this clause will be borne equally between the State and TOML.</w:t>
      </w:r>
    </w:p>
    <w:p>
      <w:pPr>
        <w:spacing w:after="0" w:line="221"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 to Comply with ISA Contract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TOML shall ensure that the Activities carried out in the International Seabed Area will be in compliance with:</w:t>
      </w:r>
    </w:p>
    <w:p>
      <w:pPr>
        <w:spacing w:after="0" w:line="225" w:lineRule="exact"/>
        <w:rPr>
          <w:sz w:val="20"/>
          <w:szCs w:val="20"/>
          <w:color w:val="auto"/>
        </w:rPr>
      </w:pPr>
    </w:p>
    <w:p>
      <w:pPr>
        <w:ind w:left="1300" w:right="860" w:hanging="644"/>
        <w:spacing w:after="0" w:line="342" w:lineRule="auto"/>
        <w:tabs>
          <w:tab w:leader="none" w:pos="13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terms and conditions of the applicable ISA Contract that is in existence at the time and that pertains to the Activities in the International Seabed Area, including the environmental terms and conditions contained in the applicable ISA Contract; and</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TOML’s ISA Obligations that pertain to the Activities in the International Seabed Area.</w:t>
      </w:r>
    </w:p>
    <w:p>
      <w:pPr>
        <w:spacing w:after="0" w:line="225"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TOML and its Subcontractors will not commit any actions, or make any omissions that would cause the State to materially breach its Sponsorship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6</w:t>
      </w:r>
    </w:p>
    <w:p>
      <w:pPr>
        <w:sectPr>
          <w:pgSz w:w="11900" w:h="16838" w:orient="portrait"/>
          <w:cols w:equalWidth="0" w:num="1">
            <w:col w:w="11240"/>
          </w:cols>
          <w:pgMar w:left="320" w:top="901" w:right="339" w:bottom="1440" w:gutter="0" w:footer="0" w:header="0"/>
        </w:sectPr>
      </w:pPr>
    </w:p>
    <w:bookmarkStart w:id="294" w:name="page295"/>
    <w:bookmarkEnd w:id="294"/>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State will not commit any actions or make any omissions that would cause TOML to breach its obligations under clause 5.1.</w:t>
      </w:r>
    </w:p>
    <w:p>
      <w:pPr>
        <w:spacing w:after="0" w:line="221" w:lineRule="exact"/>
        <w:rPr>
          <w:sz w:val="20"/>
          <w:szCs w:val="20"/>
          <w:color w:val="auto"/>
        </w:rPr>
      </w:pPr>
    </w:p>
    <w:p>
      <w:pPr>
        <w:ind w:left="660" w:hanging="652"/>
        <w:spacing w:after="0"/>
        <w:tabs>
          <w:tab w:leader="none" w:pos="6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Subcontractors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Subject to the provisions of this clause, the State acknowledges and agrees that TOML may delegate to and/or contract with Subcontractors to undertake all or part of the Exploration and Exploitation.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Notwithstanding any delegation or contract to a Subcontractor, TOML:</w:t>
      </w:r>
    </w:p>
    <w:p>
      <w:pPr>
        <w:spacing w:after="0" w:line="252" w:lineRule="exact"/>
        <w:rPr>
          <w:sz w:val="20"/>
          <w:szCs w:val="20"/>
          <w:color w:val="auto"/>
        </w:rPr>
      </w:pPr>
    </w:p>
    <w:p>
      <w:pPr>
        <w:ind w:left="1300" w:right="100" w:hanging="644"/>
        <w:spacing w:after="0" w:line="342" w:lineRule="auto"/>
        <w:tabs>
          <w:tab w:leader="none" w:pos="13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remains bound by its obligations under this Agreement and the Act to carry out the Activities in accordance with TOML’s ISA Obligations, and will take reasonable and appropriate measures to ensure that the Subcontractors comply with TOML’s ISA Obligations;</w:t>
      </w:r>
    </w:p>
    <w:p>
      <w:pPr>
        <w:spacing w:after="0" w:line="123" w:lineRule="exact"/>
        <w:rPr>
          <w:rFonts w:ascii="Arial" w:cs="Arial" w:eastAsia="Arial" w:hAnsi="Arial"/>
          <w:sz w:val="16"/>
          <w:szCs w:val="16"/>
          <w:color w:val="auto"/>
        </w:rPr>
      </w:pPr>
    </w:p>
    <w:p>
      <w:pPr>
        <w:ind w:left="1300" w:right="260" w:hanging="644"/>
        <w:spacing w:after="0" w:line="277" w:lineRule="auto"/>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agrees that the Exploration and Exploitation shall be carried out in accordance with TOML’s ISA Obligations and the Act, whether the Exploration or Exploitation is being carried out by TOML or a Subcontractor; and</w:t>
      </w:r>
    </w:p>
    <w:p>
      <w:pPr>
        <w:spacing w:after="0" w:line="170" w:lineRule="exact"/>
        <w:rPr>
          <w:rFonts w:ascii="Arial" w:cs="Arial" w:eastAsia="Arial" w:hAnsi="Arial"/>
          <w:sz w:val="18"/>
          <w:szCs w:val="18"/>
          <w:color w:val="auto"/>
        </w:rPr>
      </w:pPr>
    </w:p>
    <w:p>
      <w:pPr>
        <w:ind w:left="1300" w:right="180" w:hanging="644"/>
        <w:spacing w:after="0" w:line="263" w:lineRule="auto"/>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is responsible to the State for any monetary damage the State suffers under UNCLOS for a breach of its Sponsorship Obligations resulting from the acts, negligence, omissions or defaults of any Subcontractor in carrying out the Activities in the International Seabed Area, as if they were the acts, negligence, omissions or defaults of TOML.</w:t>
      </w:r>
    </w:p>
    <w:p>
      <w:pPr>
        <w:spacing w:after="0" w:line="184" w:lineRule="exact"/>
        <w:rPr>
          <w:sz w:val="20"/>
          <w:szCs w:val="20"/>
          <w:color w:val="auto"/>
        </w:rPr>
      </w:pPr>
    </w:p>
    <w:p>
      <w:pPr>
        <w:ind w:left="660" w:right="280" w:hanging="647"/>
        <w:spacing w:after="0" w:line="277"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TOML shall take reasonable and appropriate measures to ensure that the Activities carried out in the International Seabed Area are executed by and under the supervision of appropriately qualified, experienced and skilled personnel.</w:t>
      </w:r>
    </w:p>
    <w:p>
      <w:pPr>
        <w:spacing w:after="0" w:line="166" w:lineRule="exact"/>
        <w:rPr>
          <w:sz w:val="20"/>
          <w:szCs w:val="20"/>
          <w:color w:val="auto"/>
        </w:rPr>
      </w:pPr>
    </w:p>
    <w:p>
      <w:pPr>
        <w:ind w:left="660" w:hanging="652"/>
        <w:spacing w:after="0"/>
        <w:tabs>
          <w:tab w:leader="none" w:pos="6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Training and Capacity Building</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TOML will implement training and capacity building initiatives for Tongan nationals.</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right="40" w:hanging="647"/>
        <w:spacing w:after="0" w:line="296"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Except to the extent that an award of damages is available as a consequence of a breach of this Agreement and subject to clause 8.3, TOML indemnifies and will keep indemnified the State from and against all costs, expenses, losses, charges, demands, actions, damages and Claims or other monetary liabilities under UNCLOS that the State suffers, incurs, sustains or becomes liable for under UNCLOS to the extent to which the costs, expenses, losses, charges, demands, actions, damages and Claims or other monetary liabilities arise as a consequence of the Activities in the International Seabed Area being carried out wrongfully and directly causing the State to breach its Sponsorship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7</w:t>
      </w:r>
    </w:p>
    <w:p>
      <w:pPr>
        <w:sectPr>
          <w:pgSz w:w="11900" w:h="16838" w:orient="portrait"/>
          <w:cols w:equalWidth="0" w:num="1">
            <w:col w:w="11240"/>
          </w:cols>
          <w:pgMar w:left="320" w:top="901" w:right="339" w:bottom="1440" w:gutter="0" w:footer="0" w:header="0"/>
        </w:sectPr>
      </w:pPr>
    </w:p>
    <w:bookmarkStart w:id="295" w:name="page296"/>
    <w:bookmarkEnd w:id="295"/>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Upon</w:t>
      </w:r>
    </w:p>
    <w:p>
      <w:pPr>
        <w:spacing w:after="0" w:line="225" w:lineRule="exact"/>
        <w:rPr>
          <w:sz w:val="20"/>
          <w:szCs w:val="20"/>
          <w:color w:val="auto"/>
        </w:rPr>
      </w:pPr>
    </w:p>
    <w:p>
      <w:pPr>
        <w:ind w:left="130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State becoming aware: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of any actual or potential Claim against it under UNCLOS; and/or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that it has or may incur a cost, expense, loss, liability or any damage, for which TOML has indemnified the State under clause</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8.1, or:</w:t>
      </w:r>
    </w:p>
    <w:p>
      <w:pPr>
        <w:spacing w:after="0" w:line="210" w:lineRule="exact"/>
        <w:rPr>
          <w:rFonts w:ascii="Arial" w:cs="Arial" w:eastAsia="Arial" w:hAnsi="Arial"/>
          <w:sz w:val="16"/>
          <w:szCs w:val="16"/>
          <w:color w:val="auto"/>
        </w:rPr>
      </w:pPr>
    </w:p>
    <w:p>
      <w:pPr>
        <w:ind w:left="130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the State can make:-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 Claim against TOML under the clause 8.1 indemnification; and</w:t>
      </w:r>
    </w:p>
    <w:p>
      <w:pPr>
        <w:spacing w:after="0" w:line="225" w:lineRule="exact"/>
        <w:rPr>
          <w:rFonts w:ascii="Arial" w:cs="Arial" w:eastAsia="Arial" w:hAnsi="Arial"/>
          <w:sz w:val="18"/>
          <w:szCs w:val="18"/>
          <w:color w:val="auto"/>
        </w:rPr>
      </w:pPr>
    </w:p>
    <w:p>
      <w:pPr>
        <w:ind w:left="2040" w:right="20" w:hanging="736"/>
        <w:spacing w:after="0" w:line="277" w:lineRule="auto"/>
        <w:tabs>
          <w:tab w:leader="none" w:pos="20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Claim relates to a Claim or liability under UNCLOS against the State made from or owed to a third party, including without limitation, a Claim made against the State by the ISA or another country, the State must:</w:t>
      </w:r>
    </w:p>
    <w:p>
      <w:pPr>
        <w:spacing w:after="0" w:line="170" w:lineRule="exact"/>
        <w:rPr>
          <w:sz w:val="20"/>
          <w:szCs w:val="20"/>
          <w:color w:val="auto"/>
        </w:rPr>
      </w:pPr>
    </w:p>
    <w:p>
      <w:pPr>
        <w:ind w:left="1960" w:right="220" w:hanging="656"/>
        <w:spacing w:after="0" w:line="277" w:lineRule="auto"/>
        <w:tabs>
          <w:tab w:leader="none" w:pos="19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Notify TOML in writing of the alleged Claim or liability as soon as is reasonably practicable after the State becomes aware of such Claim or liability; and</w:t>
      </w:r>
    </w:p>
    <w:p>
      <w:pPr>
        <w:spacing w:after="0" w:line="170" w:lineRule="exact"/>
        <w:rPr>
          <w:rFonts w:ascii="Arial" w:cs="Arial" w:eastAsia="Arial" w:hAnsi="Arial"/>
          <w:sz w:val="18"/>
          <w:szCs w:val="18"/>
          <w:color w:val="auto"/>
        </w:rPr>
      </w:pPr>
    </w:p>
    <w:p>
      <w:pPr>
        <w:ind w:left="1960" w:right="120" w:hanging="656"/>
        <w:spacing w:after="0" w:line="277" w:lineRule="auto"/>
        <w:tabs>
          <w:tab w:leader="none" w:pos="19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give TOML (and any of TOML’s nominees) at the time of Notification the option to at TOML’s expense conduct the defence of the Claim or liability and make any appeals.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State must not pay out any amounts claimed against the State under the Claim or liability until:</w:t>
      </w:r>
    </w:p>
    <w:p>
      <w:pPr>
        <w:spacing w:after="0" w:line="225" w:lineRule="exact"/>
        <w:rPr>
          <w:sz w:val="20"/>
          <w:szCs w:val="20"/>
          <w:color w:val="auto"/>
        </w:rPr>
      </w:pPr>
    </w:p>
    <w:p>
      <w:pPr>
        <w:ind w:left="1960" w:hanging="656"/>
        <w:spacing w:after="0"/>
        <w:tabs>
          <w:tab w:leader="none" w:pos="19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TOML has been Notified in accordance with clause 8.2 and has advised that it will not defend the Claim or liability; and</w:t>
      </w:r>
    </w:p>
    <w:p>
      <w:pPr>
        <w:spacing w:after="0" w:line="236" w:lineRule="exact"/>
        <w:rPr>
          <w:rFonts w:ascii="Arial" w:cs="Arial" w:eastAsia="Arial" w:hAnsi="Arial"/>
          <w:sz w:val="17"/>
          <w:szCs w:val="17"/>
          <w:color w:val="auto"/>
        </w:rPr>
      </w:pPr>
    </w:p>
    <w:p>
      <w:pPr>
        <w:ind w:left="1960" w:right="140" w:hanging="656"/>
        <w:spacing w:after="0" w:line="263" w:lineRule="auto"/>
        <w:tabs>
          <w:tab w:leader="none" w:pos="1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event that TOML or any of its nominees has elected to defend the Claim or liability; not pay out any amounts claimed against the State under the Claim or liability until TOML has provided written approval, which it will do acting reasonably and in any case upon a Final Determination.</w:t>
      </w:r>
    </w:p>
    <w:p>
      <w:pPr>
        <w:spacing w:after="0" w:line="184" w:lineRule="exact"/>
        <w:rPr>
          <w:sz w:val="20"/>
          <w:szCs w:val="20"/>
          <w:color w:val="auto"/>
        </w:rPr>
      </w:pPr>
    </w:p>
    <w:p>
      <w:pPr>
        <w:ind w:left="660" w:right="100" w:hanging="647"/>
        <w:spacing w:after="0" w:line="259" w:lineRule="auto"/>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State must act in good faith to avoid prejudicing or adversely affecting any defence of the Claim that TOML may pursue and provide TOML (at TOML’s expense) with any assistance requested by TOML in conducting the defence of such Claim or liability as may be requested in writing by TOML from time to time (and in the case that such assistance is provided by the State’s legal team, such engagement will be on commercial terms with fees and disbursements to be agreed prior to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8</w:t>
      </w:r>
    </w:p>
    <w:p>
      <w:pPr>
        <w:sectPr>
          <w:pgSz w:w="11900" w:h="16838" w:orient="portrait"/>
          <w:cols w:equalWidth="0" w:num="1">
            <w:col w:w="11240"/>
          </w:cols>
          <w:pgMar w:left="320" w:top="901" w:right="339" w:bottom="1440" w:gutter="0" w:footer="0" w:header="0"/>
        </w:sectPr>
      </w:pPr>
    </w:p>
    <w:bookmarkStart w:id="296" w:name="page297"/>
    <w:bookmarkEnd w:id="296"/>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660" w:right="80" w:hanging="647"/>
        <w:spacing w:after="0" w:line="259" w:lineRule="auto"/>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Notwithstanding anything contained in this clause 8, TOML will only be liable for direct damages, and shall not be liable for any indirect or consequential damages, and shall not be liable for, and the indemnity in clause 8.1 will be proportionately reduced to the extent that, any costs, expenses, losses, charges, demands, actions, damages or Claims or any other liabilities that the State suffers, incurs, sustains or becomes liable for or may suffer, incur, sustain or become liable for, to the extent that they arise from:</w:t>
      </w:r>
    </w:p>
    <w:p>
      <w:pPr>
        <w:spacing w:after="0" w:line="187" w:lineRule="exact"/>
        <w:rPr>
          <w:sz w:val="20"/>
          <w:szCs w:val="20"/>
          <w:color w:val="auto"/>
        </w:rPr>
      </w:pPr>
    </w:p>
    <w:p>
      <w:pPr>
        <w:ind w:left="1300" w:hanging="64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negligent or reckless act of the State or at the State’s direction or on its behalf;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situation where the State fails to act in good faith or acts in a way that discriminates against TOML;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Material State Breach.</w:t>
      </w:r>
    </w:p>
    <w:p>
      <w:pPr>
        <w:spacing w:after="0" w:line="225"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This clause 8 survives termination or expiry of this Agreement until the date that the State no longer has any responsibilities or potential liabilities under UNCLOS that may arise as a consequence of the Activities being carried out wrongfully.</w:t>
      </w:r>
    </w:p>
    <w:p>
      <w:pPr>
        <w:spacing w:after="0" w:line="166"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Taxes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right="420" w:hanging="647"/>
        <w:spacing w:after="0" w:line="277"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Notwithstanding anything contained in this Agreement, TOML agrees that it will be subject to the following payments and conditions, where applicable:</w:t>
      </w:r>
    </w:p>
    <w:p>
      <w:pPr>
        <w:spacing w:after="0" w:line="170" w:lineRule="exact"/>
        <w:rPr>
          <w:sz w:val="20"/>
          <w:szCs w:val="20"/>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Payments that are classified as a Penalty;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Administration Fee;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ISA Application Costs;</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taxes imposed on representatives of TOML which are built into the cost of goods and services, such as departure tax, consumption tax and bed tax;</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taxes imposed on TOML employees in accordance with the relevant employment laws in Tonga;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taxes levied on property such as vehicles, office space and real estate;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Visa fees for TOML representatives,</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provided that such payments and conditions are applied on a fair and reasonable basis and are imposed on a non-discriminatory basis to all Tongan entities and nationals.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60" w:hanging="652"/>
        <w:spacing w:after="0"/>
        <w:tabs>
          <w:tab w:leader="none" w:pos="6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Tongan Laws, Expropriation and Corporate Existence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The State agrees and warrants that:</w:t>
      </w:r>
    </w:p>
    <w:p>
      <w:pPr>
        <w:spacing w:after="0" w:line="225" w:lineRule="exact"/>
        <w:rPr>
          <w:sz w:val="20"/>
          <w:szCs w:val="20"/>
          <w:color w:val="auto"/>
        </w:rPr>
      </w:pPr>
    </w:p>
    <w:p>
      <w:pPr>
        <w:ind w:left="1300" w:right="280" w:hanging="644"/>
        <w:spacing w:after="0" w:line="259" w:lineRule="auto"/>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Tongan Laws and regulations brought into effect after the Commencement Date will not interfere with or diminish TOML’s rights with respect to any Tenements, the Business or the rights arising under this Agreement and must not be a Discriminatory Change in Tongan Law, except to the extent the State has an obligation at International Law to enact such laws in order to fulfil the State’s Sponsorship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9</w:t>
      </w:r>
    </w:p>
    <w:p>
      <w:pPr>
        <w:sectPr>
          <w:pgSz w:w="11900" w:h="16838" w:orient="portrait"/>
          <w:cols w:equalWidth="0" w:num="1">
            <w:col w:w="11240"/>
          </w:cols>
          <w:pgMar w:left="320" w:top="901" w:right="339" w:bottom="1440" w:gutter="0" w:footer="0" w:header="0"/>
        </w:sectPr>
      </w:pPr>
    </w:p>
    <w:bookmarkStart w:id="297" w:name="page298"/>
    <w:bookmarkEnd w:id="297"/>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300" w:right="280" w:hanging="644"/>
        <w:spacing w:after="0" w:line="286" w:lineRule="auto"/>
        <w:tabs>
          <w:tab w:leader="none" w:pos="13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to the extent that TOML or the TOML Group’s rights and obligations under this Agreement conflict with their rights and obligations under any discriminatory Tongan Law, this Agreement will take precedence, and TOML and the TOML Group will be relieved of any obligations under Tongan Law to the extent that their rights and obligations conflict with Tongan Law;</w:t>
      </w:r>
    </w:p>
    <w:p>
      <w:pPr>
        <w:spacing w:after="0" w:line="165" w:lineRule="exact"/>
        <w:rPr>
          <w:rFonts w:ascii="Arial" w:cs="Arial" w:eastAsia="Arial" w:hAnsi="Arial"/>
          <w:sz w:val="17"/>
          <w:szCs w:val="17"/>
          <w:color w:val="auto"/>
        </w:rPr>
      </w:pPr>
    </w:p>
    <w:p>
      <w:pPr>
        <w:ind w:left="1300" w:right="400" w:hanging="644"/>
        <w:spacing w:after="0" w:line="286" w:lineRule="auto"/>
        <w:tabs>
          <w:tab w:leader="none" w:pos="13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State will take such actions necessary to give effect to the exemptions from applicable law and tax law expressly provided in this Agreement. For clarity, TOML will not be subject to any taxation with respect to TOML’s activities that occur outside of the State, including the Exploration and Exploitation and the sale of minerals and/or ore recovered from the Tenement Area.</w:t>
      </w:r>
    </w:p>
    <w:p>
      <w:pPr>
        <w:spacing w:after="0" w:line="165" w:lineRule="exact"/>
        <w:rPr>
          <w:sz w:val="20"/>
          <w:szCs w:val="20"/>
          <w:color w:val="auto"/>
        </w:rPr>
      </w:pPr>
    </w:p>
    <w:p>
      <w:pPr>
        <w:ind w:left="660" w:right="500" w:hanging="647"/>
        <w:spacing w:after="0" w:line="277"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Prior to bringing in any laws or regulations that are required by International Law to fulfil the State’s Sponsorship Obligations the State will provide TOML with reasonable and meaningful consultation.</w:t>
      </w:r>
    </w:p>
    <w:p>
      <w:pPr>
        <w:spacing w:after="0" w:line="170" w:lineRule="exact"/>
        <w:rPr>
          <w:sz w:val="20"/>
          <w:szCs w:val="20"/>
          <w:color w:val="auto"/>
        </w:rPr>
      </w:pPr>
    </w:p>
    <w:p>
      <w:pPr>
        <w:ind w:left="660" w:right="180" w:hanging="647"/>
        <w:spacing w:after="0" w:line="255"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State must also notify TOML from time to time as to any applicable Tongan Law that may be brought in to effect to fulfil the State’s Sponsorship Obligations and shall provide TOML sufficient time to ensure that it is able to comply with those laws or otherwise seek dispute resolution between the Parties with regards to the application of such Tongan Law. In the event any such change comes into force and materially impacts on the financial obligations of TOML, then the parties agree to negotiate in good faith appropriate amendments to the payments contemplated to the State under this Agreement in order to maintain the same level of financial burden on TOML as of the date of execution of this Agreement.</w:t>
      </w:r>
    </w:p>
    <w:p>
      <w:pPr>
        <w:spacing w:after="0" w:line="192" w:lineRule="exact"/>
        <w:rPr>
          <w:sz w:val="20"/>
          <w:szCs w:val="20"/>
          <w:color w:val="auto"/>
        </w:rPr>
      </w:pPr>
    </w:p>
    <w:p>
      <w:pPr>
        <w:ind w:left="660" w:right="200" w:hanging="647"/>
        <w:spacing w:after="0" w:line="255"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State shall not impose, nor shall it permit or authorise any of its agencies or instrumentalities or any local or other authority of the State to impose any Taxes, impositions, rates or charges of any nature whatsoever on or in respect of the titles, property, or other assets, products, materials, or services used or produced by or through the Activities or by any or all of the TOML Group otherwise in the conduct of its business pursuant to the TOML Rights nor will the State take or permit to be taken by any such State authority any other discriminatory action which would deprive the TOML Group of full enjoyment of the rights granted and intended to be granted by the TOML Rights or otherwise under this Agreement.</w:t>
      </w:r>
    </w:p>
    <w:p>
      <w:pPr>
        <w:spacing w:after="0" w:line="192"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In enacting and implementing Tongan Laws and regulations the State shall at all times accord TOML fair and equitable treatment, and will provide a stable and predictable legal framework and make decisions consistently and transparently and in accordance with the legitimate expectations of TOML and the TOML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10</w:t>
      </w:r>
    </w:p>
    <w:p>
      <w:pPr>
        <w:sectPr>
          <w:pgSz w:w="11900" w:h="16838" w:orient="portrait"/>
          <w:cols w:equalWidth="0" w:num="1">
            <w:col w:w="11240"/>
          </w:cols>
          <w:pgMar w:left="320" w:top="901" w:right="339" w:bottom="1440" w:gutter="0" w:footer="0" w:header="0"/>
        </w:sectPr>
      </w:pPr>
    </w:p>
    <w:bookmarkStart w:id="298" w:name="page299"/>
    <w:bookmarkEnd w:id="298"/>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660" w:right="20" w:hanging="647"/>
        <w:spacing w:after="0" w:line="254" w:lineRule="auto"/>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In the event there occurs any change in Tongan Laws (including without limitation provisions relating to imposts, duties, fees, charges, penalties, and Tax related legislation) after the date of this Agreement, and if upon TOML’s representation it appears that on a reasonable interpretation and application of the law it would have the effect of divesting, decreasing, or in any way limiting, reducing or withholding any rights or benefits accruing to TOML or the TOML Group under this Agreement or under current legislation, then the Parties shall, in good faith, negotiate to modify this Agreement so as to restore the economic rights and benefits of the TOML Group to a level equivalent to or as close as possible to what they would have been if such change had not occurred. If the economic rights and benefits of the TOML Group are not restored then TOML may at its election terminate this agreement.</w:t>
      </w:r>
    </w:p>
    <w:p>
      <w:pPr>
        <w:spacing w:after="0" w:line="195" w:lineRule="exact"/>
        <w:rPr>
          <w:sz w:val="20"/>
          <w:szCs w:val="20"/>
          <w:color w:val="auto"/>
        </w:rPr>
      </w:pPr>
    </w:p>
    <w:p>
      <w:pPr>
        <w:ind w:left="660" w:right="160" w:hanging="647"/>
        <w:spacing w:after="0" w:line="259" w:lineRule="auto"/>
        <w:tabs>
          <w:tab w:leader="none" w:pos="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The State will permit all bona fide monetary conversions and transfers related to the TOML Rights or the Business (including currency conversions, transfers to, by or on behalf of TOML, or any member of the TOML Group) to be made freely and without delay into and out of the Kingdom of Tonga provided the procedural laws applicable to the transfer of funds out of jurisdiction applicable to all persons are be complied with.</w:t>
      </w:r>
    </w:p>
    <w:p>
      <w:pPr>
        <w:spacing w:after="0" w:line="187" w:lineRule="exact"/>
        <w:rPr>
          <w:sz w:val="20"/>
          <w:szCs w:val="20"/>
          <w:color w:val="auto"/>
        </w:rPr>
      </w:pPr>
    </w:p>
    <w:p>
      <w:pPr>
        <w:jc w:val="both"/>
        <w:ind w:left="660" w:right="60" w:hanging="647"/>
        <w:spacing w:after="0" w:line="311" w:lineRule="auto"/>
        <w:tabs>
          <w:tab w:leader="none" w:pos="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The State acting in good faith shall not do or cause to be done or permit any act, thing or omission whether legislative, executive or administrative which discriminates adversely and unfairly against TOML, any member of the TOML Group, the TOML Rights or the Business if it results, upon its application, in a deprivation of the full enjoyment of the rights granted or intended to be granted under this Agreement.</w:t>
      </w:r>
    </w:p>
    <w:p>
      <w:pPr>
        <w:spacing w:after="0" w:line="149" w:lineRule="exact"/>
        <w:rPr>
          <w:sz w:val="20"/>
          <w:szCs w:val="20"/>
          <w:color w:val="auto"/>
        </w:rPr>
      </w:pPr>
    </w:p>
    <w:p>
      <w:pPr>
        <w:ind w:left="660" w:right="80" w:hanging="647"/>
        <w:spacing w:after="0" w:line="263" w:lineRule="auto"/>
        <w:tabs>
          <w:tab w:leader="none" w:pos="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The State warrants and defends TOML’s title to possession and peaceful enjoyment of the TOML Rights and all property of TOML and any member of the TOML Group against Expropriation, confiscation, condemnation, and wrongful possession and, to the extent possible, destruction, disruption or interference by the State or any other person controlled by or acting on behalf of the State.</w:t>
      </w:r>
    </w:p>
    <w:p>
      <w:pPr>
        <w:spacing w:after="0" w:line="184" w:lineRule="exact"/>
        <w:rPr>
          <w:sz w:val="20"/>
          <w:szCs w:val="20"/>
          <w:color w:val="auto"/>
        </w:rPr>
      </w:pPr>
    </w:p>
    <w:p>
      <w:pPr>
        <w:ind w:left="660" w:right="20" w:hanging="647"/>
        <w:spacing w:after="0" w:line="254" w:lineRule="auto"/>
        <w:tabs>
          <w:tab w:leader="none" w:pos="640" w:val="left"/>
        </w:tabs>
        <w:rPr>
          <w:sz w:val="20"/>
          <w:szCs w:val="20"/>
          <w:color w:val="auto"/>
        </w:rPr>
      </w:pPr>
      <w:r>
        <w:rPr>
          <w:rFonts w:ascii="Arial" w:cs="Arial" w:eastAsia="Arial" w:hAnsi="Arial"/>
          <w:sz w:val="18"/>
          <w:szCs w:val="18"/>
          <w:color w:val="auto"/>
        </w:rPr>
        <w:t>10.10</w:t>
        <w:tab/>
        <w:t>The State acknowledges that the Exploration, Exploitation and commercialisation of the TOML Rights will require a significant level of expenditure and commercial risk by the TOML Group. The State assures, agrees with and warrants to TOML that the State has no intention as at the date of this Agreement to, and that the State will not (and will not attempt, take any action to, or institute any measures to), directly or indirectly, nationalise or Expropriate TOML, any member of the TOML Group and/or their property (including the TOML Rights, the Business and any other rights or assets of the TOML Group). The State further agrees that it will not, directly or indirectly, subject the TOML Group to a measure or measures having the same nature or effect equivalent to nationalization or Expropriation (or attempt, take any action to, or institute any such measure or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066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11</w:t>
      </w:r>
    </w:p>
    <w:p>
      <w:pPr>
        <w:sectPr>
          <w:pgSz w:w="11900" w:h="16838" w:orient="portrait"/>
          <w:cols w:equalWidth="0" w:num="1">
            <w:col w:w="11240"/>
          </w:cols>
          <w:pgMar w:left="320" w:top="901" w:right="339" w:bottom="1440" w:gutter="0" w:footer="0" w:header="0"/>
        </w:sectPr>
      </w:pPr>
    </w:p>
    <w:bookmarkStart w:id="299" w:name="page300"/>
    <w:bookmarkEnd w:id="299"/>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640" w:right="360" w:hanging="620"/>
        <w:spacing w:after="0" w:line="342" w:lineRule="auto"/>
        <w:tabs>
          <w:tab w:leader="none" w:pos="6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In the event of any inconsistency between the provisions contained within this Agreement, the Parties agree that an interpretation of this Agreement will be preferred which gives TOML and the TOML Group the benefit of this Agreement without nationalisation or expropriation.</w:t>
      </w:r>
    </w:p>
    <w:p>
      <w:pPr>
        <w:spacing w:after="0" w:line="124" w:lineRule="exact"/>
        <w:rPr>
          <w:sz w:val="20"/>
          <w:szCs w:val="20"/>
          <w:color w:val="auto"/>
        </w:rPr>
      </w:pPr>
    </w:p>
    <w:p>
      <w:pPr>
        <w:ind w:left="660" w:right="40" w:hanging="647"/>
        <w:spacing w:after="0" w:line="291" w:lineRule="auto"/>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Provided TOML is in material compliance with this Agreement and the Companies Act, the State will take all necessary actions for the Term to ensure that the corporate existence of TOML as a body corporate duly organized and validly existing and in good standing under the laws of the State is maintained, including ensuring that all such authorisations, approvals, consents and licences are issued as may be required to enable TOML to maintain its good standing, including ensuring that certificates evidencing annual renewal of registration of incorporation are issued in a timely manner in accordance with the Companies Act. Unless TOML is in material breach of this Agreement and/or the Companies Act, the State shall ensure that no action is taken (either by the government or by any government entity or instrumentality) to interfere with the continued corporate existence and registration of TOML and such other members of the TOML Group incorporated in the State.</w:t>
      </w:r>
    </w:p>
    <w:p>
      <w:pPr>
        <w:spacing w:after="0" w:line="166"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auto"/>
        </w:rPr>
        <w:t>10.13</w:t>
        <w:tab/>
        <w:t>The State guarantees the conversion and transfer overseas of TOML earnings and savings or earnings of expatriate personnel, their affiliates and subcontractors, resulting from the Activities.</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10.14</w:t>
        <w:tab/>
        <w:t>With respect to earnings of TOML servants or agents, and expatriate personnel, whilst the State will not place unnecessary restriction of transfer of funds legitimately earned by TOML servants or agents, and expatriate personnel, such transfers will comply with the procedural laws applicable to transfer of funds out of jurisdiction applicable to all persons.</w:t>
      </w:r>
    </w:p>
    <w:p>
      <w:pPr>
        <w:spacing w:after="0" w:line="180" w:lineRule="exact"/>
        <w:rPr>
          <w:sz w:val="20"/>
          <w:szCs w:val="20"/>
          <w:color w:val="auto"/>
        </w:rPr>
      </w:pPr>
    </w:p>
    <w:p>
      <w:pPr>
        <w:ind w:left="660" w:hanging="652"/>
        <w:spacing w:after="0"/>
        <w:tabs>
          <w:tab w:leader="none" w:pos="6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of TOML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40" w:right="760" w:hanging="620"/>
        <w:spacing w:after="0" w:line="277"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The State agrees that any or all members of the TOML Group may Assign the TOML Rights or any part thereof at any time, at their sole discretion, without reason and without prior consultation, upon providing notification to the State.</w:t>
      </w:r>
    </w:p>
    <w:p>
      <w:pPr>
        <w:spacing w:after="0" w:line="170" w:lineRule="exact"/>
        <w:rPr>
          <w:sz w:val="20"/>
          <w:szCs w:val="20"/>
          <w:color w:val="auto"/>
        </w:rPr>
      </w:pPr>
    </w:p>
    <w:p>
      <w:pPr>
        <w:jc w:val="both"/>
        <w:ind w:left="640" w:right="140" w:hanging="620"/>
        <w:spacing w:after="0" w:line="263" w:lineRule="auto"/>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In the event that a member of the TOML Group notifies the State that an Assignment is to be made or is proposed to be made the State shall sign all documents, do all things and take all measures reasonably requested by the TOML Group to facilitate that Assignment, and will not act in any way to prevent or delay the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12</w:t>
      </w:r>
    </w:p>
    <w:p>
      <w:pPr>
        <w:sectPr>
          <w:pgSz w:w="11900" w:h="16838" w:orient="portrait"/>
          <w:cols w:equalWidth="0" w:num="1">
            <w:col w:w="11240"/>
          </w:cols>
          <w:pgMar w:left="320" w:top="901" w:right="339" w:bottom="1440" w:gutter="0" w:footer="0" w:header="0"/>
        </w:sectPr>
      </w:pPr>
    </w:p>
    <w:bookmarkStart w:id="300" w:name="page301"/>
    <w:bookmarkEnd w:id="300"/>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Upon the later of:</w:t>
      </w:r>
    </w:p>
    <w:p>
      <w:pPr>
        <w:spacing w:after="0" w:line="225" w:lineRule="exact"/>
        <w:rPr>
          <w:sz w:val="20"/>
          <w:szCs w:val="20"/>
          <w:color w:val="auto"/>
        </w:rPr>
      </w:pPr>
    </w:p>
    <w:p>
      <w:pPr>
        <w:ind w:left="1300" w:hanging="64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 Assignment being completed in favour of an assignee; or</w:t>
      </w:r>
    </w:p>
    <w:p>
      <w:pPr>
        <w:spacing w:after="0" w:line="225" w:lineRule="exact"/>
        <w:rPr>
          <w:rFonts w:ascii="Arial" w:cs="Arial" w:eastAsia="Arial" w:hAnsi="Arial"/>
          <w:sz w:val="18"/>
          <w:szCs w:val="18"/>
          <w:color w:val="auto"/>
        </w:rPr>
      </w:pPr>
    </w:p>
    <w:p>
      <w:pPr>
        <w:ind w:left="1300" w:right="80" w:hanging="644"/>
        <w:spacing w:after="0" w:line="263" w:lineRule="auto"/>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Sponsorship Certificate being signed by a new country pursuant to the ISA Regulations under which that country sponsors the assignee under the Assignment (or the assignees nominee) as the new holder of the TOML Rights, this Agreement will terminate effective immediately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TOML will no longer have any obligations to pay an Administration Fee or CRP to the State except: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cover the calendar year’s Administration Fee during which the Agreement is terminated; and</w:t>
      </w:r>
    </w:p>
    <w:p>
      <w:pPr>
        <w:spacing w:after="0" w:line="225" w:lineRule="exact"/>
        <w:rPr>
          <w:rFonts w:ascii="Arial" w:cs="Arial" w:eastAsia="Arial" w:hAnsi="Arial"/>
          <w:sz w:val="18"/>
          <w:szCs w:val="18"/>
          <w:color w:val="auto"/>
        </w:rPr>
      </w:pPr>
    </w:p>
    <w:p>
      <w:pPr>
        <w:ind w:left="1960" w:right="300" w:hanging="656"/>
        <w:spacing w:after="0" w:line="277" w:lineRule="auto"/>
        <w:tabs>
          <w:tab w:leader="none" w:pos="19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cover any CRP owing in respect of any seabed mineral production that has occurred up to the day before completion of an Assignment;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 Party shall be liable to any other Party, whether arising under contract, tort, strict liability or otherwise, for any: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loss of anticipated profits, loss of opportunity, loss of use, loss of production, loss of contracts;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consequential or indirect loss or damage, of any nature arising at any time from any cause whatsoever; and</w:t>
      </w:r>
    </w:p>
    <w:p>
      <w:pPr>
        <w:spacing w:after="0" w:line="225" w:lineRule="exact"/>
        <w:rPr>
          <w:sz w:val="20"/>
          <w:szCs w:val="20"/>
          <w:color w:val="auto"/>
        </w:rPr>
      </w:pPr>
    </w:p>
    <w:p>
      <w:pPr>
        <w:ind w:left="1300" w:right="60" w:hanging="644"/>
        <w:spacing w:after="0" w:line="308" w:lineRule="auto"/>
        <w:tabs>
          <w:tab w:leader="none" w:pos="13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indemnity provided to the State under clause 8.1 shall continue in force until the date that the State no longer has any responsibilities or potential liabilities under UNCLOS that may arise as a consequence of the Activities being carried out wrongfully.</w:t>
      </w:r>
    </w:p>
    <w:p>
      <w:pPr>
        <w:spacing w:after="0" w:line="146" w:lineRule="exact"/>
        <w:rPr>
          <w:sz w:val="20"/>
          <w:szCs w:val="20"/>
          <w:color w:val="auto"/>
        </w:rPr>
      </w:pPr>
    </w:p>
    <w:p>
      <w:pPr>
        <w:ind w:left="640" w:right="380" w:hanging="620"/>
        <w:spacing w:after="0" w:line="277" w:lineRule="auto"/>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For avoidance of any doubt, and subject to Clause 9.1, the State will not impose any Tax (including without limitation capital gains tax, stamp duty, sales tax or transfer tax) on any sale or transfer of:</w:t>
      </w:r>
    </w:p>
    <w:p>
      <w:pPr>
        <w:spacing w:after="0" w:line="170" w:lineRule="exact"/>
        <w:rPr>
          <w:sz w:val="20"/>
          <w:szCs w:val="20"/>
          <w:color w:val="auto"/>
        </w:rPr>
      </w:pPr>
    </w:p>
    <w:p>
      <w:pPr>
        <w:ind w:left="1300" w:hanging="64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TOML Rights;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asset held by the TOML Group;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TOML Group entity;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shares in the TOML Group.</w:t>
      </w:r>
    </w:p>
    <w:p>
      <w:pPr>
        <w:spacing w:after="0" w:line="225"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This Section 11 survives termination or expiry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13</w:t>
      </w:r>
    </w:p>
    <w:p>
      <w:pPr>
        <w:sectPr>
          <w:pgSz w:w="11900" w:h="16838" w:orient="portrait"/>
          <w:cols w:equalWidth="0" w:num="1">
            <w:col w:w="11240"/>
          </w:cols>
          <w:pgMar w:left="320" w:top="901" w:right="339" w:bottom="1440" w:gutter="0" w:footer="0" w:header="0"/>
        </w:sectPr>
      </w:pPr>
    </w:p>
    <w:bookmarkStart w:id="301" w:name="page302"/>
    <w:bookmarkEnd w:id="301"/>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to TOML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Should the State or the Tonga Seabed Minerals Authority receive material information, correspondence or notices from the ISA or other regulatory body relating to:</w:t>
      </w:r>
    </w:p>
    <w:p>
      <w:pPr>
        <w:spacing w:after="0" w:line="170"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TOML;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TOML’s ISA Obligations;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State’s Sponsorship Obligations;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Subcontractor;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Activities;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Tenements,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shall promptly inform TOML and provide a copy of such material information, correspondence or notice.</w:t>
      </w:r>
    </w:p>
    <w:p>
      <w:pPr>
        <w:spacing w:after="0" w:line="221" w:lineRule="exact"/>
        <w:rPr>
          <w:sz w:val="20"/>
          <w:szCs w:val="20"/>
          <w:color w:val="auto"/>
        </w:rPr>
      </w:pPr>
    </w:p>
    <w:p>
      <w:pPr>
        <w:ind w:left="660" w:hanging="652"/>
        <w:spacing w:after="0"/>
        <w:tabs>
          <w:tab w:leader="none" w:pos="6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Exploitation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State will cooperate with TOML to facilitate the preparation, submission and support of:</w:t>
      </w:r>
    </w:p>
    <w:p>
      <w:pPr>
        <w:spacing w:after="0" w:line="225" w:lineRule="exact"/>
        <w:rPr>
          <w:sz w:val="20"/>
          <w:szCs w:val="20"/>
          <w:color w:val="auto"/>
        </w:rPr>
      </w:pPr>
    </w:p>
    <w:p>
      <w:pPr>
        <w:ind w:left="1300" w:hanging="644"/>
        <w:spacing w:after="0"/>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applications to extend the ISA Exploration Contract;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applications to the ISA for Exploitation Contracts.</w:t>
      </w:r>
    </w:p>
    <w:p>
      <w:pPr>
        <w:spacing w:after="0" w:line="225" w:lineRule="exact"/>
        <w:rPr>
          <w:sz w:val="20"/>
          <w:szCs w:val="20"/>
          <w:color w:val="auto"/>
        </w:rPr>
      </w:pPr>
    </w:p>
    <w:p>
      <w:pPr>
        <w:ind w:left="660" w:right="240" w:hanging="647"/>
        <w:spacing w:after="0" w:line="263"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costs of presenting the applications to the ISA referred to in clause 13.1 shall be met by TOML, including any costs reasonably incurred by the State in taking actions either requested by TOML or deemed necessary by the State under the rules of the ISA, to support the application before the ISA (“</w:t>
      </w:r>
      <w:r>
        <w:rPr>
          <w:rFonts w:ascii="Arial" w:cs="Arial" w:eastAsia="Arial" w:hAnsi="Arial"/>
          <w:sz w:val="18"/>
          <w:szCs w:val="18"/>
          <w:b w:val="1"/>
          <w:bCs w:val="1"/>
          <w:color w:val="auto"/>
        </w:rPr>
        <w:t>ISA Application Costs</w:t>
      </w:r>
      <w:r>
        <w:rPr>
          <w:rFonts w:ascii="Arial" w:cs="Arial" w:eastAsia="Arial" w:hAnsi="Arial"/>
          <w:sz w:val="18"/>
          <w:szCs w:val="18"/>
          <w:color w:val="auto"/>
        </w:rPr>
        <w:t>”).</w:t>
      </w:r>
    </w:p>
    <w:p>
      <w:pPr>
        <w:spacing w:after="0" w:line="180" w:lineRule="exact"/>
        <w:rPr>
          <w:sz w:val="20"/>
          <w:szCs w:val="20"/>
          <w:color w:val="auto"/>
        </w:rPr>
      </w:pPr>
    </w:p>
    <w:p>
      <w:pPr>
        <w:ind w:left="660" w:hanging="652"/>
        <w:spacing w:after="0"/>
        <w:tabs>
          <w:tab w:leader="none" w:pos="6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and Safety Performance Monitoring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 xml:space="preserve">Subject to clause 14.4, TOML acknowledges that the State has the right to carry out an environmental and safety performance monitoring program (“Environmental and Safety Performance Monitoring Program” or “ESPMP”) to, </w:t>
      </w:r>
      <w:r>
        <w:rPr>
          <w:rFonts w:ascii="Arial" w:cs="Arial" w:eastAsia="Arial" w:hAnsi="Arial"/>
          <w:sz w:val="18"/>
          <w:szCs w:val="18"/>
          <w:i w:val="1"/>
          <w:iCs w:val="1"/>
          <w:color w:val="auto"/>
        </w:rPr>
        <w:t>inter alia</w:t>
      </w:r>
      <w:r>
        <w:rPr>
          <w:rFonts w:ascii="Arial" w:cs="Arial" w:eastAsia="Arial" w:hAnsi="Arial"/>
          <w:sz w:val="18"/>
          <w:szCs w:val="18"/>
          <w:color w:val="auto"/>
        </w:rPr>
        <w:t>:</w:t>
      </w:r>
    </w:p>
    <w:p>
      <w:pPr>
        <w:spacing w:after="0" w:line="170" w:lineRule="exact"/>
        <w:rPr>
          <w:sz w:val="20"/>
          <w:szCs w:val="20"/>
          <w:color w:val="auto"/>
        </w:rPr>
      </w:pPr>
    </w:p>
    <w:p>
      <w:pPr>
        <w:ind w:left="1300" w:hanging="644"/>
        <w:spacing w:after="0"/>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Assist the State satisfy its Sponsorship Obligations;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Verify whether the Activities, Subcontractors, Vessels and Installations are in compliance with TOML’s ISA Obligations;</w:t>
      </w:r>
    </w:p>
    <w:p>
      <w:pPr>
        <w:spacing w:after="0" w:line="225" w:lineRule="exact"/>
        <w:rPr>
          <w:rFonts w:ascii="Arial" w:cs="Arial" w:eastAsia="Arial" w:hAnsi="Arial"/>
          <w:sz w:val="18"/>
          <w:szCs w:val="18"/>
          <w:color w:val="auto"/>
        </w:rPr>
      </w:pPr>
    </w:p>
    <w:p>
      <w:pPr>
        <w:ind w:left="1300" w:right="860" w:hanging="644"/>
        <w:spacing w:after="0" w:line="277" w:lineRule="auto"/>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Verify whether any Activities or Subcontractors are causing or have caused Pollution Incidents or Serious Harm to the Marine Environment; and/or</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Verify whether the Activities, Subcontractors, Vessels and/or Installations are in compliance with TOML’s ISA Obligations pertaining to Safety at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14</w:t>
      </w:r>
    </w:p>
    <w:p>
      <w:pPr>
        <w:sectPr>
          <w:pgSz w:w="11900" w:h="16838" w:orient="portrait"/>
          <w:cols w:equalWidth="0" w:num="1">
            <w:col w:w="11240"/>
          </w:cols>
          <w:pgMar w:left="320" w:top="901" w:right="339" w:bottom="1440" w:gutter="0" w:footer="0" w:header="0"/>
        </w:sectPr>
      </w:pPr>
    </w:p>
    <w:bookmarkStart w:id="302" w:name="page303"/>
    <w:bookmarkEnd w:id="302"/>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660" w:right="340" w:hanging="647"/>
        <w:spacing w:after="0" w:line="286" w:lineRule="auto"/>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TOML acknowledges that it must permit, and must ensure that all relevant Subcontractors permit, the State, the State’s nominees, any suitably qualified person authorized by the State, or any independent qualified environmental or safety officers engaged by the State or acting on the State’s behalf (collectively referred to as “</w:t>
      </w:r>
      <w:r>
        <w:rPr>
          <w:rFonts w:ascii="Arial" w:cs="Arial" w:eastAsia="Arial" w:hAnsi="Arial"/>
          <w:sz w:val="17"/>
          <w:szCs w:val="17"/>
          <w:b w:val="1"/>
          <w:bCs w:val="1"/>
          <w:color w:val="auto"/>
        </w:rPr>
        <w:t>ESPMP Officers</w:t>
      </w:r>
      <w:r>
        <w:rPr>
          <w:rFonts w:ascii="Arial" w:cs="Arial" w:eastAsia="Arial" w:hAnsi="Arial"/>
          <w:sz w:val="17"/>
          <w:szCs w:val="17"/>
          <w:color w:val="auto"/>
        </w:rPr>
        <w:t>”), to conduct an ESPMP in accordance with this clause 14.</w:t>
      </w:r>
    </w:p>
    <w:p>
      <w:pPr>
        <w:spacing w:after="0" w:line="165" w:lineRule="exact"/>
        <w:rPr>
          <w:sz w:val="20"/>
          <w:szCs w:val="20"/>
          <w:color w:val="auto"/>
        </w:rPr>
      </w:pPr>
    </w:p>
    <w:p>
      <w:pPr>
        <w:ind w:left="660" w:right="380" w:hanging="647"/>
        <w:spacing w:after="0" w:line="263" w:lineRule="auto"/>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TOML acknowledges that it must give, and must ensure that all relevant Subcontractors give, the ESPMP Officers access to any Vessel or Installation being used in the Activities that is relevant to the ESPMP, except where such access is impracticable or would cause unreasonable interference with the Activities, and provide the ESPMP Officers with:</w:t>
      </w:r>
    </w:p>
    <w:p>
      <w:pPr>
        <w:spacing w:after="0" w:line="184" w:lineRule="exact"/>
        <w:rPr>
          <w:sz w:val="20"/>
          <w:szCs w:val="20"/>
          <w:color w:val="auto"/>
        </w:rPr>
      </w:pPr>
    </w:p>
    <w:p>
      <w:pPr>
        <w:ind w:left="1280" w:right="660" w:hanging="624"/>
        <w:spacing w:after="0" w:line="277" w:lineRule="auto"/>
        <w:tabs>
          <w:tab w:leader="none" w:pos="12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reasonable assistance requested by the ESPMP Officers to allow them to access, inspect, assess, audit and/or monitor the relevant Activities, including:</w:t>
      </w:r>
    </w:p>
    <w:p>
      <w:pPr>
        <w:spacing w:after="0" w:line="170" w:lineRule="exact"/>
        <w:rPr>
          <w:rFonts w:ascii="Arial" w:cs="Arial" w:eastAsia="Arial" w:hAnsi="Arial"/>
          <w:sz w:val="18"/>
          <w:szCs w:val="18"/>
          <w:color w:val="auto"/>
        </w:rPr>
      </w:pPr>
    </w:p>
    <w:p>
      <w:pPr>
        <w:ind w:left="1920" w:hanging="616"/>
        <w:spacing w:after="0"/>
        <w:tabs>
          <w:tab w:leader="none" w:pos="19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safe boarding of Vessels and Installations;</w:t>
      </w:r>
    </w:p>
    <w:p>
      <w:pPr>
        <w:spacing w:after="0" w:line="225" w:lineRule="exact"/>
        <w:rPr>
          <w:rFonts w:ascii="Arial" w:cs="Arial" w:eastAsia="Arial" w:hAnsi="Arial"/>
          <w:sz w:val="18"/>
          <w:szCs w:val="18"/>
          <w:color w:val="auto"/>
        </w:rPr>
      </w:pPr>
    </w:p>
    <w:p>
      <w:pPr>
        <w:ind w:left="1920" w:hanging="616"/>
        <w:spacing w:after="0"/>
        <w:tabs>
          <w:tab w:leader="none" w:pos="19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cooperation and assistance with the ESPMP on Vessels and Installations;</w:t>
      </w:r>
    </w:p>
    <w:p>
      <w:pPr>
        <w:spacing w:after="0" w:line="225" w:lineRule="exact"/>
        <w:rPr>
          <w:rFonts w:ascii="Arial" w:cs="Arial" w:eastAsia="Arial" w:hAnsi="Arial"/>
          <w:sz w:val="18"/>
          <w:szCs w:val="18"/>
          <w:color w:val="auto"/>
        </w:rPr>
      </w:pPr>
    </w:p>
    <w:p>
      <w:pPr>
        <w:ind w:left="1960" w:right="160" w:hanging="656"/>
        <w:spacing w:after="0" w:line="277" w:lineRule="auto"/>
        <w:tabs>
          <w:tab w:leader="none" w:pos="19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reasonable access to relevant log books, records, documents, equipment, facilities and personnel on Vessels and Installations at reasonable times;</w:t>
      </w:r>
    </w:p>
    <w:p>
      <w:pPr>
        <w:spacing w:after="0" w:line="170" w:lineRule="exact"/>
        <w:rPr>
          <w:rFonts w:ascii="Arial" w:cs="Arial" w:eastAsia="Arial" w:hAnsi="Arial"/>
          <w:sz w:val="18"/>
          <w:szCs w:val="18"/>
          <w:color w:val="auto"/>
        </w:rPr>
      </w:pPr>
    </w:p>
    <w:p>
      <w:pPr>
        <w:ind w:left="1960" w:right="300" w:hanging="656"/>
        <w:spacing w:after="0" w:line="277" w:lineRule="auto"/>
        <w:tabs>
          <w:tab w:leader="none" w:pos="19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provision of reasonable accommodation and facilities, including, where appropriate, food and means of adequate subsistence while on any Vessel or Installation;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safe disembarkation from Vessels and Installations; and</w:t>
      </w:r>
    </w:p>
    <w:p>
      <w:pPr>
        <w:spacing w:after="0" w:line="225" w:lineRule="exact"/>
        <w:rPr>
          <w:rFonts w:ascii="Arial" w:cs="Arial" w:eastAsia="Arial" w:hAnsi="Arial"/>
          <w:sz w:val="18"/>
          <w:szCs w:val="18"/>
          <w:color w:val="auto"/>
        </w:rPr>
      </w:pPr>
    </w:p>
    <w:p>
      <w:pPr>
        <w:ind w:left="1280" w:right="240" w:hanging="624"/>
        <w:spacing w:after="0" w:line="277" w:lineRule="auto"/>
        <w:tabs>
          <w:tab w:leader="none" w:pos="12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copies of any documents requested by the ESPMP Officers that are in the possession of TOML and/or a relevant Subcontractor and are strictly necessary to carry out the ESPMP (subject to confidentiality constraints).</w:t>
      </w:r>
    </w:p>
    <w:p>
      <w:pPr>
        <w:spacing w:after="0" w:line="170" w:lineRule="exact"/>
        <w:rPr>
          <w:sz w:val="20"/>
          <w:szCs w:val="20"/>
          <w:color w:val="auto"/>
        </w:rPr>
      </w:pPr>
    </w:p>
    <w:p>
      <w:pPr>
        <w:jc w:val="both"/>
        <w:ind w:left="660" w:right="20" w:hanging="647"/>
        <w:spacing w:after="0" w:line="257" w:lineRule="auto"/>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The State shall, and shall ensure that all ESPMP Officers engaged in the ESPMP shall, keep confidential all information provided to them by or on behalf of TOML or any Subcontractors or otherwise obtained by the State or ESPMP Officers in connection with any ESPMP and which relates to TOML, the Activities or any Subcontractor. TOML reserves the right to require any ESPMP Officer before receiving such information to first sign a confidentiality agreement in person that strictly limits the approved purpose of disclosure to that of carrying out the ESPMP and reporting to the State.</w:t>
      </w:r>
    </w:p>
    <w:p>
      <w:pPr>
        <w:spacing w:after="0" w:line="184" w:lineRule="exact"/>
        <w:rPr>
          <w:sz w:val="20"/>
          <w:szCs w:val="20"/>
          <w:color w:val="auto"/>
        </w:rPr>
      </w:pPr>
    </w:p>
    <w:p>
      <w:pPr>
        <w:ind w:left="660" w:hanging="652"/>
        <w:spacing w:after="0"/>
        <w:tabs>
          <w:tab w:leader="none" w:pos="6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ESPMP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Notwithstanding anything contained in this Agreement:</w:t>
      </w:r>
    </w:p>
    <w:p>
      <w:pPr>
        <w:spacing w:after="0" w:line="225" w:lineRule="exact"/>
        <w:rPr>
          <w:sz w:val="20"/>
          <w:szCs w:val="20"/>
          <w:color w:val="auto"/>
        </w:rPr>
      </w:pPr>
    </w:p>
    <w:p>
      <w:pPr>
        <w:ind w:left="1300" w:hanging="644"/>
        <w:spacing w:after="0" w:line="279" w:lineRule="auto"/>
        <w:tabs>
          <w:tab w:leader="none" w:pos="130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ESPMP Officers must follow all instructions and directions pertaining to Safety at Sea given to them from TOML, a relevant Subcontractor, the captain and/or other relevant safety officers on board Vessels and Installations whether given in writing, verbally or via signage, and TOML is not liable (including under any indemnity in this Agreement) for injury, loss or damage caused by a failure of any ESPMP Officers to follow any instructions and directions or any negligence on the part of such ESPMP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15</w:t>
      </w:r>
    </w:p>
    <w:p>
      <w:pPr>
        <w:sectPr>
          <w:pgSz w:w="11900" w:h="16838" w:orient="portrait"/>
          <w:cols w:equalWidth="0" w:num="1">
            <w:col w:w="11240"/>
          </w:cols>
          <w:pgMar w:left="320" w:top="901" w:right="339" w:bottom="1440" w:gutter="0" w:footer="0" w:header="0"/>
        </w:sectPr>
      </w:pPr>
    </w:p>
    <w:bookmarkStart w:id="303" w:name="page304"/>
    <w:bookmarkEnd w:id="303"/>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300" w:hanging="644"/>
        <w:spacing w:after="0"/>
        <w:tabs>
          <w:tab w:leader="none" w:pos="13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TOML has the right to:</w:t>
      </w:r>
    </w:p>
    <w:p>
      <w:pPr>
        <w:spacing w:after="0" w:line="225" w:lineRule="exact"/>
        <w:rPr>
          <w:rFonts w:ascii="Arial" w:cs="Arial" w:eastAsia="Arial" w:hAnsi="Arial"/>
          <w:sz w:val="18"/>
          <w:szCs w:val="18"/>
          <w:color w:val="auto"/>
        </w:rPr>
      </w:pPr>
    </w:p>
    <w:p>
      <w:pPr>
        <w:ind w:left="1940" w:right="140" w:hanging="636"/>
        <w:spacing w:after="0" w:line="257" w:lineRule="auto"/>
        <w:tabs>
          <w:tab w:leader="none" w:pos="1940" w:val="left"/>
        </w:tabs>
        <w:numPr>
          <w:ilvl w:val="2"/>
          <w:numId w:val="237"/>
        </w:numPr>
        <w:rPr>
          <w:rFonts w:ascii="Arial" w:cs="Arial" w:eastAsia="Arial" w:hAnsi="Arial"/>
          <w:sz w:val="18"/>
          <w:szCs w:val="18"/>
          <w:color w:val="auto"/>
        </w:rPr>
      </w:pPr>
      <w:r>
        <w:rPr>
          <w:rFonts w:ascii="Arial" w:cs="Arial" w:eastAsia="Arial" w:hAnsi="Arial"/>
          <w:sz w:val="18"/>
          <w:szCs w:val="18"/>
          <w:color w:val="auto"/>
        </w:rPr>
        <w:t>request and receive from any ESPMP Officer, prior to their involvement in any aspect of the Activities, all reasonable information necessary to assess the officer’s suitability and qualifications for participation in the Activities, including without limitation relevant criminal records, medical information and certification of health including a test for contagious diseases and drugs (with TOML reserving the right to refuse participation in any aspect of the Activities should TOML deem an ESPMP Officer or candidate unsuitable or unsafe);</w:t>
      </w:r>
    </w:p>
    <w:p>
      <w:pPr>
        <w:spacing w:after="0" w:line="187" w:lineRule="exact"/>
        <w:rPr>
          <w:rFonts w:ascii="Arial" w:cs="Arial" w:eastAsia="Arial" w:hAnsi="Arial"/>
          <w:sz w:val="18"/>
          <w:szCs w:val="18"/>
          <w:color w:val="auto"/>
        </w:rPr>
      </w:pPr>
    </w:p>
    <w:p>
      <w:pPr>
        <w:jc w:val="both"/>
        <w:ind w:left="1940" w:right="160" w:hanging="636"/>
        <w:spacing w:after="0" w:line="263" w:lineRule="auto"/>
        <w:tabs>
          <w:tab w:leader="none" w:pos="1940" w:val="left"/>
        </w:tabs>
        <w:numPr>
          <w:ilvl w:val="2"/>
          <w:numId w:val="237"/>
        </w:numPr>
        <w:rPr>
          <w:rFonts w:ascii="Arial" w:cs="Arial" w:eastAsia="Arial" w:hAnsi="Arial"/>
          <w:sz w:val="18"/>
          <w:szCs w:val="18"/>
          <w:color w:val="auto"/>
        </w:rPr>
      </w:pPr>
      <w:r>
        <w:rPr>
          <w:rFonts w:ascii="Arial" w:cs="Arial" w:eastAsia="Arial" w:hAnsi="Arial"/>
          <w:sz w:val="18"/>
          <w:szCs w:val="18"/>
          <w:color w:val="auto"/>
        </w:rPr>
        <w:t>at TOML’s sole discretion, deny any ESPMP Officer access to or remove any ESPMP Officer from any aspect of the Activities in the event that the Officer poses an unreasonable risk to Safety at Sea, the Activities or does not possess the necessary safety qualifications or training including survival training; and</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2"/>
          <w:numId w:val="237"/>
        </w:numPr>
        <w:rPr>
          <w:rFonts w:ascii="Arial" w:cs="Arial" w:eastAsia="Arial" w:hAnsi="Arial"/>
          <w:sz w:val="16"/>
          <w:szCs w:val="16"/>
          <w:color w:val="auto"/>
        </w:rPr>
      </w:pPr>
      <w:r>
        <w:rPr>
          <w:rFonts w:ascii="Arial" w:cs="Arial" w:eastAsia="Arial" w:hAnsi="Arial"/>
          <w:sz w:val="16"/>
          <w:szCs w:val="16"/>
          <w:color w:val="auto"/>
        </w:rPr>
        <w:t>order any ESPMP Officers to undergo, if necessary, offshore safety training before or while on board Vessels or Installations,</w:t>
      </w:r>
    </w:p>
    <w:p>
      <w:pPr>
        <w:spacing w:after="0" w:line="244" w:lineRule="exact"/>
        <w:rPr>
          <w:rFonts w:ascii="Arial" w:cs="Arial" w:eastAsia="Arial" w:hAnsi="Arial"/>
          <w:sz w:val="16"/>
          <w:szCs w:val="16"/>
          <w:color w:val="auto"/>
        </w:rPr>
      </w:pPr>
    </w:p>
    <w:p>
      <w:pPr>
        <w:ind w:left="660" w:hanging="652"/>
        <w:spacing w:after="0"/>
        <w:tabs>
          <w:tab w:leader="none" w:pos="66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 Criteria</w:t>
      </w:r>
    </w:p>
    <w:p>
      <w:pPr>
        <w:spacing w:after="0" w:line="310" w:lineRule="exact"/>
        <w:rPr>
          <w:rFonts w:ascii="Arial" w:cs="Arial" w:eastAsia="Arial" w:hAnsi="Arial"/>
          <w:sz w:val="18"/>
          <w:szCs w:val="18"/>
          <w:b w:val="1"/>
          <w:bCs w:val="1"/>
          <w:color w:val="auto"/>
        </w:rPr>
      </w:pPr>
    </w:p>
    <w:p>
      <w:pPr>
        <w:ind w:left="6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TOML will comply with TOML’s ISA Obligations pertaining to completion of the Exploitation, including safe removal of Installations from the Tenement Area.</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Subject to clause 17.2, the State must not disclose to a third party Confidential Information.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The State may disclose information:</w:t>
      </w:r>
    </w:p>
    <w:p>
      <w:pPr>
        <w:spacing w:after="0" w:line="225" w:lineRule="exact"/>
        <w:rPr>
          <w:sz w:val="20"/>
          <w:szCs w:val="20"/>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enforcing this Agreement or in a proceeding arising out of or in connection with this Agreement;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required under a binding order of the ISA;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it is required or permitted to be disclosed by this Agreement;</w:t>
      </w:r>
    </w:p>
    <w:p>
      <w:pPr>
        <w:spacing w:after="0" w:line="225" w:lineRule="exact"/>
        <w:rPr>
          <w:rFonts w:ascii="Arial" w:cs="Arial" w:eastAsia="Arial" w:hAnsi="Arial"/>
          <w:sz w:val="18"/>
          <w:szCs w:val="18"/>
          <w:color w:val="auto"/>
        </w:rPr>
      </w:pPr>
    </w:p>
    <w:p>
      <w:pPr>
        <w:ind w:left="1300" w:right="540" w:hanging="644"/>
        <w:spacing w:after="0" w:line="263" w:lineRule="auto"/>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its legal advisers, consultants, directors, officers and employees provided that such parties undertake to keep the information confidential and provided the disclosure is reasonably necessary in connection with the State exercising its rights or performing its obligations under this Agreement or performing the State’s Sponsorship Obligations;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TOML has given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16</w:t>
      </w:r>
    </w:p>
    <w:p>
      <w:pPr>
        <w:sectPr>
          <w:pgSz w:w="11900" w:h="16838" w:orient="portrait"/>
          <w:cols w:equalWidth="0" w:num="1">
            <w:col w:w="11240"/>
          </w:cols>
          <w:pgMar w:left="320" w:top="901" w:right="339" w:bottom="1440" w:gutter="0" w:footer="0" w:header="0"/>
        </w:sectPr>
      </w:pPr>
    </w:p>
    <w:bookmarkStart w:id="304" w:name="page305"/>
    <w:bookmarkEnd w:id="304"/>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660" w:right="320" w:hanging="647"/>
        <w:spacing w:after="0" w:line="277"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If the State becomes aware of a suspected or actual breach of this Section 17, the State will immediately Notify TOML and take all practicable steps to prevent or stop the suspected or actual breach.</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This Section 17 survives termination or expiry of this Agreement.</w:t>
      </w:r>
    </w:p>
    <w:p>
      <w:pPr>
        <w:spacing w:after="0" w:line="221" w:lineRule="exact"/>
        <w:rPr>
          <w:sz w:val="20"/>
          <w:szCs w:val="20"/>
          <w:color w:val="auto"/>
        </w:rPr>
      </w:pPr>
    </w:p>
    <w:p>
      <w:pPr>
        <w:ind w:left="660" w:hanging="652"/>
        <w:spacing w:after="0"/>
        <w:tabs>
          <w:tab w:leader="none" w:pos="6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jc w:val="both"/>
        <w:ind w:left="660" w:right="280" w:hanging="647"/>
        <w:spacing w:after="0" w:line="259" w:lineRule="auto"/>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Pursuant to Section 91(2)(a) of the Act, TOML will pay US$[***] per calendar year to the Tonga Seabed Minerals Authority to cover the costs associated with the State’s administration of its Sponsorship in that calendar year (“Administration Fee”). The fee will be paid annually on the anniversary of the signing of the Sponsorship Certificate, or such other date mutually agreed from time to time between TOML and the Tonga Seabed Minerals Authority.</w:t>
      </w:r>
    </w:p>
    <w:p>
      <w:pPr>
        <w:spacing w:after="0" w:line="187" w:lineRule="exact"/>
        <w:rPr>
          <w:sz w:val="20"/>
          <w:szCs w:val="20"/>
          <w:color w:val="auto"/>
        </w:rPr>
      </w:pPr>
    </w:p>
    <w:p>
      <w:pPr>
        <w:ind w:left="660" w:right="140" w:hanging="647"/>
        <w:spacing w:after="0" w:line="263" w:lineRule="auto"/>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The State may review the amount of the Administration Fee, and may reasonably increase the amount where this is required to cover the actual costs to the State of administering and supervising the sponsorship, provided that the State obtains TOML’s written consent where the increase in any year is greater than US$[***].</w:t>
      </w:r>
    </w:p>
    <w:p>
      <w:pPr>
        <w:spacing w:after="0" w:line="184" w:lineRule="exact"/>
        <w:rPr>
          <w:sz w:val="20"/>
          <w:szCs w:val="20"/>
          <w:color w:val="auto"/>
        </w:rPr>
      </w:pPr>
    </w:p>
    <w:p>
      <w:pPr>
        <w:ind w:left="660" w:right="620" w:hanging="647"/>
        <w:spacing w:after="0" w:line="277" w:lineRule="auto"/>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The Administration Fee will be reviewed once TOML receives an ISA Exploitation Contract to include any additional costs to the State of administering and supervising the sponsorship, including the costs of ESPMP Officers.</w:t>
      </w:r>
    </w:p>
    <w:p>
      <w:pPr>
        <w:spacing w:after="0" w:line="166" w:lineRule="exact"/>
        <w:rPr>
          <w:sz w:val="20"/>
          <w:szCs w:val="20"/>
          <w:color w:val="auto"/>
        </w:rPr>
      </w:pPr>
    </w:p>
    <w:p>
      <w:pPr>
        <w:ind w:left="660" w:hanging="652"/>
        <w:spacing w:after="0"/>
        <w:tabs>
          <w:tab w:leader="none" w:pos="6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TOML Default and State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A TOML default occurs if:</w:t>
      </w:r>
    </w:p>
    <w:p>
      <w:pPr>
        <w:spacing w:after="0" w:line="225" w:lineRule="exact"/>
        <w:rPr>
          <w:sz w:val="20"/>
          <w:szCs w:val="20"/>
          <w:color w:val="auto"/>
        </w:rPr>
      </w:pPr>
    </w:p>
    <w:p>
      <w:pPr>
        <w:ind w:left="1300" w:hanging="644"/>
        <w:spacing w:after="0"/>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there is a material breach of an obligation under this Agreement by TOML;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TOML is in material breach of TOML’s ISA Obligations (“TOML Default”);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TOML fails to act in good faith.</w:t>
      </w:r>
    </w:p>
    <w:p>
      <w:pPr>
        <w:spacing w:after="0" w:line="221" w:lineRule="exact"/>
        <w:rPr>
          <w:sz w:val="20"/>
          <w:szCs w:val="20"/>
          <w:color w:val="auto"/>
        </w:rPr>
      </w:pPr>
    </w:p>
    <w:p>
      <w:pPr>
        <w:ind w:left="660" w:right="280" w:hanging="647"/>
        <w:spacing w:after="0" w:line="282" w:lineRule="auto"/>
        <w:tabs>
          <w:tab w:leader="none" w:pos="6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If a TOML Default occurs the State may give TOML a Notice in writing (“</w:t>
      </w:r>
      <w:r>
        <w:rPr>
          <w:rFonts w:ascii="Arial" w:cs="Arial" w:eastAsia="Arial" w:hAnsi="Arial"/>
          <w:sz w:val="18"/>
          <w:szCs w:val="18"/>
          <w:b w:val="1"/>
          <w:bCs w:val="1"/>
          <w:color w:val="auto"/>
        </w:rPr>
        <w:t>TOML Default Notice</w:t>
      </w:r>
      <w:r>
        <w:rPr>
          <w:rFonts w:ascii="Arial" w:cs="Arial" w:eastAsia="Arial" w:hAnsi="Arial"/>
          <w:sz w:val="18"/>
          <w:szCs w:val="18"/>
          <w:color w:val="auto"/>
        </w:rPr>
        <w:t>”) stating that a TOML Default has occurred and requiring TOML to Remedy the TOML Default within a reasonable time from the date of such Notice.</w:t>
      </w:r>
    </w:p>
    <w:p>
      <w:pPr>
        <w:spacing w:after="0" w:line="166" w:lineRule="exact"/>
        <w:rPr>
          <w:sz w:val="20"/>
          <w:szCs w:val="20"/>
          <w:color w:val="auto"/>
        </w:rPr>
      </w:pPr>
    </w:p>
    <w:p>
      <w:pPr>
        <w:ind w:left="660" w:right="440" w:hanging="647"/>
        <w:spacing w:after="0" w:line="277" w:lineRule="auto"/>
        <w:tabs>
          <w:tab w:leader="none" w:pos="6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color w:val="auto"/>
        </w:rPr>
        <w:t>Upon receipt of a TOML Default Notice TOML shall promptly commence, and continue to pursue with diligence, the Remedy of the TOML Default within 60 days, and must, whenever requested by the State, advise progress of the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17</w:t>
      </w:r>
    </w:p>
    <w:p>
      <w:pPr>
        <w:sectPr>
          <w:pgSz w:w="11900" w:h="16838" w:orient="portrait"/>
          <w:cols w:equalWidth="0" w:num="1">
            <w:col w:w="11240"/>
          </w:cols>
          <w:pgMar w:left="320" w:top="901" w:right="339" w:bottom="1440" w:gutter="0" w:footer="0" w:header="0"/>
        </w:sectPr>
      </w:pPr>
    </w:p>
    <w:bookmarkStart w:id="305" w:name="page306"/>
    <w:bookmarkEnd w:id="305"/>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color w:val="auto"/>
        </w:rPr>
        <w:t>A State default (“</w:t>
      </w:r>
      <w:r>
        <w:rPr>
          <w:rFonts w:ascii="Arial" w:cs="Arial" w:eastAsia="Arial" w:hAnsi="Arial"/>
          <w:sz w:val="16"/>
          <w:szCs w:val="16"/>
          <w:b w:val="1"/>
          <w:bCs w:val="1"/>
          <w:color w:val="auto"/>
        </w:rPr>
        <w:t>State Default</w:t>
      </w:r>
      <w:r>
        <w:rPr>
          <w:rFonts w:ascii="Arial" w:cs="Arial" w:eastAsia="Arial" w:hAnsi="Arial"/>
          <w:sz w:val="16"/>
          <w:szCs w:val="16"/>
          <w:color w:val="auto"/>
        </w:rPr>
        <w:t>”) occurs if:</w:t>
      </w:r>
    </w:p>
    <w:p>
      <w:pPr>
        <w:spacing w:after="0" w:line="256" w:lineRule="exact"/>
        <w:rPr>
          <w:sz w:val="20"/>
          <w:szCs w:val="20"/>
          <w:color w:val="auto"/>
        </w:rPr>
      </w:pPr>
    </w:p>
    <w:p>
      <w:pPr>
        <w:ind w:left="1300" w:hanging="644"/>
        <w:spacing w:after="0"/>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State breaches this Agreement, its obligations under UNCLOS, Regulations or the Act;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State fails to act in good faith or discriminates against TOML (including through a Discriminatory Change in Tongan Law); or</w:t>
      </w:r>
    </w:p>
    <w:p>
      <w:pPr>
        <w:spacing w:after="0" w:line="236" w:lineRule="exact"/>
        <w:rPr>
          <w:rFonts w:ascii="Arial" w:cs="Arial" w:eastAsia="Arial" w:hAnsi="Arial"/>
          <w:sz w:val="17"/>
          <w:szCs w:val="17"/>
          <w:color w:val="auto"/>
        </w:rPr>
      </w:pPr>
    </w:p>
    <w:p>
      <w:pPr>
        <w:ind w:left="1300" w:right="60" w:hanging="644"/>
        <w:spacing w:after="0" w:line="277" w:lineRule="auto"/>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State ceases to Sponsor TOML and the Activities, fails to confirm Sponsorship of TOML and the Activities, takes any action towards ceasing its Sponsorship or purports to cease its Sponsorship of TOML and the Activities; or</w:t>
      </w:r>
    </w:p>
    <w:p>
      <w:pPr>
        <w:spacing w:after="0" w:line="170" w:lineRule="exact"/>
        <w:rPr>
          <w:rFonts w:ascii="Arial" w:cs="Arial" w:eastAsia="Arial" w:hAnsi="Arial"/>
          <w:sz w:val="18"/>
          <w:szCs w:val="18"/>
          <w:color w:val="auto"/>
        </w:rPr>
      </w:pPr>
    </w:p>
    <w:p>
      <w:pPr>
        <w:ind w:left="1300" w:right="680" w:hanging="644"/>
        <w:spacing w:after="0" w:line="277" w:lineRule="auto"/>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State directly or indirectly Expropriates the ownership, rights or assets of the TOML Group, or takes any action to directly or indirectly Expropriate the ownership, rights or assets of the TOML Group.</w:t>
      </w:r>
    </w:p>
    <w:p>
      <w:pPr>
        <w:spacing w:after="0" w:line="166" w:lineRule="exact"/>
        <w:rPr>
          <w:sz w:val="20"/>
          <w:szCs w:val="20"/>
          <w:color w:val="auto"/>
        </w:rPr>
      </w:pPr>
    </w:p>
    <w:p>
      <w:pPr>
        <w:ind w:left="660" w:right="420" w:hanging="647"/>
        <w:spacing w:after="0" w:line="282" w:lineRule="auto"/>
        <w:tabs>
          <w:tab w:leader="none" w:pos="64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8"/>
          <w:szCs w:val="18"/>
          <w:color w:val="auto"/>
        </w:rPr>
        <w:t>If a State Default occurs TOML may give the State a Notice in writing (“</w:t>
      </w:r>
      <w:r>
        <w:rPr>
          <w:rFonts w:ascii="Arial" w:cs="Arial" w:eastAsia="Arial" w:hAnsi="Arial"/>
          <w:sz w:val="18"/>
          <w:szCs w:val="18"/>
          <w:b w:val="1"/>
          <w:bCs w:val="1"/>
          <w:color w:val="auto"/>
        </w:rPr>
        <w:t>State Default Notice</w:t>
      </w:r>
      <w:r>
        <w:rPr>
          <w:rFonts w:ascii="Arial" w:cs="Arial" w:eastAsia="Arial" w:hAnsi="Arial"/>
          <w:sz w:val="18"/>
          <w:szCs w:val="18"/>
          <w:color w:val="auto"/>
        </w:rPr>
        <w:t>”) stating that a State Default has occurred and requiring the State to Remedy the Default expeditiously not exceeding 60 days from the date of such Notice.</w:t>
      </w:r>
    </w:p>
    <w:p>
      <w:pPr>
        <w:spacing w:after="0" w:line="162"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Temporary Suspension of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In the event that:</w:t>
      </w:r>
    </w:p>
    <w:p>
      <w:pPr>
        <w:spacing w:after="0" w:line="225"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 Emergency exists; or</w:t>
      </w:r>
    </w:p>
    <w:p>
      <w:pPr>
        <w:spacing w:after="0" w:line="225" w:lineRule="exact"/>
        <w:rPr>
          <w:rFonts w:ascii="Arial" w:cs="Arial" w:eastAsia="Arial" w:hAnsi="Arial"/>
          <w:sz w:val="18"/>
          <w:szCs w:val="18"/>
          <w:color w:val="auto"/>
        </w:rPr>
      </w:pPr>
    </w:p>
    <w:p>
      <w:pPr>
        <w:jc w:val="both"/>
        <w:ind w:left="1300" w:right="240" w:hanging="644"/>
        <w:spacing w:after="0" w:line="342" w:lineRule="auto"/>
        <w:tabs>
          <w:tab w:leader="none" w:pos="130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TOML or a Subcontractor, in spite of written warnings by the ISA or the State, has conducted its activities in such a way as to result in serious persistent and wilful violations of the fundamental terms of this Agreement, an ISA Contract or TOML’s ISA Obligations and:</w:t>
      </w:r>
    </w:p>
    <w:p>
      <w:pPr>
        <w:spacing w:after="0" w:line="119" w:lineRule="exact"/>
        <w:rPr>
          <w:rFonts w:ascii="Arial" w:cs="Arial" w:eastAsia="Arial" w:hAnsi="Arial"/>
          <w:sz w:val="16"/>
          <w:szCs w:val="16"/>
          <w:color w:val="auto"/>
        </w:rPr>
      </w:pPr>
    </w:p>
    <w:p>
      <w:pPr>
        <w:ind w:left="1960" w:right="480" w:hanging="656"/>
        <w:spacing w:after="0" w:line="282" w:lineRule="auto"/>
        <w:tabs>
          <w:tab w:leader="none" w:pos="19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State has served a written Notice of its intention to order suspension under this clause (“</w:t>
      </w:r>
      <w:r>
        <w:rPr>
          <w:rFonts w:ascii="Arial" w:cs="Arial" w:eastAsia="Arial" w:hAnsi="Arial"/>
          <w:sz w:val="18"/>
          <w:szCs w:val="18"/>
          <w:b w:val="1"/>
          <w:bCs w:val="1"/>
          <w:color w:val="auto"/>
        </w:rPr>
        <w:t>State Suspension Notice</w:t>
      </w:r>
      <w:r>
        <w:rPr>
          <w:rFonts w:ascii="Arial" w:cs="Arial" w:eastAsia="Arial" w:hAnsi="Arial"/>
          <w:sz w:val="18"/>
          <w:szCs w:val="18"/>
          <w:color w:val="auto"/>
        </w:rPr>
        <w:t>”) on TOML; and</w:t>
      </w:r>
    </w:p>
    <w:p>
      <w:pPr>
        <w:spacing w:after="0" w:line="165" w:lineRule="exact"/>
        <w:rPr>
          <w:rFonts w:ascii="Arial" w:cs="Arial" w:eastAsia="Arial" w:hAnsi="Arial"/>
          <w:sz w:val="18"/>
          <w:szCs w:val="18"/>
          <w:color w:val="auto"/>
        </w:rPr>
      </w:pPr>
    </w:p>
    <w:p>
      <w:pPr>
        <w:ind w:left="1960" w:right="180" w:hanging="656"/>
        <w:spacing w:after="0" w:line="277" w:lineRule="auto"/>
        <w:tabs>
          <w:tab w:leader="none" w:pos="19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State Suspension Notice specifies in detail the reasons why the State Suspension Notice is given and that the State requires TOML to Remedy the breach within 60 days of receipt of the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State may by written Notice to TOML:</w:t>
      </w:r>
    </w:p>
    <w:p>
      <w:pPr>
        <w:spacing w:after="0" w:line="225" w:lineRule="exact"/>
        <w:rPr>
          <w:sz w:val="20"/>
          <w:szCs w:val="20"/>
          <w:color w:val="auto"/>
        </w:rPr>
      </w:pPr>
    </w:p>
    <w:p>
      <w:pPr>
        <w:ind w:left="1300" w:right="140" w:hanging="644"/>
        <w:spacing w:after="0" w:line="277" w:lineRule="auto"/>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case of 20.1(a) above, demand the suspension of the portion of the Activities necessary to end or mitigate the Emergency for such period as is reasonably necessary;</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case of 20.1(b) above, demand the suspension of the Activities (for such period as is reasonably necessary) on the day falling 60 days after the date TOML receives the State Suspension Notice, unless: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in the case that the breach can be Remedied and TOML has Remedied the breach in that period;</w:t>
      </w:r>
    </w:p>
    <w:p>
      <w:pPr>
        <w:spacing w:after="0" w:line="225" w:lineRule="exact"/>
        <w:rPr>
          <w:rFonts w:ascii="Arial" w:cs="Arial" w:eastAsia="Arial" w:hAnsi="Arial"/>
          <w:sz w:val="18"/>
          <w:szCs w:val="18"/>
          <w:color w:val="auto"/>
        </w:rPr>
      </w:pPr>
    </w:p>
    <w:p>
      <w:pPr>
        <w:ind w:left="1960" w:right="100" w:hanging="656"/>
        <w:spacing w:after="0" w:line="342" w:lineRule="auto"/>
        <w:tabs>
          <w:tab w:leader="none" w:pos="196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in the case that the breach cannot be Remedied (or cannot be Remedied within the time specified in clause 20.1(d)), TOML has adequately compensated the State for the demonstrable damages incurred by the State as a result of the breach; or</w:t>
      </w:r>
    </w:p>
    <w:p>
      <w:pPr>
        <w:spacing w:after="0" w:line="123" w:lineRule="exact"/>
        <w:rPr>
          <w:rFonts w:ascii="Arial" w:cs="Arial" w:eastAsia="Arial" w:hAnsi="Arial"/>
          <w:sz w:val="16"/>
          <w:szCs w:val="16"/>
          <w:color w:val="auto"/>
        </w:rPr>
      </w:pPr>
    </w:p>
    <w:p>
      <w:pPr>
        <w:ind w:left="1960" w:hanging="656"/>
        <w:spacing w:after="0"/>
        <w:tabs>
          <w:tab w:leader="none" w:pos="19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State withdraws in writing the State Suspension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18</w:t>
      </w:r>
    </w:p>
    <w:p>
      <w:pPr>
        <w:sectPr>
          <w:pgSz w:w="11900" w:h="16838" w:orient="portrait"/>
          <w:cols w:equalWidth="0" w:num="1">
            <w:col w:w="11240"/>
          </w:cols>
          <w:pgMar w:left="320" w:top="901" w:right="339" w:bottom="1440" w:gutter="0" w:footer="0" w:header="0"/>
        </w:sectPr>
      </w:pPr>
    </w:p>
    <w:bookmarkStart w:id="306" w:name="page307"/>
    <w:bookmarkEnd w:id="306"/>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If suspension is ordered in accordance with clause 20.1:</w:t>
      </w:r>
    </w:p>
    <w:p>
      <w:pPr>
        <w:spacing w:after="0" w:line="225" w:lineRule="exact"/>
        <w:rPr>
          <w:sz w:val="20"/>
          <w:szCs w:val="20"/>
          <w:color w:val="auto"/>
        </w:rPr>
      </w:pPr>
    </w:p>
    <w:p>
      <w:pPr>
        <w:ind w:left="1300" w:right="180" w:hanging="644"/>
        <w:spacing w:after="0" w:line="342" w:lineRule="auto"/>
        <w:tabs>
          <w:tab w:leader="none" w:pos="13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TOML will take reasonable and appropriate measures to ensure that the relevant Subcontractors comply with the suspension orders and carry out those orders in a way that does not cause or exacerbate a Safety Incident or Serious Harm to the Marine Environment;</w:t>
      </w:r>
    </w:p>
    <w:p>
      <w:pPr>
        <w:spacing w:after="0" w:line="123" w:lineRule="exact"/>
        <w:rPr>
          <w:rFonts w:ascii="Arial" w:cs="Arial" w:eastAsia="Arial" w:hAnsi="Arial"/>
          <w:sz w:val="16"/>
          <w:szCs w:val="16"/>
          <w:color w:val="auto"/>
        </w:rPr>
      </w:pPr>
    </w:p>
    <w:p>
      <w:pPr>
        <w:ind w:left="1300" w:right="80" w:hanging="644"/>
        <w:spacing w:after="0" w:line="308" w:lineRule="auto"/>
        <w:tabs>
          <w:tab w:leader="none" w:pos="13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suspended Activities may be resumed when TOML is provided with written direction from the State to resume the Activities (always provided that the resumption is allowed under International Law), which the State must give immediately if:</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in the case of an Emergency, the Emergency has ceased;</w:t>
      </w:r>
    </w:p>
    <w:p>
      <w:pPr>
        <w:spacing w:after="0" w:line="225" w:lineRule="exact"/>
        <w:rPr>
          <w:sz w:val="20"/>
          <w:szCs w:val="20"/>
          <w:color w:val="auto"/>
        </w:rPr>
      </w:pPr>
    </w:p>
    <w:p>
      <w:pPr>
        <w:ind w:left="1960" w:hanging="656"/>
        <w:spacing w:after="0"/>
        <w:tabs>
          <w:tab w:leader="none" w:pos="19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case that the breach can be Remedied; TOML has Remedied the breach;</w:t>
      </w:r>
    </w:p>
    <w:p>
      <w:pPr>
        <w:spacing w:after="0" w:line="225" w:lineRule="exact"/>
        <w:rPr>
          <w:sz w:val="20"/>
          <w:szCs w:val="20"/>
          <w:color w:val="auto"/>
        </w:rPr>
      </w:pPr>
    </w:p>
    <w:p>
      <w:pPr>
        <w:ind w:left="1960" w:right="100" w:hanging="656"/>
        <w:spacing w:after="0" w:line="342" w:lineRule="auto"/>
        <w:tabs>
          <w:tab w:leader="none" w:pos="196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in the case that the breach cannot be Remedied (or cannot be Remedied within the time specified in clause 20.1(d)), TOML has adequately compensated the State for the demonstrable damages incurred by the State as a result of the breach; and</w:t>
      </w:r>
    </w:p>
    <w:p>
      <w:pPr>
        <w:spacing w:after="0" w:line="123" w:lineRule="exact"/>
        <w:rPr>
          <w:rFonts w:ascii="Arial" w:cs="Arial" w:eastAsia="Arial" w:hAnsi="Arial"/>
          <w:sz w:val="16"/>
          <w:szCs w:val="16"/>
          <w:color w:val="auto"/>
        </w:rPr>
      </w:pPr>
    </w:p>
    <w:p>
      <w:pPr>
        <w:ind w:left="1300" w:right="1100" w:hanging="644"/>
        <w:spacing w:after="0" w:line="277" w:lineRule="auto"/>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TOML will not be relieved of its other responsibilities and obligations under this Agreement, except to the extent that such responsibilities and obligations cannot be performed as a result of the suspension.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color w:val="auto"/>
        </w:rPr>
        <w:t>TOML shall provide any necessary assistance to the State in the exercise of its rights under this Section 20.</w:t>
      </w:r>
    </w:p>
    <w:p>
      <w:pPr>
        <w:spacing w:after="0" w:line="225"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In the event that TOML disputes the reasons why the Suspension Notice has been issued by the State or there is a dispute as to the demonstrable damages incurred by the State as a result of the breach, or whether or not the grounds for suspension have been Remedied by TOML, the matter will be referred as a dispute under Section 23 and the suspension under this clause 20 will either not take effect or cease to continue until such time as the dispute resolution has been completed in accordance with that Section 23.</w:t>
      </w:r>
    </w:p>
    <w:p>
      <w:pPr>
        <w:spacing w:after="0" w:line="187" w:lineRule="exact"/>
        <w:rPr>
          <w:sz w:val="20"/>
          <w:szCs w:val="20"/>
          <w:color w:val="auto"/>
        </w:rPr>
      </w:pPr>
    </w:p>
    <w:p>
      <w:pPr>
        <w:ind w:left="660" w:right="220" w:hanging="647"/>
        <w:spacing w:after="0" w:line="277" w:lineRule="auto"/>
        <w:tabs>
          <w:tab w:leader="none" w:pos="6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In the spirit of good faith and co-operation the parties will endeavour to have any dispute referred to under clause 20.4 to be finalised in no later than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19</w:t>
      </w:r>
    </w:p>
    <w:p>
      <w:pPr>
        <w:sectPr>
          <w:pgSz w:w="11900" w:h="16838" w:orient="portrait"/>
          <w:cols w:equalWidth="0" w:num="1">
            <w:col w:w="11240"/>
          </w:cols>
          <w:pgMar w:left="320" w:top="901" w:right="339" w:bottom="1440" w:gutter="0" w:footer="0" w:header="0"/>
        </w:sectPr>
      </w:pPr>
    </w:p>
    <w:bookmarkStart w:id="307" w:name="page308"/>
    <w:bookmarkEnd w:id="307"/>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Material TOML Breach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In the event of a Material TOML Breach, and:</w:t>
      </w:r>
    </w:p>
    <w:p>
      <w:pPr>
        <w:spacing w:after="0" w:line="221" w:lineRule="exact"/>
        <w:rPr>
          <w:sz w:val="20"/>
          <w:szCs w:val="20"/>
          <w:color w:val="auto"/>
        </w:rPr>
      </w:pPr>
    </w:p>
    <w:p>
      <w:pPr>
        <w:ind w:left="1300" w:right="120" w:hanging="644"/>
        <w:spacing w:after="0" w:line="282" w:lineRule="auto"/>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State has served a written Notice of its intention to terminate this Agreement under this Section 21 (“</w:t>
      </w:r>
      <w:r>
        <w:rPr>
          <w:rFonts w:ascii="Arial" w:cs="Arial" w:eastAsia="Arial" w:hAnsi="Arial"/>
          <w:sz w:val="18"/>
          <w:szCs w:val="18"/>
          <w:b w:val="1"/>
          <w:bCs w:val="1"/>
          <w:color w:val="auto"/>
        </w:rPr>
        <w:t>State Termination Notice</w:t>
      </w:r>
      <w:r>
        <w:rPr>
          <w:rFonts w:ascii="Arial" w:cs="Arial" w:eastAsia="Arial" w:hAnsi="Arial"/>
          <w:sz w:val="18"/>
          <w:szCs w:val="18"/>
          <w:color w:val="auto"/>
        </w:rPr>
        <w:t>”) on TOML; and</w:t>
      </w:r>
    </w:p>
    <w:p>
      <w:pPr>
        <w:spacing w:after="0" w:line="165" w:lineRule="exact"/>
        <w:rPr>
          <w:rFonts w:ascii="Arial" w:cs="Arial" w:eastAsia="Arial" w:hAnsi="Arial"/>
          <w:sz w:val="18"/>
          <w:szCs w:val="18"/>
          <w:color w:val="auto"/>
        </w:rPr>
      </w:pPr>
    </w:p>
    <w:p>
      <w:pPr>
        <w:ind w:left="1300" w:right="80" w:hanging="644"/>
        <w:spacing w:after="0" w:line="286" w:lineRule="auto"/>
        <w:tabs>
          <w:tab w:leader="none" w:pos="13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State Termination Notice specifies in detail the Material TOML Breach in respect of which the State Termination Notice is given and that the State requires TOML to remedy the breach within 60 days of receipt of the Notice, this Agreement will terminate, without penalty to the State, on the day falling 60 days after the date TOML receives the State Termination Notice, unless:</w:t>
      </w:r>
    </w:p>
    <w:p>
      <w:pPr>
        <w:spacing w:after="0" w:line="165" w:lineRule="exact"/>
        <w:rPr>
          <w:rFonts w:ascii="Arial" w:cs="Arial" w:eastAsia="Arial" w:hAnsi="Arial"/>
          <w:sz w:val="17"/>
          <w:szCs w:val="17"/>
          <w:color w:val="auto"/>
        </w:rPr>
      </w:pPr>
    </w:p>
    <w:p>
      <w:pPr>
        <w:ind w:left="1300" w:right="180" w:hanging="644"/>
        <w:spacing w:after="0" w:line="277" w:lineRule="auto"/>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case that the Material TOML Breach can be Remedied; TOML rectifies or overcomes the effect of the Material TOML Breach in that period, or can demonstrate that it has commenced and is diligently proceeding to remedy the breach;</w:t>
      </w:r>
    </w:p>
    <w:p>
      <w:pPr>
        <w:spacing w:after="0" w:line="170" w:lineRule="exact"/>
        <w:rPr>
          <w:rFonts w:ascii="Arial" w:cs="Arial" w:eastAsia="Arial" w:hAnsi="Arial"/>
          <w:sz w:val="18"/>
          <w:szCs w:val="18"/>
          <w:color w:val="auto"/>
        </w:rPr>
      </w:pPr>
    </w:p>
    <w:p>
      <w:pPr>
        <w:ind w:left="1300" w:right="80" w:hanging="644"/>
        <w:spacing w:after="0" w:line="263" w:lineRule="auto"/>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case that the Material TOML Breach cannot be Remedied (or cannot be Remedied within the time specified in clause 21.1(b)), TOML has adequately compensated the State for the demonstrable material damages incurred or to be incurred by the State as a result of the Material TOML Breach;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State withdraws in writing the State Termination Notice.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For avoidance of doubt this Agreement will not terminate if:</w:t>
      </w:r>
    </w:p>
    <w:p>
      <w:pPr>
        <w:spacing w:after="0" w:line="225" w:lineRule="exact"/>
        <w:rPr>
          <w:sz w:val="20"/>
          <w:szCs w:val="20"/>
          <w:color w:val="auto"/>
        </w:rPr>
      </w:pPr>
    </w:p>
    <w:p>
      <w:pPr>
        <w:ind w:left="1300" w:hanging="64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there are no demonstrable material damages to the State as a result of the Material TOML Breach;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if TOML compensates the State for the demonstrable material damages incurred by the State as a result of the Material TOML Breach.</w:t>
      </w:r>
    </w:p>
    <w:p>
      <w:pPr>
        <w:spacing w:after="0" w:line="248"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Termination of this Agreement under Section 21 shall not in any way prejudice or affect the State’s rights to Claim and recover damages under the indemnity provided in clause 8.1.</w:t>
      </w:r>
    </w:p>
    <w:p>
      <w:pPr>
        <w:spacing w:after="0" w:line="170" w:lineRule="exact"/>
        <w:rPr>
          <w:sz w:val="20"/>
          <w:szCs w:val="20"/>
          <w:color w:val="auto"/>
        </w:rPr>
      </w:pPr>
    </w:p>
    <w:p>
      <w:pPr>
        <w:ind w:left="660" w:right="160" w:hanging="647"/>
        <w:spacing w:after="0" w:line="301" w:lineRule="auto"/>
        <w:tabs>
          <w:tab w:leader="none" w:pos="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In the event that TOML disputes the reasons why the State Termination Notice has been issued by the State or there is a dispute as to the demonstrable damages incurred by the State as a result of the breach, or as to whether or not the grounds for termination have been Remedied by TOML, the matter will be referred as a dispute under Section 23. The termination under this Section 21 will not take effect until the later of the time period specified under this clause 0 or such time as the dispute resolution has been completed in accordance with Section 23.</w:t>
      </w:r>
    </w:p>
    <w:p>
      <w:pPr>
        <w:spacing w:after="0" w:line="157" w:lineRule="exact"/>
        <w:rPr>
          <w:sz w:val="20"/>
          <w:szCs w:val="20"/>
          <w:color w:val="auto"/>
        </w:rPr>
      </w:pPr>
    </w:p>
    <w:p>
      <w:pPr>
        <w:ind w:left="660" w:right="160" w:hanging="647"/>
        <w:spacing w:after="0" w:line="301" w:lineRule="auto"/>
        <w:tabs>
          <w:tab w:leader="none" w:pos="6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The State acknowledges and agrees that termination of this Agreement by the State under Section 21 shall not cause the grant of or otherwise create any entitlement, rights or title to the State in the TOML Rights which will at all times remain the property of the TOML Group notwithstanding the termination of this Agreement, and the TOML Group will remain entitled to effect an Assignment of the TOML Rights or to otherwise take steps to preserve the operation of and TOML’s entitlement to the TOML Rights without further notification to the State.</w:t>
      </w:r>
    </w:p>
    <w:p>
      <w:pPr>
        <w:spacing w:after="0" w:line="157" w:lineRule="exact"/>
        <w:rPr>
          <w:sz w:val="20"/>
          <w:szCs w:val="20"/>
          <w:color w:val="auto"/>
        </w:rPr>
      </w:pPr>
    </w:p>
    <w:p>
      <w:pPr>
        <w:ind w:left="720" w:right="40" w:hanging="647"/>
        <w:spacing w:after="0" w:line="342" w:lineRule="auto"/>
        <w:tabs>
          <w:tab w:leader="none" w:pos="7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Notwithstanding anything contained in this Agreement, if the State terminates this Agreement it must not revoke the Sponsorship Certificate until at least six months from the date of the State Termination Notice, and must, if requested by TOML, continue to do all things necessary to:</w:t>
      </w:r>
    </w:p>
    <w:p>
      <w:pPr>
        <w:spacing w:after="0" w:line="124" w:lineRule="exact"/>
        <w:rPr>
          <w:sz w:val="20"/>
          <w:szCs w:val="20"/>
          <w:color w:val="auto"/>
        </w:rPr>
      </w:pPr>
    </w:p>
    <w:p>
      <w:pPr>
        <w:ind w:left="1300" w:hanging="644"/>
        <w:spacing w:after="0"/>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maintain sponsorship during this period;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assist TOML Assign the TOML Rights.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This Section 21 survives termination or expiry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20</w:t>
      </w:r>
    </w:p>
    <w:p>
      <w:pPr>
        <w:sectPr>
          <w:pgSz w:w="11900" w:h="16838" w:orient="portrait"/>
          <w:cols w:equalWidth="0" w:num="1">
            <w:col w:w="11240"/>
          </w:cols>
          <w:pgMar w:left="320" w:top="901" w:right="339" w:bottom="1440" w:gutter="0" w:footer="0" w:header="0"/>
        </w:sectPr>
      </w:pPr>
    </w:p>
    <w:bookmarkStart w:id="308" w:name="page309"/>
    <w:bookmarkEnd w:id="308"/>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Material State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In the event of a Material State Breach, and:</w:t>
      </w:r>
    </w:p>
    <w:p>
      <w:pPr>
        <w:spacing w:after="0" w:line="225" w:lineRule="exact"/>
        <w:rPr>
          <w:sz w:val="20"/>
          <w:szCs w:val="20"/>
          <w:color w:val="auto"/>
        </w:rPr>
      </w:pPr>
    </w:p>
    <w:p>
      <w:pPr>
        <w:ind w:left="1300" w:right="160" w:hanging="644"/>
        <w:spacing w:after="0" w:line="277" w:lineRule="auto"/>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TOML has served a written Notice of its intention to terminate this Agreement under this clause 22.1 (“TOML Termination Notice”) on the State; and</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TOML Termination Notice specifies the Material State Breach in respect of which the TOML Termination Notice is given, and that TOML requires the State to remedy the breach within 60 days of receipt of the Notice,</w:t>
      </w:r>
    </w:p>
    <w:p>
      <w:pPr>
        <w:spacing w:after="0" w:line="166" w:lineRule="exact"/>
        <w:rPr>
          <w:sz w:val="20"/>
          <w:szCs w:val="20"/>
          <w:color w:val="auto"/>
        </w:rPr>
      </w:pPr>
    </w:p>
    <w:p>
      <w:pPr>
        <w:ind w:left="720" w:right="240" w:hanging="647"/>
        <w:spacing w:after="0" w:line="282" w:lineRule="auto"/>
        <w:tabs>
          <w:tab w:leader="none" w:pos="70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Material State Breach event will occur on the day falling 60 days after the date the State received the TOML Termination Notice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State Breach Event</w:t>
      </w:r>
      <w:r>
        <w:rPr>
          <w:rFonts w:ascii="Arial" w:cs="Arial" w:eastAsia="Arial" w:hAnsi="Arial"/>
          <w:sz w:val="18"/>
          <w:szCs w:val="18"/>
          <w:color w:val="auto"/>
        </w:rPr>
        <w:t>”), unless:</w:t>
      </w:r>
    </w:p>
    <w:p>
      <w:pPr>
        <w:spacing w:after="0" w:line="166" w:lineRule="exact"/>
        <w:rPr>
          <w:sz w:val="20"/>
          <w:szCs w:val="20"/>
          <w:color w:val="auto"/>
        </w:rPr>
      </w:pPr>
    </w:p>
    <w:p>
      <w:pPr>
        <w:ind w:left="1300" w:hanging="644"/>
        <w:spacing w:after="0"/>
        <w:tabs>
          <w:tab w:leader="none" w:pos="13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 the case that the Material State Breach can be remedied; the State Remedies the Material State Breach in that period;</w:t>
      </w:r>
    </w:p>
    <w:p>
      <w:pPr>
        <w:spacing w:after="0" w:line="225" w:lineRule="exact"/>
        <w:rPr>
          <w:rFonts w:ascii="Arial" w:cs="Arial" w:eastAsia="Arial" w:hAnsi="Arial"/>
          <w:sz w:val="18"/>
          <w:szCs w:val="18"/>
          <w:color w:val="auto"/>
        </w:rPr>
      </w:pPr>
    </w:p>
    <w:p>
      <w:pPr>
        <w:ind w:left="1300" w:right="320" w:hanging="644"/>
        <w:spacing w:after="0" w:line="263" w:lineRule="auto"/>
        <w:tabs>
          <w:tab w:leader="none" w:pos="13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 the case that the Material State Breach cannot be remedied (or cannot be Remedied within the time specified in clause 22.1(b)), the State adequately compensates TOML for the demonstrable damages incurred and/or to be incurred by it, its affiliates or its Subcontractors as a result of the Material State Breach;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TOML withdraws in writing the TOML Termination Notice.</w:t>
      </w:r>
    </w:p>
    <w:p>
      <w:pPr>
        <w:spacing w:after="0" w:line="22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Without prejudice to any other rights TOML may have, under this Agreement or at Law, if a Material State Breach Event occurs TOML may, at its discretion, terminate the Agreement.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Notwithstanding anything contained in this Agreement, in the case that the Material State Breach relates to an event contemplated in clause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19.4(c) or (d) a Material State Breach Event will be immediately triggered upon the occurrence of the event without the requirement for a written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be given by TOML.</w:t>
      </w:r>
    </w:p>
    <w:p>
      <w:pPr>
        <w:spacing w:after="0" w:line="211" w:lineRule="exact"/>
        <w:rPr>
          <w:sz w:val="20"/>
          <w:szCs w:val="20"/>
          <w:color w:val="auto"/>
        </w:rPr>
      </w:pPr>
    </w:p>
    <w:p>
      <w:pPr>
        <w:ind w:left="660" w:right="80" w:hanging="647"/>
        <w:spacing w:after="0" w:line="259" w:lineRule="auto"/>
        <w:tabs>
          <w:tab w:leader="none" w:pos="6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Without prejudice to any other rights available at law to TOML, the State acknowledges the TOML Rights will at all times remain the property of the TOML Group notwithstanding the termination of this Agreement under this clause 22 and the TOML Group will remain entitled to effect an Assignment of the TOML Rights or to otherwise take steps to preserve the operation of and its entitlement to the TOML Rights without further notification to the State.</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This Section 22 survives termination or expiry of this Agreement.</w:t>
      </w:r>
    </w:p>
    <w:p>
      <w:pPr>
        <w:spacing w:after="0" w:line="221" w:lineRule="exact"/>
        <w:rPr>
          <w:sz w:val="20"/>
          <w:szCs w:val="20"/>
          <w:color w:val="auto"/>
        </w:rPr>
      </w:pPr>
    </w:p>
    <w:p>
      <w:pPr>
        <w:ind w:left="660" w:hanging="652"/>
        <w:spacing w:after="0"/>
        <w:tabs>
          <w:tab w:leader="none" w:pos="6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right="80" w:hanging="647"/>
        <w:spacing w:after="0" w:line="259" w:lineRule="auto"/>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If a dispute between the State and TOML arises out of or in connection with the Agreement, either the State or TOML may give to the other disputing Party a Notice of dispute in writing adequately identifying the matters and the subject of the dispute together with detailed particulars of the dispute. Notwithstanding anything in this Section 23 the Parties may, by mutual agreement in writing, conduct dispute resolution in any other way or vary the following dispute resolution procedures as they see fit.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Within 20 days after service of a Notice of dispute, the Parties must meet at least once, to attempt to resolve the dispute.</w:t>
      </w:r>
    </w:p>
    <w:p>
      <w:pPr>
        <w:spacing w:after="0" w:line="225"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If, within 20 days after service of a Notice of dispute, the dispute is not resolved, the chief executive officer of TOML and a relevant State Minister must meet within 20 days of expiry of that 20 day period and use their best endeavours, acting in good faith, to resolve the dispute (in whole or in part). If the dispute is resolved at the meeting referred to in this clause then any such resolution will be reduced to writing and will be contractually binding on the Parties.</w:t>
      </w:r>
    </w:p>
    <w:p>
      <w:pPr>
        <w:spacing w:after="0" w:line="187" w:lineRule="exact"/>
        <w:rPr>
          <w:sz w:val="20"/>
          <w:szCs w:val="20"/>
          <w:color w:val="auto"/>
        </w:rPr>
      </w:pPr>
    </w:p>
    <w:p>
      <w:pPr>
        <w:ind w:left="660" w:right="200" w:hanging="647"/>
        <w:spacing w:after="0" w:line="257" w:lineRule="auto"/>
        <w:tabs>
          <w:tab w:leader="none" w:pos="6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Any dispute, controversy or claim arising out of or relating to this contract, or the breach, termination or validity thereof, that has not been resolved in accordance with Section 23.3 shall be settled by arbitration in accordance with the UNCITRAL Arbitration Rules as at present in force. The appointing authority shall be the International Chamber of Commerce acting in accordance with the rules of the ICC for this purpose. The number of arbitrators shall be one. The place of arbitration shall be Brisbane, Australia. The language to be used in the arbitral proceeding shall be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21</w:t>
      </w:r>
    </w:p>
    <w:p>
      <w:pPr>
        <w:sectPr>
          <w:pgSz w:w="11900" w:h="16838" w:orient="portrait"/>
          <w:cols w:equalWidth="0" w:num="1">
            <w:col w:w="11240"/>
          </w:cols>
          <w:pgMar w:left="320" w:top="901" w:right="339" w:bottom="1440" w:gutter="0" w:footer="0" w:header="0"/>
        </w:sectPr>
      </w:pPr>
    </w:p>
    <w:bookmarkStart w:id="309" w:name="page310"/>
    <w:bookmarkEnd w:id="309"/>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Notwithstanding anything in this Section 23:</w:t>
      </w:r>
    </w:p>
    <w:p>
      <w:pPr>
        <w:spacing w:after="0" w:line="225" w:lineRule="exact"/>
        <w:rPr>
          <w:sz w:val="20"/>
          <w:szCs w:val="20"/>
          <w:color w:val="auto"/>
        </w:rPr>
      </w:pPr>
    </w:p>
    <w:p>
      <w:pPr>
        <w:ind w:left="1300" w:right="720" w:hanging="644"/>
        <w:spacing w:after="0" w:line="277" w:lineRule="auto"/>
        <w:tabs>
          <w:tab w:leader="none" w:pos="13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nothing will prejudice the right of a Party to seek urgent injunctive, interrogatory or declaratory relief from a court of competent jurisdiction;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each Party must continue to perform its obligations under the Agreement.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Authorisation to Enter Agreement</w:t>
      </w:r>
    </w:p>
    <w:p>
      <w:pPr>
        <w:spacing w:after="0" w:line="256" w:lineRule="exact"/>
        <w:rPr>
          <w:rFonts w:ascii="Arial" w:cs="Arial" w:eastAsia="Arial" w:hAnsi="Arial"/>
          <w:sz w:val="18"/>
          <w:szCs w:val="18"/>
          <w:b w:val="1"/>
          <w:bCs w:val="1"/>
          <w:color w:val="auto"/>
        </w:rPr>
      </w:pPr>
    </w:p>
    <w:p>
      <w:pPr>
        <w:ind w:left="660" w:righ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State warrants that it has done everything under the Act necessary to authorize it to enter in to this Agreement, and the Agreement is enforceable in accordance with its terms.</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right="100" w:hanging="647"/>
        <w:spacing w:after="0" w:line="263" w:lineRule="auto"/>
        <w:tabs>
          <w:tab w:leader="none" w:pos="6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The Governing law and the jurisdiction shall be the State, provided however that with respect to any arbitration, the governing procedural laws of the situs of the arbitration shall govern the arbitration. For the avoidance of doubt, all matters arising hereunder shall be resolved pursuant to the Dispute Resolution procedures set forth in Section 23.</w:t>
      </w:r>
    </w:p>
    <w:p>
      <w:pPr>
        <w:spacing w:after="0" w:line="180"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right="260" w:hanging="647"/>
        <w:spacing w:after="0" w:line="263" w:lineRule="auto"/>
        <w:tabs>
          <w:tab w:leader="none" w:pos="64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To the extent that TOML’s obligations under this Agreement conflict with TOML’s ISA Obligations, the latter shall take precedence, and the Parties agree that TOML shall be relieved of its obligations under this Agreement to the extent and for the period that those obligations conflict with TOML’s ISA Obligations or other obligations at International Law.</w:t>
      </w:r>
    </w:p>
    <w:p>
      <w:pPr>
        <w:spacing w:after="0" w:line="184"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Any relief provided to TOML under this Section 26 does not invalidate the remaining provisions of this Agreement nor affect the validity of that provision at a future date if it ceases to cause TOML to be in breach of TOML’s ISA Obligations.</w:t>
      </w:r>
    </w:p>
    <w:p>
      <w:pPr>
        <w:spacing w:after="0" w:line="166"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Any notice, demand, consent or other communication (“</w:t>
      </w:r>
      <w:r>
        <w:rPr>
          <w:rFonts w:ascii="Arial" w:cs="Arial" w:eastAsia="Arial" w:hAnsi="Arial"/>
          <w:sz w:val="18"/>
          <w:szCs w:val="18"/>
          <w:b w:val="1"/>
          <w:bCs w:val="1"/>
          <w:color w:val="auto"/>
        </w:rPr>
        <w:t>Notice</w:t>
      </w:r>
      <w:r>
        <w:rPr>
          <w:rFonts w:ascii="Arial" w:cs="Arial" w:eastAsia="Arial" w:hAnsi="Arial"/>
          <w:sz w:val="18"/>
          <w:szCs w:val="18"/>
          <w:color w:val="auto"/>
        </w:rPr>
        <w:t>”) given or made under this Agreement:</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must be in writing and signed by the Party or a person duly authorised by the Party;</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must be addressed and delivered to the intended recipient at the address below or the address last Notified by the intended recipient to the sender after the date of this Agreement: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to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-1236345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Tonga Seabed Minerals Authority</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Ministry of Lands and Natural Resources</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P.O Box 5 Nuku’alofa</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Kingdom of Tonga</w:t>
      </w:r>
    </w:p>
    <w:p>
      <w:pPr>
        <w:spacing w:after="0" w:line="21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With an electronic copy to: tkula@naturalresources.gov.to to be delivered at the same time</w:t>
      </w:r>
    </w:p>
    <w:p>
      <w:pPr>
        <w:spacing w:after="0" w:line="225" w:lineRule="exact"/>
        <w:rPr>
          <w:sz w:val="20"/>
          <w:szCs w:val="20"/>
          <w:color w:val="auto"/>
        </w:rPr>
      </w:pPr>
    </w:p>
    <w:p>
      <w:pPr>
        <w:ind w:left="1920" w:right="6740" w:hanging="616"/>
        <w:spacing w:after="0" w:line="263" w:lineRule="auto"/>
        <w:tabs>
          <w:tab w:leader="none" w:pos="195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to Tonga Offshore Mining Limited, P.O Box 893 Nuku’alofa Kingdom of Tonga</w:t>
      </w:r>
    </w:p>
    <w:p>
      <w:pPr>
        <w:spacing w:after="0" w:line="18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With an electronic copy to: cadinia@metals.co to be delivered at the same time</w:t>
      </w:r>
    </w:p>
    <w:p>
      <w:pPr>
        <w:spacing w:after="0" w:line="225" w:lineRule="exact"/>
        <w:rPr>
          <w:sz w:val="20"/>
          <w:szCs w:val="20"/>
          <w:color w:val="auto"/>
        </w:rPr>
      </w:pPr>
    </w:p>
    <w:p>
      <w:pPr>
        <w:ind w:left="1300" w:right="60" w:hanging="644"/>
        <w:spacing w:after="0" w:line="259" w:lineRule="auto"/>
        <w:tabs>
          <w:tab w:leader="none" w:pos="13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will be taken to be duly given or made when left at the above address (or the address last Notified by the intended recipient to the sender) and signed for by the recipient. If delivery or receipt occurs on a day that is not a business day in the place to which the Notice is sent or is later than 4pm (local time) at that place, it will be taken to have been duly given or made at the commencement of business on the next business day in that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22</w:t>
      </w:r>
    </w:p>
    <w:p>
      <w:pPr>
        <w:sectPr>
          <w:pgSz w:w="11900" w:h="16838" w:orient="portrait"/>
          <w:cols w:equalWidth="0" w:num="1">
            <w:col w:w="11240"/>
          </w:cols>
          <w:pgMar w:left="320" w:top="901" w:right="339" w:bottom="1440" w:gutter="0" w:footer="0" w:header="0"/>
        </w:sectPr>
      </w:pPr>
    </w:p>
    <w:bookmarkStart w:id="310" w:name="page311"/>
    <w:bookmarkEnd w:id="310"/>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56" w:lineRule="exact"/>
        <w:rPr>
          <w:rFonts w:ascii="Arial" w:cs="Arial" w:eastAsia="Arial" w:hAnsi="Arial"/>
          <w:sz w:val="18"/>
          <w:szCs w:val="18"/>
          <w:b w:val="1"/>
          <w:bCs w:val="1"/>
          <w:color w:val="auto"/>
        </w:rPr>
      </w:pPr>
    </w:p>
    <w:p>
      <w:pPr>
        <w:ind w:left="660" w:right="2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This Agreement constitutes the entire Agreement between the Parties hereto in respect of the matters referred to herein and there are no representations, warranties, covenants or agreements, express or implied, collateral hereto other than as expressly set forth or referred to herein. Any prior arrangements, agreements, representations or undertakings are superseded by the terms contained in this Agreement.</w:t>
      </w:r>
    </w:p>
    <w:p>
      <w:pPr>
        <w:spacing w:after="0" w:line="144" w:lineRule="exact"/>
        <w:rPr>
          <w:rFonts w:ascii="Arial" w:cs="Arial" w:eastAsia="Arial" w:hAnsi="Arial"/>
          <w:sz w:val="18"/>
          <w:szCs w:val="18"/>
          <w:b w:val="1"/>
          <w:bCs w:val="1"/>
          <w:color w:val="auto"/>
        </w:rPr>
      </w:pPr>
    </w:p>
    <w:p>
      <w:pPr>
        <w:ind w:left="660" w:hanging="652"/>
        <w:spacing w:after="0"/>
        <w:tabs>
          <w:tab w:leader="none" w:pos="6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Subject to clause 29.4, either Party shall be excused from performance and shall not be in default in respect of any obligation hereunder to the extent that the failure to perform such obligation is due to an Event of Force Majeure.</w:t>
      </w:r>
    </w:p>
    <w:p>
      <w:pPr>
        <w:spacing w:after="0" w:line="170" w:lineRule="exact"/>
        <w:rPr>
          <w:sz w:val="20"/>
          <w:szCs w:val="20"/>
          <w:color w:val="auto"/>
        </w:rPr>
      </w:pPr>
    </w:p>
    <w:p>
      <w:pPr>
        <w:ind w:left="720" w:right="340" w:hanging="647"/>
        <w:spacing w:after="0" w:line="277" w:lineRule="auto"/>
        <w:tabs>
          <w:tab w:leader="none" w:pos="70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For the purpose of this Agreement, an “Event of Force Majeure” means any of the circumstance detailed in clause 29.3 that are not within the reasonable control of the Party or parties affected, but only if and to the extent that:</w:t>
      </w:r>
    </w:p>
    <w:p>
      <w:pPr>
        <w:spacing w:after="0" w:line="170" w:lineRule="exact"/>
        <w:rPr>
          <w:sz w:val="20"/>
          <w:szCs w:val="20"/>
          <w:color w:val="auto"/>
        </w:rPr>
      </w:pPr>
    </w:p>
    <w:p>
      <w:pPr>
        <w:ind w:left="1300" w:right="300" w:hanging="644"/>
        <w:spacing w:after="0" w:line="277" w:lineRule="auto"/>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such circumstance, despite the exercise of reasonable diligence, cannot be, or be caused to be, prevented, avoided or removed by such Party;</w:t>
      </w:r>
    </w:p>
    <w:p>
      <w:pPr>
        <w:spacing w:after="0" w:line="170"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such circumstance materially and adversely affects the ability of the Party to perform its obligations under this Agreement, and such Party has taken all reasonable precautions, due care and reasonable alternative measures in order to avoid the effect of such event on the Party’s ability to perform its obligations under this Agreement and to mitigate the consequences thereof; and</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affected Party notifies the other Party of the Event of Force Majeure as soon as reasonably possible.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29.3 The circumstances giving rise to an Event of Force Majeure include:</w:t>
      </w:r>
    </w:p>
    <w:p>
      <w:pPr>
        <w:spacing w:after="0" w:line="225" w:lineRule="exact"/>
        <w:rPr>
          <w:sz w:val="20"/>
          <w:szCs w:val="20"/>
          <w:color w:val="auto"/>
        </w:rPr>
      </w:pPr>
    </w:p>
    <w:p>
      <w:pPr>
        <w:ind w:left="980" w:hanging="324"/>
        <w:spacing w:after="0"/>
        <w:tabs>
          <w:tab w:leader="none" w:pos="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 act of God such as, but not limited to, fires, explosions, earthquakes, drought, tidal waves and floods;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war, hostilities (whether war be declared or not), invasion, act of foreign enemies, mobilisation, requisition, or embargo;</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rebellion, revolution, insurrection, or military or usurped power, or civil war;</w:t>
      </w:r>
    </w:p>
    <w:p>
      <w:pPr>
        <w:spacing w:after="0" w:line="225" w:lineRule="exact"/>
        <w:rPr>
          <w:rFonts w:ascii="Arial" w:cs="Arial" w:eastAsia="Arial" w:hAnsi="Arial"/>
          <w:sz w:val="18"/>
          <w:szCs w:val="18"/>
          <w:color w:val="auto"/>
        </w:rPr>
      </w:pPr>
    </w:p>
    <w:p>
      <w:pPr>
        <w:ind w:left="1300" w:right="100" w:hanging="644"/>
        <w:spacing w:after="0" w:line="308" w:lineRule="auto"/>
        <w:tabs>
          <w:tab w:leader="none" w:pos="130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contamination by radio-activity from any nuclear fuel, or from any nuclear waste from the combustion of nuclear fuel, radio-active toxic explosive, or other hazardous properties of any explosive nuclear assembly or nuclear component of such assembly;</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riot, commotion, strikes, go slows, lock outs or disorder, unless solely restricted to employees of the Parties;</w:t>
      </w:r>
    </w:p>
    <w:p>
      <w:pPr>
        <w:spacing w:after="0" w:line="225" w:lineRule="exact"/>
        <w:rPr>
          <w:rFonts w:ascii="Arial" w:cs="Arial" w:eastAsia="Arial" w:hAnsi="Arial"/>
          <w:sz w:val="18"/>
          <w:szCs w:val="18"/>
          <w:color w:val="auto"/>
        </w:rPr>
      </w:pPr>
    </w:p>
    <w:p>
      <w:pPr>
        <w:ind w:left="1300" w:right="820" w:hanging="644"/>
        <w:spacing w:after="0" w:line="277" w:lineRule="auto"/>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 change (beyond the control of the parties) to an international law that governs the parties and relates to seabed exploration or exploitation;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acts or threats of terrorism.</w:t>
      </w:r>
    </w:p>
    <w:p>
      <w:pPr>
        <w:spacing w:after="0" w:line="225"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8"/>
          <w:szCs w:val="18"/>
          <w:color w:val="auto"/>
        </w:rPr>
        <w:t>Notwithstanding anything contained in this Section 29, the parties will not be relieved of their rights and obligations contained in Section 11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23</w:t>
      </w:r>
    </w:p>
    <w:p>
      <w:pPr>
        <w:sectPr>
          <w:pgSz w:w="11900" w:h="16838" w:orient="portrait"/>
          <w:cols w:equalWidth="0" w:num="1">
            <w:col w:w="11240"/>
          </w:cols>
          <w:pgMar w:left="320" w:top="901" w:right="339" w:bottom="1440" w:gutter="0" w:footer="0" w:header="0"/>
        </w:sectPr>
      </w:pPr>
    </w:p>
    <w:bookmarkStart w:id="311" w:name="page312"/>
    <w:bookmarkEnd w:id="311"/>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Agreement may only be amended by mutual agreement in writing by the Parties.</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 of Provisions</w:t>
      </w:r>
    </w:p>
    <w:p>
      <w:pPr>
        <w:spacing w:after="0" w:line="256" w:lineRule="exact"/>
        <w:rPr>
          <w:rFonts w:ascii="Arial" w:cs="Arial" w:eastAsia="Arial" w:hAnsi="Arial"/>
          <w:sz w:val="18"/>
          <w:szCs w:val="18"/>
          <w:b w:val="1"/>
          <w:bCs w:val="1"/>
          <w:color w:val="auto"/>
        </w:rPr>
      </w:pPr>
    </w:p>
    <w:p>
      <w:pPr>
        <w:ind w:left="6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Any provision of this Agreement that is prohibited or unenforceable in any jurisdiction is ineffective as to that jurisdiction to the extent of the prohibition or unenforceability. That does not invalidate the remaining provisions of this Agreement nor affect the validity or enforceability of that provision in any other jurisdiction.</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256"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Parties must do anything necessary or desirable (including executing agreements and documents and performing such acts that lie within their power) to give full effect to this Agreement and the transactions contemplated by it.</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No Limitation</w:t>
      </w:r>
    </w:p>
    <w:p>
      <w:pPr>
        <w:spacing w:after="0" w:line="256" w:lineRule="exact"/>
        <w:rPr>
          <w:rFonts w:ascii="Arial" w:cs="Arial" w:eastAsia="Arial" w:hAnsi="Arial"/>
          <w:sz w:val="18"/>
          <w:szCs w:val="18"/>
          <w:b w:val="1"/>
          <w:bCs w:val="1"/>
          <w:color w:val="auto"/>
        </w:rPr>
      </w:pPr>
    </w:p>
    <w:p>
      <w:pPr>
        <w:ind w:left="6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Without limiting the generality of any other provision of this Agreement, any waiver or delay in the exercise by a Party of any rights under this Agreement will not relieve the other Party of any of their obligations under this Agreement.</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56" w:lineRule="exact"/>
        <w:rPr>
          <w:rFonts w:ascii="Arial" w:cs="Arial" w:eastAsia="Arial" w:hAnsi="Arial"/>
          <w:sz w:val="18"/>
          <w:szCs w:val="18"/>
          <w:b w:val="1"/>
          <w:bCs w:val="1"/>
          <w:color w:val="auto"/>
        </w:rPr>
      </w:pPr>
    </w:p>
    <w:p>
      <w:pPr>
        <w:ind w:left="1300" w:right="180" w:hanging="644"/>
        <w:spacing w:after="0" w:line="342" w:lineRule="auto"/>
        <w:tabs>
          <w:tab w:leader="none" w:pos="1300"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representations and warranties provided in this Agreement are continuing representations and warranties and will be repeated on each day while any obligation under this Agreement remains outstanding, with reference to the facts and circumstances then subsisting.</w:t>
      </w:r>
    </w:p>
    <w:p>
      <w:pPr>
        <w:spacing w:after="0" w:line="123" w:lineRule="exact"/>
        <w:rPr>
          <w:rFonts w:ascii="Arial" w:cs="Arial" w:eastAsia="Arial" w:hAnsi="Arial"/>
          <w:sz w:val="16"/>
          <w:szCs w:val="16"/>
          <w:color w:val="auto"/>
        </w:rPr>
      </w:pPr>
    </w:p>
    <w:p>
      <w:pPr>
        <w:ind w:left="1300" w:hanging="644"/>
        <w:spacing w:after="0" w:line="257" w:lineRule="auto"/>
        <w:tabs>
          <w:tab w:leader="none" w:pos="130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Each Party warrants to each other Party that at the date of this Agreement it has full power and lawful authority to execute and deliver this Agreement and to perform its obligations under this Agreement. Except as expressly provided in this Agreement, no representation, inducement or warranty was, prior to the execution of this Agreement, given or made by one of the Parties hereto with the intent of inducing the other Party to enter into this Agreement, and any representations, inducements or warranties that may have been so given are hereby denied and negated.</w:t>
      </w:r>
    </w:p>
    <w:p>
      <w:pPr>
        <w:spacing w:after="0" w:line="187" w:lineRule="exact"/>
        <w:rPr>
          <w:rFonts w:ascii="Arial" w:cs="Arial" w:eastAsia="Arial" w:hAnsi="Arial"/>
          <w:sz w:val="18"/>
          <w:szCs w:val="18"/>
          <w:color w:val="auto"/>
        </w:rPr>
      </w:pPr>
    </w:p>
    <w:p>
      <w:pPr>
        <w:ind w:left="1300" w:right="460" w:hanging="644"/>
        <w:spacing w:after="0" w:line="263" w:lineRule="auto"/>
        <w:tabs>
          <w:tab w:leader="none" w:pos="130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State further represents and warrants that the execution, delivery and performance of this Agreement has received all necessary governmental approvals and authorizations and constitutes the legal, valid and binding obligation of the State and is enforceable in accordance with its terms, and the State cannot claim sovereign immunity.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Each Party represents and warrants that they are in compliance with applicable anti-bribery and anti-corruption legislation.</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Non Reliance</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Parties warrant that they:</w:t>
      </w:r>
    </w:p>
    <w:p>
      <w:pPr>
        <w:spacing w:after="0" w:line="225" w:lineRule="exact"/>
        <w:rPr>
          <w:rFonts w:ascii="Arial" w:cs="Arial" w:eastAsia="Arial" w:hAnsi="Arial"/>
          <w:sz w:val="18"/>
          <w:szCs w:val="18"/>
          <w:b w:val="1"/>
          <w:bCs w:val="1"/>
          <w:color w:val="auto"/>
        </w:rPr>
      </w:pPr>
    </w:p>
    <w:p>
      <w:pPr>
        <w:ind w:left="1300" w:right="80" w:hanging="644"/>
        <w:spacing w:after="0" w:line="259" w:lineRule="auto"/>
        <w:tabs>
          <w:tab w:leader="none" w:pos="130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did not in any way rely upon any information, representation, arrangement, understanding, statement or documentation, made by or provided to the Party from any other Party or anyone on behalf of the other Party for the purposes of entering into this Agreement except to the extent that any such information, data, representation, arrangement, understanding, statements or document is expressly set out or referred to in this Agreement; and</w:t>
      </w:r>
    </w:p>
    <w:p>
      <w:pPr>
        <w:spacing w:after="0" w:line="186" w:lineRule="exact"/>
        <w:rPr>
          <w:rFonts w:ascii="Arial" w:cs="Arial" w:eastAsia="Arial" w:hAnsi="Arial"/>
          <w:sz w:val="18"/>
          <w:szCs w:val="18"/>
          <w:color w:val="auto"/>
        </w:rPr>
      </w:pPr>
    </w:p>
    <w:p>
      <w:pPr>
        <w:ind w:left="1300" w:right="360" w:hanging="644"/>
        <w:spacing w:after="0" w:line="263" w:lineRule="auto"/>
        <w:tabs>
          <w:tab w:leader="none" w:pos="130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enter into this Agreement based on their own investigations, interpretations, deductions, information and determinations, and acknowledge that they are aware that the other Parties have entered into this Agreement relying upon the warranties contained in this Section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-6697345</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-6131560</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-5291455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-4588510</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-3885565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-1536700</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24</w:t>
      </w:r>
    </w:p>
    <w:p>
      <w:pPr>
        <w:sectPr>
          <w:pgSz w:w="11900" w:h="16838" w:orient="portrait"/>
          <w:cols w:equalWidth="0" w:num="1">
            <w:col w:w="11240"/>
          </w:cols>
          <w:pgMar w:left="320" w:top="901" w:right="339" w:bottom="1440" w:gutter="0" w:footer="0" w:header="0"/>
        </w:sectPr>
      </w:pPr>
    </w:p>
    <w:bookmarkStart w:id="312" w:name="page313"/>
    <w:bookmarkEnd w:id="312"/>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56" w:lineRule="exact"/>
        <w:rPr>
          <w:rFonts w:ascii="Arial" w:cs="Arial" w:eastAsia="Arial" w:hAnsi="Arial"/>
          <w:sz w:val="18"/>
          <w:szCs w:val="18"/>
          <w:b w:val="1"/>
          <w:bCs w:val="1"/>
          <w:color w:val="auto"/>
        </w:rPr>
      </w:pPr>
    </w:p>
    <w:p>
      <w:pPr>
        <w:ind w:left="6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any number of counterparts and by different parties in separate counterparts. Each counterpart when so executed is deemed an original but all of which together constitute one and the same instrument.</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rules of interpretation apply unless the context requires otherwise.</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a corresponding meaning.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 reference to dollars and $ is to United States currency unless otherwise stated.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All references to time and to dates are to Tongan times and 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69"/>
        </w:numPr>
        <w:rPr>
          <w:rFonts w:ascii="Arial" w:cs="Arial" w:eastAsia="Arial" w:hAnsi="Arial"/>
          <w:sz w:val="16"/>
          <w:szCs w:val="16"/>
          <w:color w:val="auto"/>
        </w:rPr>
      </w:pPr>
      <w:r>
        <w:rPr>
          <w:rFonts w:ascii="Arial" w:cs="Arial" w:eastAsia="Arial" w:hAnsi="Arial"/>
          <w:sz w:val="16"/>
          <w:szCs w:val="16"/>
          <w:color w:val="auto"/>
        </w:rPr>
        <w:t>No rule of construction is to apply to the disadvantage of a Party on the basis that that Party drafted the whole or any part of this deed.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Headings do not affect the interpretation of this Agreement.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rFonts w:ascii="Arial" w:cs="Arial" w:eastAsia="Arial" w:hAnsi="Arial"/>
          <w:sz w:val="18"/>
          <w:szCs w:val="18"/>
          <w:b w:val="1"/>
          <w:bCs w:val="1"/>
          <w:color w:val="auto"/>
        </w:rPr>
      </w:pPr>
    </w:p>
    <w:p>
      <w:pPr>
        <w:ind w:left="660" w:right="5560"/>
        <w:spacing w:after="0" w:line="563" w:lineRule="auto"/>
        <w:rPr>
          <w:rFonts w:ascii="Arial" w:cs="Arial" w:eastAsia="Arial" w:hAnsi="Arial"/>
          <w:sz w:val="18"/>
          <w:szCs w:val="18"/>
          <w:b w:val="1"/>
          <w:bCs w:val="1"/>
          <w:color w:val="auto"/>
        </w:rPr>
      </w:pPr>
      <w:r>
        <w:rPr>
          <w:rFonts w:ascii="Arial" w:cs="Arial" w:eastAsia="Arial" w:hAnsi="Arial"/>
          <w:sz w:val="16"/>
          <w:szCs w:val="16"/>
          <w:color w:val="auto"/>
        </w:rPr>
        <w:t xml:space="preserve">The following definitions apply unless the context requires otherwise. </w:t>
      </w:r>
      <w:r>
        <w:rPr>
          <w:rFonts w:ascii="Arial" w:cs="Arial" w:eastAsia="Arial" w:hAnsi="Arial"/>
          <w:sz w:val="16"/>
          <w:szCs w:val="16"/>
          <w:b w:val="1"/>
          <w:bCs w:val="1"/>
          <w:i w:val="1"/>
          <w:iCs w:val="1"/>
          <w:color w:val="auto"/>
        </w:rPr>
        <w:t xml:space="preserve">Act </w:t>
      </w:r>
      <w:r>
        <w:rPr>
          <w:rFonts w:ascii="Arial" w:cs="Arial" w:eastAsia="Arial" w:hAnsi="Arial"/>
          <w:sz w:val="16"/>
          <w:szCs w:val="16"/>
          <w:color w:val="auto"/>
        </w:rPr>
        <w:t>means the Seabed Minerals Act 2014 of the Kingdom of Tonga.</w:t>
      </w:r>
    </w:p>
    <w:p>
      <w:pPr>
        <w:ind w:left="660" w:right="80"/>
        <w:spacing w:after="0" w:line="263"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Activities </w:t>
      </w:r>
      <w:r>
        <w:rPr>
          <w:rFonts w:ascii="Arial" w:cs="Arial" w:eastAsia="Arial" w:hAnsi="Arial"/>
          <w:sz w:val="18"/>
          <w:szCs w:val="18"/>
          <w:color w:val="auto"/>
        </w:rPr>
        <w:t>means any and all activities that are carried out in, on or over the International Seabed Area by TOML and/or a Subcontractor for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State has a responsibility under its Sponsorship Obligations and for which the State could be held liable in accordance with UNCLOS due to its Sponsorship of TOML.</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Agreement </w:t>
      </w:r>
      <w:r>
        <w:rPr>
          <w:rFonts w:ascii="Arial" w:cs="Arial" w:eastAsia="Arial" w:hAnsi="Arial"/>
          <w:sz w:val="18"/>
          <w:szCs w:val="18"/>
          <w:color w:val="auto"/>
        </w:rPr>
        <w:t>means this agreement.</w:t>
      </w:r>
    </w:p>
    <w:p>
      <w:pPr>
        <w:spacing w:after="0" w:line="225" w:lineRule="exact"/>
        <w:rPr>
          <w:rFonts w:ascii="Arial" w:cs="Arial" w:eastAsia="Arial" w:hAnsi="Arial"/>
          <w:sz w:val="18"/>
          <w:szCs w:val="18"/>
          <w:b w:val="1"/>
          <w:bCs w:val="1"/>
          <w:color w:val="auto"/>
        </w:rPr>
      </w:pPr>
    </w:p>
    <w:p>
      <w:pPr>
        <w:ind w:left="660" w:right="48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Assign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Assignment </w:t>
      </w:r>
      <w:r>
        <w:rPr>
          <w:rFonts w:ascii="Arial" w:cs="Arial" w:eastAsia="Arial" w:hAnsi="Arial"/>
          <w:sz w:val="18"/>
          <w:szCs w:val="18"/>
          <w:color w:val="auto"/>
        </w:rPr>
        <w:t>means the assignment or transfer of the TOML Rights to an entity incorporated or existing outside of the Kingdom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Tonga, including without limitation in conjunction with a change of sponsorship to a new country.</w:t>
      </w:r>
    </w:p>
    <w:p>
      <w:pPr>
        <w:spacing w:after="0" w:line="170"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Business </w:t>
      </w:r>
      <w:r>
        <w:rPr>
          <w:rFonts w:ascii="Arial" w:cs="Arial" w:eastAsia="Arial" w:hAnsi="Arial"/>
          <w:sz w:val="18"/>
          <w:szCs w:val="18"/>
          <w:color w:val="auto"/>
        </w:rPr>
        <w:t>means each and any business being conducted by the TOML Group arising as a result of or connected with the Exploration,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Exploitation, the Activities and/or the Tenements.</w:t>
      </w:r>
    </w:p>
    <w:p>
      <w:pPr>
        <w:spacing w:after="0" w:line="170" w:lineRule="exact"/>
        <w:rPr>
          <w:rFonts w:ascii="Arial" w:cs="Arial" w:eastAsia="Arial" w:hAnsi="Arial"/>
          <w:sz w:val="18"/>
          <w:szCs w:val="18"/>
          <w:b w:val="1"/>
          <w:bCs w:val="1"/>
          <w:color w:val="auto"/>
        </w:rPr>
      </w:pPr>
    </w:p>
    <w:p>
      <w:pPr>
        <w:ind w:left="660" w:right="4720"/>
        <w:spacing w:after="0" w:line="563"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Claim </w:t>
      </w:r>
      <w:r>
        <w:rPr>
          <w:rFonts w:ascii="Arial" w:cs="Arial" w:eastAsia="Arial" w:hAnsi="Arial"/>
          <w:sz w:val="16"/>
          <w:szCs w:val="16"/>
          <w:color w:val="auto"/>
        </w:rPr>
        <w:t>includes any action, claim, demand or proceeding arising under UNCLOS.</w:t>
      </w:r>
      <w:r>
        <w:rPr>
          <w:rFonts w:ascii="Arial" w:cs="Arial" w:eastAsia="Arial" w:hAnsi="Arial"/>
          <w:sz w:val="16"/>
          <w:szCs w:val="16"/>
          <w:b w:val="1"/>
          <w:bCs w:val="1"/>
          <w:i w:val="1"/>
          <w:iCs w:val="1"/>
          <w:color w:val="auto"/>
        </w:rPr>
        <w:t xml:space="preserve"> Commencement Date </w:t>
      </w:r>
      <w:r>
        <w:rPr>
          <w:rFonts w:ascii="Arial" w:cs="Arial" w:eastAsia="Arial" w:hAnsi="Arial"/>
          <w:sz w:val="16"/>
          <w:szCs w:val="16"/>
          <w:color w:val="auto"/>
        </w:rPr>
        <w:t>means the date this Agreement is executed by the Parties.</w:t>
      </w:r>
    </w:p>
    <w:p>
      <w:pPr>
        <w:ind w:left="660" w:right="2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Confidential Information </w:t>
      </w:r>
      <w:r>
        <w:rPr>
          <w:rFonts w:ascii="Arial" w:cs="Arial" w:eastAsia="Arial" w:hAnsi="Arial"/>
          <w:sz w:val="18"/>
          <w:szCs w:val="18"/>
          <w:color w:val="auto"/>
        </w:rPr>
        <w:t>means all information that is not in the public domain that is disclosed to the State by the TOML Group including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limited to, information relating to the Activities, technology, processes and know-how, the location and prospective locations of Polymetallic Nodules, confidential information that is restricted or proprietary under any contract or agreement with a third party, business details, customers or suppliers, all technical and research data relating to the Activities, financial information and business relationships including the names of any Subcontractors, and shall include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-6231890</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-5528945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-3591560</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25</w:t>
      </w:r>
    </w:p>
    <w:p>
      <w:pPr>
        <w:sectPr>
          <w:pgSz w:w="11900" w:h="16838" w:orient="portrait"/>
          <w:cols w:equalWidth="0" w:num="1">
            <w:col w:w="11240"/>
          </w:cols>
          <w:pgMar w:left="320" w:top="901" w:right="339" w:bottom="1440" w:gutter="0" w:footer="0" w:header="0"/>
        </w:sectPr>
      </w:pPr>
    </w:p>
    <w:bookmarkStart w:id="313" w:name="page314"/>
    <w:bookmarkEnd w:id="313"/>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Corporate Tax </w:t>
      </w:r>
      <w:r>
        <w:rPr>
          <w:rFonts w:ascii="Arial" w:cs="Arial" w:eastAsia="Arial" w:hAnsi="Arial"/>
          <w:sz w:val="16"/>
          <w:szCs w:val="16"/>
          <w:color w:val="auto"/>
        </w:rPr>
        <w:t>means any corporate income tax levied by the State on corporations incorporated in Tonga or that engage in business in Tonga.</w:t>
      </w:r>
    </w:p>
    <w:p>
      <w:pPr>
        <w:spacing w:after="0" w:line="248" w:lineRule="exact"/>
        <w:rPr>
          <w:sz w:val="20"/>
          <w:szCs w:val="20"/>
          <w:color w:val="auto"/>
        </w:rPr>
      </w:pPr>
    </w:p>
    <w:p>
      <w:pPr>
        <w:ind w:left="660" w:right="780"/>
        <w:spacing w:after="0" w:line="277" w:lineRule="auto"/>
        <w:rPr>
          <w:sz w:val="20"/>
          <w:szCs w:val="20"/>
          <w:color w:val="auto"/>
        </w:rPr>
      </w:pPr>
      <w:r>
        <w:rPr>
          <w:rFonts w:ascii="Arial" w:cs="Arial" w:eastAsia="Arial" w:hAnsi="Arial"/>
          <w:sz w:val="18"/>
          <w:szCs w:val="18"/>
          <w:b w:val="1"/>
          <w:bCs w:val="1"/>
          <w:i w:val="1"/>
          <w:iCs w:val="1"/>
          <w:color w:val="auto"/>
        </w:rPr>
        <w:t xml:space="preserve">Companies Act </w:t>
      </w:r>
      <w:r>
        <w:rPr>
          <w:rFonts w:ascii="Arial" w:cs="Arial" w:eastAsia="Arial" w:hAnsi="Arial"/>
          <w:sz w:val="18"/>
          <w:szCs w:val="18"/>
          <w:color w:val="auto"/>
        </w:rPr>
        <w:t>means the Companies Act 1995 of the Kingdom of Tonga as in force from time to time, including its amendment and/or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succeeding acts.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CRP </w:t>
      </w:r>
      <w:r>
        <w:rPr>
          <w:rFonts w:ascii="Arial" w:cs="Arial" w:eastAsia="Arial" w:hAnsi="Arial"/>
          <w:sz w:val="18"/>
          <w:szCs w:val="18"/>
          <w:color w:val="auto"/>
        </w:rPr>
        <w:t>see clause 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Discriminatory Change in Tongan Law </w:t>
      </w:r>
      <w:r>
        <w:rPr>
          <w:rFonts w:ascii="Arial" w:cs="Arial" w:eastAsia="Arial" w:hAnsi="Arial"/>
          <w:sz w:val="18"/>
          <w:szCs w:val="18"/>
          <w:color w:val="auto"/>
        </w:rPr>
        <w:t>means a change in Tongan Law that is categorically enacted for the sole purposes to:</w:t>
      </w:r>
    </w:p>
    <w:p>
      <w:pPr>
        <w:spacing w:after="0" w:line="225" w:lineRule="exact"/>
        <w:rPr>
          <w:sz w:val="20"/>
          <w:szCs w:val="20"/>
          <w:color w:val="auto"/>
        </w:rPr>
      </w:pPr>
    </w:p>
    <w:p>
      <w:pPr>
        <w:ind w:left="1300" w:hanging="644"/>
        <w:spacing w:after="0"/>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materially change the commercial intent of this Agreement or the Sponsorship arrangement between TOML and the State; or</w:t>
      </w:r>
    </w:p>
    <w:p>
      <w:pPr>
        <w:spacing w:after="0" w:line="225" w:lineRule="exact"/>
        <w:rPr>
          <w:rFonts w:ascii="Arial" w:cs="Arial" w:eastAsia="Arial" w:hAnsi="Arial"/>
          <w:sz w:val="18"/>
          <w:szCs w:val="18"/>
          <w:color w:val="auto"/>
        </w:rPr>
      </w:pPr>
    </w:p>
    <w:p>
      <w:pPr>
        <w:jc w:val="both"/>
        <w:ind w:left="1300" w:right="60" w:hanging="644"/>
        <w:spacing w:after="0" w:line="263" w:lineRule="auto"/>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materially increase the total quantum of benefits required to be given by the TOML Group (whether economic or intangible) to the State in such a way as to materially change the intent contemplated under this Agreement; but does not include a change in Tongan Law that is required by international law for the State to fulfil its Sponsorship Obligations.</w:t>
      </w:r>
    </w:p>
    <w:p>
      <w:pPr>
        <w:spacing w:after="0" w:line="184" w:lineRule="exact"/>
        <w:rPr>
          <w:sz w:val="20"/>
          <w:szCs w:val="20"/>
          <w:color w:val="auto"/>
        </w:rPr>
      </w:pPr>
    </w:p>
    <w:p>
      <w:pPr>
        <w:ind w:left="660" w:right="400"/>
        <w:spacing w:after="0" w:line="263" w:lineRule="auto"/>
        <w:rPr>
          <w:sz w:val="20"/>
          <w:szCs w:val="20"/>
          <w:color w:val="auto"/>
        </w:rPr>
      </w:pPr>
      <w:r>
        <w:rPr>
          <w:rFonts w:ascii="Arial" w:cs="Arial" w:eastAsia="Arial" w:hAnsi="Arial"/>
          <w:sz w:val="18"/>
          <w:szCs w:val="18"/>
          <w:b w:val="1"/>
          <w:bCs w:val="1"/>
          <w:i w:val="1"/>
          <w:iCs w:val="1"/>
          <w:color w:val="auto"/>
        </w:rPr>
        <w:t xml:space="preserve">Emergency </w:t>
      </w:r>
      <w:r>
        <w:rPr>
          <w:rFonts w:ascii="Arial" w:cs="Arial" w:eastAsia="Arial" w:hAnsi="Arial"/>
          <w:sz w:val="18"/>
          <w:szCs w:val="18"/>
          <w:color w:val="auto"/>
        </w:rPr>
        <w:t>means a circumstance where the Activities have caused or pose an immediate and probable threat of causing Serious Harm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Marine Environment, a Pollution Incident or a Safety Incident, as well as any other event or circumstance connected to or arising from the Activities that is classified by the ISA as an emergency.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Entity </w:t>
      </w:r>
      <w:r>
        <w:rPr>
          <w:rFonts w:ascii="Arial" w:cs="Arial" w:eastAsia="Arial" w:hAnsi="Arial"/>
          <w:sz w:val="18"/>
          <w:szCs w:val="18"/>
          <w:color w:val="auto"/>
        </w:rPr>
        <w:t>includes a body corporate, a partnership, joint venture or a trust.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ESPMP, </w:t>
      </w:r>
      <w:r>
        <w:rPr>
          <w:rFonts w:ascii="Arial" w:cs="Arial" w:eastAsia="Arial" w:hAnsi="Arial"/>
          <w:sz w:val="18"/>
          <w:szCs w:val="18"/>
          <w:color w:val="auto"/>
        </w:rPr>
        <w:t>see clause 14.1.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ESPMP Officer, </w:t>
      </w:r>
      <w:r>
        <w:rPr>
          <w:rFonts w:ascii="Arial" w:cs="Arial" w:eastAsia="Arial" w:hAnsi="Arial"/>
          <w:sz w:val="18"/>
          <w:szCs w:val="18"/>
          <w:color w:val="auto"/>
        </w:rPr>
        <w:t>see clause 14.2.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Exploitation </w:t>
      </w:r>
      <w:r>
        <w:rPr>
          <w:rFonts w:ascii="Arial" w:cs="Arial" w:eastAsia="Arial" w:hAnsi="Arial"/>
          <w:sz w:val="17"/>
          <w:szCs w:val="17"/>
          <w:color w:val="auto"/>
        </w:rPr>
        <w:t>means the exploitation of Polymetallic Nodules in the Tenement Area for commercial purposes, and includes without limitation:</w:t>
      </w:r>
    </w:p>
    <w:p>
      <w:pPr>
        <w:spacing w:after="0" w:line="237" w:lineRule="exact"/>
        <w:rPr>
          <w:sz w:val="20"/>
          <w:szCs w:val="20"/>
          <w:color w:val="auto"/>
        </w:rPr>
      </w:pPr>
    </w:p>
    <w:p>
      <w:pPr>
        <w:ind w:left="1300" w:right="220" w:hanging="644"/>
        <w:spacing w:after="0" w:line="277" w:lineRule="auto"/>
        <w:tabs>
          <w:tab w:leader="none" w:pos="13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extraction, lifting, dewatering, treatment, processing and transportation in the Tenement Area of Polymetallic Nodules and all other work, operations and activities required thereof;</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transporting, constructing, installing, testing, commissioning, using, operating, maintaining and repairing equipment and Installations;</w:t>
      </w:r>
    </w:p>
    <w:p>
      <w:pPr>
        <w:spacing w:after="0" w:line="248"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loading and unloading of Polymetallic Nodules to and from any treatment, processing facility and/or any transport vessel in the Tenement Area; and</w:t>
      </w:r>
    </w:p>
    <w:p>
      <w:pPr>
        <w:spacing w:after="0" w:line="170" w:lineRule="exact"/>
        <w:rPr>
          <w:sz w:val="20"/>
          <w:szCs w:val="20"/>
          <w:color w:val="auto"/>
        </w:rPr>
      </w:pPr>
    </w:p>
    <w:p>
      <w:pPr>
        <w:ind w:left="1300" w:right="440" w:hanging="644"/>
        <w:spacing w:after="0" w:line="277" w:lineRule="auto"/>
        <w:tabs>
          <w:tab w:leader="none" w:pos="13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other activity in the International Seabed Area deemed necessary by TOML or a Subcontractor to carry out the exploitation that would not breach any of TOML’s ISA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26</w:t>
      </w:r>
    </w:p>
    <w:p>
      <w:pPr>
        <w:sectPr>
          <w:pgSz w:w="11900" w:h="16838" w:orient="portrait"/>
          <w:cols w:equalWidth="0" w:num="1">
            <w:col w:w="11240"/>
          </w:cols>
          <w:pgMar w:left="320" w:top="901" w:right="339" w:bottom="1440" w:gutter="0" w:footer="0" w:header="0"/>
        </w:sectPr>
      </w:pPr>
    </w:p>
    <w:bookmarkStart w:id="314" w:name="page315"/>
    <w:bookmarkEnd w:id="314"/>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b w:val="1"/>
          <w:bCs w:val="1"/>
          <w:i w:val="1"/>
          <w:iCs w:val="1"/>
          <w:color w:val="auto"/>
        </w:rPr>
        <w:t xml:space="preserve">Exploitation Contract </w:t>
      </w:r>
      <w:r>
        <w:rPr>
          <w:rFonts w:ascii="Arial" w:cs="Arial" w:eastAsia="Arial" w:hAnsi="Arial"/>
          <w:sz w:val="18"/>
          <w:szCs w:val="18"/>
          <w:color w:val="auto"/>
        </w:rPr>
        <w:t>means any contract or licence permitting TOML to Exploit Polymetallic Nodules in the International Seabed Area entered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between TOML and the ISA or granted by the ISA to TOML.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Exploration </w:t>
      </w:r>
      <w:r>
        <w:rPr>
          <w:rFonts w:ascii="Arial" w:cs="Arial" w:eastAsia="Arial" w:hAnsi="Arial"/>
          <w:sz w:val="18"/>
          <w:szCs w:val="18"/>
          <w:color w:val="auto"/>
        </w:rPr>
        <w:t>means the exploration for Polymetallic Nodules in the Tenement Area and includes without limitation:</w:t>
      </w:r>
    </w:p>
    <w:p>
      <w:pPr>
        <w:spacing w:after="0" w:line="225" w:lineRule="exact"/>
        <w:rPr>
          <w:sz w:val="20"/>
          <w:szCs w:val="20"/>
          <w:color w:val="auto"/>
        </w:rPr>
      </w:pPr>
    </w:p>
    <w:p>
      <w:pPr>
        <w:ind w:left="1300" w:hanging="644"/>
        <w:spacing w:after="0"/>
        <w:tabs>
          <w:tab w:leader="none" w:pos="13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sonar, oceanographic, geophysical and geological surveying, sampling and dredging;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testing of collecting systems and equipment and recovery of bulk samples; and</w:t>
      </w:r>
    </w:p>
    <w:p>
      <w:pPr>
        <w:spacing w:after="0" w:line="225" w:lineRule="exact"/>
        <w:rPr>
          <w:rFonts w:ascii="Arial" w:cs="Arial" w:eastAsia="Arial" w:hAnsi="Arial"/>
          <w:sz w:val="18"/>
          <w:szCs w:val="18"/>
          <w:color w:val="auto"/>
        </w:rPr>
      </w:pPr>
    </w:p>
    <w:p>
      <w:pPr>
        <w:ind w:left="1300" w:right="520" w:hanging="644"/>
        <w:spacing w:after="0" w:line="286" w:lineRule="auto"/>
        <w:tabs>
          <w:tab w:leader="none" w:pos="130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environmental and technical studies, in the International Seabed Area, as well as any other activity or operation in the International Seabed Area deemed necessary by TOML or a Subcontractor to carry out the exploration that would not breach TOML’s ISA Obligations, and includes prospecting carried out by TOML pursuant to the ISA’s rules and regulations.</w:t>
      </w:r>
    </w:p>
    <w:p>
      <w:pPr>
        <w:spacing w:after="0" w:line="165" w:lineRule="exact"/>
        <w:rPr>
          <w:sz w:val="20"/>
          <w:szCs w:val="20"/>
          <w:color w:val="auto"/>
        </w:rPr>
      </w:pPr>
    </w:p>
    <w:p>
      <w:pPr>
        <w:ind w:left="660" w:right="440"/>
        <w:spacing w:after="0" w:line="308" w:lineRule="auto"/>
        <w:rPr>
          <w:sz w:val="20"/>
          <w:szCs w:val="20"/>
          <w:color w:val="auto"/>
        </w:rPr>
      </w:pPr>
      <w:r>
        <w:rPr>
          <w:rFonts w:ascii="Arial" w:cs="Arial" w:eastAsia="Arial" w:hAnsi="Arial"/>
          <w:sz w:val="17"/>
          <w:szCs w:val="17"/>
          <w:b w:val="1"/>
          <w:bCs w:val="1"/>
          <w:i w:val="1"/>
          <w:iCs w:val="1"/>
          <w:color w:val="auto"/>
        </w:rPr>
        <w:t xml:space="preserve">Exploration Contract </w:t>
      </w:r>
      <w:r>
        <w:rPr>
          <w:rFonts w:ascii="Arial" w:cs="Arial" w:eastAsia="Arial" w:hAnsi="Arial"/>
          <w:sz w:val="17"/>
          <w:szCs w:val="17"/>
          <w:color w:val="auto"/>
        </w:rPr>
        <w:t>means any contract or licence permitting TOML to Explore for Polymetallic Nodules in the International Seabed Area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entered into between TOML and the ISA or granted by the ISA to TOML, and includes the ISA Exploration Contract.</w:t>
      </w:r>
    </w:p>
    <w:p>
      <w:pPr>
        <w:spacing w:after="0" w:line="146"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b w:val="1"/>
          <w:bCs w:val="1"/>
          <w:i w:val="1"/>
          <w:iCs w:val="1"/>
          <w:color w:val="auto"/>
        </w:rPr>
        <w:t xml:space="preserve">Expropriate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Expropriation </w:t>
      </w:r>
      <w:r>
        <w:rPr>
          <w:rFonts w:ascii="Arial" w:cs="Arial" w:eastAsia="Arial" w:hAnsi="Arial"/>
          <w:sz w:val="18"/>
          <w:szCs w:val="18"/>
          <w:color w:val="auto"/>
        </w:rPr>
        <w:t>means to dispossess of ownership, to deprive of property, to deprive of use of property, to deprive of property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public use, to make an Entity or assets (tangible and intangible) the property of the State (in whole or in part), or a measure or measures having an equivalent effect (directly or indirectly), and includes without limitation:</w:t>
      </w:r>
    </w:p>
    <w:p>
      <w:pPr>
        <w:spacing w:after="0" w:line="184" w:lineRule="exact"/>
        <w:rPr>
          <w:sz w:val="20"/>
          <w:szCs w:val="20"/>
          <w:color w:val="auto"/>
        </w:rPr>
      </w:pPr>
    </w:p>
    <w:p>
      <w:pPr>
        <w:ind w:left="1300" w:right="180" w:hanging="644"/>
        <w:spacing w:after="0" w:line="277" w:lineRule="auto"/>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transfer of title, physical seizure or an executive or legislative act for the purpose of transferring property or interests into the public domain;</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subjecting an Entity, property or assets (tangible or intangible) to taxation, regulation, or other action that is confiscatory or that prevents, unreasonably interferes with, or unduly delays, effective enjoyment of such property or assets;</w:t>
      </w:r>
    </w:p>
    <w:p>
      <w:pPr>
        <w:spacing w:after="0" w:line="170" w:lineRule="exact"/>
        <w:rPr>
          <w:rFonts w:ascii="Arial" w:cs="Arial" w:eastAsia="Arial" w:hAnsi="Arial"/>
          <w:sz w:val="18"/>
          <w:szCs w:val="18"/>
          <w:color w:val="auto"/>
        </w:rPr>
      </w:pPr>
    </w:p>
    <w:p>
      <w:pPr>
        <w:ind w:left="1300" w:right="100" w:hanging="644"/>
        <w:spacing w:after="0" w:line="263" w:lineRule="auto"/>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regulations by the State which constitutes dispossession or depravation of an asset, property or right or that reduces or eliminates the economic value or viability of an asset, property or right subject to those regulations, including application of otherwise lawful measures in such a way as to deprive ultimately the enjoyment of value of property;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any measure or measures that inhibit the ability to transfer bona fide assets, rights and/or property out of the Kingdom of Tonga;</w:t>
      </w:r>
    </w:p>
    <w:p>
      <w:pPr>
        <w:spacing w:after="0" w:line="236" w:lineRule="exact"/>
        <w:rPr>
          <w:rFonts w:ascii="Arial" w:cs="Arial" w:eastAsia="Arial" w:hAnsi="Arial"/>
          <w:sz w:val="17"/>
          <w:szCs w:val="17"/>
          <w:color w:val="auto"/>
        </w:rPr>
      </w:pPr>
    </w:p>
    <w:p>
      <w:pPr>
        <w:ind w:left="1300" w:right="140" w:hanging="644"/>
        <w:spacing w:after="0" w:line="257" w:lineRule="auto"/>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measure or series of measures the effect of which would be direct or indirect dispossession, including but not limited to the levying of taxation, the compulsory sale of all or part of an investment or asset, or the impairment or deprivation of its management, as well as any other measure or series of measures which together are tantamount to expropriation or that results in dispossession or depravation of an asset or right, irrespective of whether compensation is provided. However, Expropriation does not include an act by the State that is reasonably required to fulfil the State’s Sponsorship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27</w:t>
      </w:r>
    </w:p>
    <w:p>
      <w:pPr>
        <w:sectPr>
          <w:pgSz w:w="11900" w:h="16838" w:orient="portrait"/>
          <w:cols w:equalWidth="0" w:num="1">
            <w:col w:w="11240"/>
          </w:cols>
          <w:pgMar w:left="320" w:top="901" w:right="339" w:bottom="1440" w:gutter="0" w:footer="0" w:header="0"/>
        </w:sectPr>
      </w:pPr>
    </w:p>
    <w:bookmarkStart w:id="315" w:name="page316"/>
    <w:bookmarkEnd w:id="315"/>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Final Determination </w:t>
      </w:r>
      <w:r>
        <w:rPr>
          <w:rFonts w:ascii="Arial" w:cs="Arial" w:eastAsia="Arial" w:hAnsi="Arial"/>
          <w:sz w:val="18"/>
          <w:szCs w:val="18"/>
          <w:color w:val="auto"/>
        </w:rPr>
        <w:t>means a decision of a court or of any agency having jurisdiction to resolve the dispute:</w:t>
      </w:r>
    </w:p>
    <w:p>
      <w:pPr>
        <w:spacing w:after="0" w:line="225" w:lineRule="exact"/>
        <w:rPr>
          <w:sz w:val="20"/>
          <w:szCs w:val="20"/>
          <w:color w:val="auto"/>
        </w:rPr>
      </w:pPr>
    </w:p>
    <w:p>
      <w:pPr>
        <w:ind w:left="1300" w:hanging="644"/>
        <w:spacing w:after="0"/>
        <w:tabs>
          <w:tab w:leader="none" w:pos="13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from which no appeal can be taken and in respect of which no application for special leave to appeal can be made; or</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respect of which the relevant appeal or special leave application period has expired without an appeal being taken or an application for special leave to appeal being made, but does not include an interlocutory order.</w:t>
      </w:r>
    </w:p>
    <w:p>
      <w:pPr>
        <w:spacing w:after="0" w:line="170"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b w:val="1"/>
          <w:bCs w:val="1"/>
          <w:i w:val="1"/>
          <w:iCs w:val="1"/>
          <w:color w:val="auto"/>
        </w:rPr>
        <w:t xml:space="preserve">Installation </w:t>
      </w:r>
      <w:r>
        <w:rPr>
          <w:rFonts w:ascii="Arial" w:cs="Arial" w:eastAsia="Arial" w:hAnsi="Arial"/>
          <w:sz w:val="18"/>
          <w:szCs w:val="18"/>
          <w:color w:val="auto"/>
        </w:rPr>
        <w:t>means any structure, installation or artificial island in the International Seabed Area used in or intended to be used in the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for which the State is responsible and potentially liable in accordance with its Sponsorship Obligations.</w:t>
      </w:r>
    </w:p>
    <w:p>
      <w:pPr>
        <w:spacing w:after="0" w:line="170"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b w:val="1"/>
          <w:bCs w:val="1"/>
          <w:i w:val="1"/>
          <w:iCs w:val="1"/>
          <w:color w:val="auto"/>
        </w:rPr>
        <w:t xml:space="preserve">International Law </w:t>
      </w:r>
      <w:r>
        <w:rPr>
          <w:rFonts w:ascii="Arial" w:cs="Arial" w:eastAsia="Arial" w:hAnsi="Arial"/>
          <w:sz w:val="18"/>
          <w:szCs w:val="18"/>
          <w:color w:val="auto"/>
        </w:rPr>
        <w:t>means any legally binding international treaties and conventions and other legally binding international rules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UNCLOS and the ISA regulations as in force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International Seabed Area </w:t>
      </w:r>
      <w:r>
        <w:rPr>
          <w:rFonts w:ascii="Arial" w:cs="Arial" w:eastAsia="Arial" w:hAnsi="Arial"/>
          <w:sz w:val="18"/>
          <w:szCs w:val="18"/>
          <w:color w:val="auto"/>
        </w:rPr>
        <w:t>means the seabed and ocean floor and subsoil thereof, beyond the limits of national jurisdiction.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ISA </w:t>
      </w:r>
      <w:r>
        <w:rPr>
          <w:rFonts w:ascii="Arial" w:cs="Arial" w:eastAsia="Arial" w:hAnsi="Arial"/>
          <w:sz w:val="18"/>
          <w:szCs w:val="18"/>
          <w:color w:val="auto"/>
        </w:rPr>
        <w:t>means the International Seabed Authority and any successor institution to the ISA.</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b w:val="1"/>
          <w:bCs w:val="1"/>
          <w:i w:val="1"/>
          <w:iCs w:val="1"/>
          <w:color w:val="auto"/>
        </w:rPr>
        <w:t xml:space="preserve">ISA Contract </w:t>
      </w:r>
      <w:r>
        <w:rPr>
          <w:rFonts w:ascii="Arial" w:cs="Arial" w:eastAsia="Arial" w:hAnsi="Arial"/>
          <w:sz w:val="18"/>
          <w:szCs w:val="18"/>
          <w:color w:val="auto"/>
        </w:rPr>
        <w:t>means any contract or licence granted to TOML by the ISA, and includes any Exploration Contract and any Exploitation Contract,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all terms and conditions contained therein.</w:t>
      </w:r>
    </w:p>
    <w:p>
      <w:pPr>
        <w:spacing w:after="0" w:line="174" w:lineRule="exact"/>
        <w:rPr>
          <w:sz w:val="20"/>
          <w:szCs w:val="20"/>
          <w:color w:val="auto"/>
        </w:rPr>
      </w:pPr>
    </w:p>
    <w:p>
      <w:pPr>
        <w:ind w:left="660" w:right="360"/>
        <w:spacing w:after="0" w:line="214" w:lineRule="auto"/>
        <w:rPr>
          <w:sz w:val="20"/>
          <w:szCs w:val="20"/>
          <w:color w:val="auto"/>
        </w:rPr>
      </w:pPr>
      <w:r>
        <w:rPr>
          <w:rFonts w:ascii="Arial" w:cs="Arial" w:eastAsia="Arial" w:hAnsi="Arial"/>
          <w:sz w:val="18"/>
          <w:szCs w:val="18"/>
          <w:b w:val="1"/>
          <w:bCs w:val="1"/>
          <w:i w:val="1"/>
          <w:iCs w:val="1"/>
          <w:color w:val="auto"/>
        </w:rPr>
        <w:t xml:space="preserve">ISA Exploration Contract </w:t>
      </w:r>
      <w:r>
        <w:rPr>
          <w:rFonts w:ascii="Arial" w:cs="Arial" w:eastAsia="Arial" w:hAnsi="Arial"/>
          <w:sz w:val="18"/>
          <w:szCs w:val="18"/>
          <w:color w:val="auto"/>
        </w:rPr>
        <w:t>means the contract for exploration for Polymetallic Nodules signed between the ISA and TOML on the 11</w:t>
      </w:r>
      <w:r>
        <w:rPr>
          <w:rFonts w:ascii="Arial" w:cs="Arial" w:eastAsia="Arial" w:hAnsi="Arial"/>
          <w:sz w:val="29"/>
          <w:szCs w:val="29"/>
          <w:color w:val="auto"/>
          <w:vertAlign w:val="superscript"/>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2012 at Kingston, Jamaica and any amendment or replacement thereto.</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ISA Regulations </w:t>
      </w:r>
      <w:r>
        <w:rPr>
          <w:rFonts w:ascii="Arial" w:cs="Arial" w:eastAsia="Arial" w:hAnsi="Arial"/>
          <w:sz w:val="18"/>
          <w:szCs w:val="18"/>
          <w:color w:val="auto"/>
        </w:rPr>
        <w:t>means the legally binding regulations adopted by the ISA applicable to the Activities.</w:t>
      </w:r>
    </w:p>
    <w:p>
      <w:pPr>
        <w:spacing w:after="0" w:line="225"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b w:val="1"/>
          <w:bCs w:val="1"/>
          <w:i w:val="1"/>
          <w:iCs w:val="1"/>
          <w:color w:val="auto"/>
        </w:rPr>
        <w:t xml:space="preserve">Licence </w:t>
      </w:r>
      <w:r>
        <w:rPr>
          <w:rFonts w:ascii="Arial" w:cs="Arial" w:eastAsia="Arial" w:hAnsi="Arial"/>
          <w:sz w:val="18"/>
          <w:szCs w:val="18"/>
          <w:i w:val="1"/>
          <w:iCs w:val="1"/>
          <w:color w:val="auto"/>
        </w:rPr>
        <w:t>and</w:t>
      </w:r>
      <w:r>
        <w:rPr>
          <w:rFonts w:ascii="Arial" w:cs="Arial" w:eastAsia="Arial" w:hAnsi="Arial"/>
          <w:sz w:val="18"/>
          <w:szCs w:val="18"/>
          <w:b w:val="1"/>
          <w:bCs w:val="1"/>
          <w:i w:val="1"/>
          <w:iCs w:val="1"/>
          <w:color w:val="auto"/>
        </w:rPr>
        <w:t xml:space="preserve"> Licences </w:t>
      </w:r>
      <w:r>
        <w:rPr>
          <w:rFonts w:ascii="Arial" w:cs="Arial" w:eastAsia="Arial" w:hAnsi="Arial"/>
          <w:sz w:val="18"/>
          <w:szCs w:val="18"/>
          <w:color w:val="auto"/>
        </w:rPr>
        <w:t>means any licences, permits or contracts required under Tongan law to carry out exploration and/or exploitation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Seabed Area.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Material TOML Breach </w:t>
      </w:r>
      <w:r>
        <w:rPr>
          <w:rFonts w:ascii="Arial" w:cs="Arial" w:eastAsia="Arial" w:hAnsi="Arial"/>
          <w:sz w:val="18"/>
          <w:szCs w:val="18"/>
          <w:color w:val="auto"/>
        </w:rPr>
        <w:t>means the occurrence of any of the following:</w:t>
      </w:r>
    </w:p>
    <w:p>
      <w:pPr>
        <w:spacing w:after="0" w:line="225" w:lineRule="exact"/>
        <w:rPr>
          <w:sz w:val="20"/>
          <w:szCs w:val="20"/>
          <w:color w:val="auto"/>
        </w:rPr>
      </w:pPr>
    </w:p>
    <w:p>
      <w:pPr>
        <w:ind w:left="1300" w:right="540" w:hanging="644"/>
        <w:spacing w:after="0" w:line="277" w:lineRule="auto"/>
        <w:tabs>
          <w:tab w:leader="none" w:pos="13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 ISA Contract is suspended or terminated by the ISA as a direct result of TOML or any Subcontractor failing to comply with the conditions of the ISA Contract;</w:t>
      </w:r>
    </w:p>
    <w:p>
      <w:pPr>
        <w:spacing w:after="0" w:line="170"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serious breach of TOML’s ISA Obligations or obligations under this Agreement, that has caused or will cause material and direct monetary damage to the State and has not been Remedied within a reasonable time;</w:t>
      </w:r>
    </w:p>
    <w:p>
      <w:pPr>
        <w:spacing w:after="0" w:line="170" w:lineRule="exact"/>
        <w:rPr>
          <w:rFonts w:ascii="Arial" w:cs="Arial" w:eastAsia="Arial" w:hAnsi="Arial"/>
          <w:sz w:val="18"/>
          <w:szCs w:val="18"/>
          <w:color w:val="auto"/>
        </w:rPr>
      </w:pPr>
    </w:p>
    <w:p>
      <w:pPr>
        <w:ind w:left="1300" w:right="380" w:hanging="644"/>
        <w:spacing w:after="0" w:line="308" w:lineRule="auto"/>
        <w:tabs>
          <w:tab w:leader="none" w:pos="130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TOML or any Subcontractor, in spite of written warnings by the ISA, has conducted its activities in such a way as to result in serious persistent and wilful violations of the fundamental terms of this Agreement, ISA Contract or TOML’s ISA Obligations; or</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TOML has failed to pay the CRP in accordance with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28</w:t>
      </w:r>
    </w:p>
    <w:p>
      <w:pPr>
        <w:sectPr>
          <w:pgSz w:w="11900" w:h="16838" w:orient="portrait"/>
          <w:cols w:equalWidth="0" w:num="1">
            <w:col w:w="11240"/>
          </w:cols>
          <w:pgMar w:left="320" w:top="901" w:right="339" w:bottom="1440" w:gutter="0" w:footer="0" w:header="0"/>
        </w:sectPr>
      </w:pPr>
    </w:p>
    <w:bookmarkStart w:id="316" w:name="page317"/>
    <w:bookmarkEnd w:id="316"/>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Material State Breach </w:t>
      </w:r>
      <w:r>
        <w:rPr>
          <w:rFonts w:ascii="Arial" w:cs="Arial" w:eastAsia="Arial" w:hAnsi="Arial"/>
          <w:sz w:val="18"/>
          <w:szCs w:val="18"/>
          <w:color w:val="auto"/>
        </w:rPr>
        <w:t>means a State Default that has not been Remedied within 60 days in accordance with Section 19.</w:t>
      </w:r>
    </w:p>
    <w:p>
      <w:pPr>
        <w:spacing w:after="0" w:line="22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b w:val="1"/>
          <w:bCs w:val="1"/>
          <w:i w:val="1"/>
          <w:iCs w:val="1"/>
          <w:color w:val="auto"/>
        </w:rPr>
        <w:t xml:space="preserve">Minimum Recovery Level </w:t>
      </w:r>
      <w:r>
        <w:rPr>
          <w:rFonts w:ascii="Arial" w:cs="Arial" w:eastAsia="Arial" w:hAnsi="Arial"/>
          <w:sz w:val="18"/>
          <w:szCs w:val="18"/>
          <w:color w:val="auto"/>
        </w:rPr>
        <w:t>shall be deemed to have occurred when Exploitation of Polymetallic Nodules yields a quantity of greater than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tonnes of Polymetallic Nodules from the Tenement Area in any one calendar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Notice, </w:t>
      </w:r>
      <w:r>
        <w:rPr>
          <w:rFonts w:ascii="Arial" w:cs="Arial" w:eastAsia="Arial" w:hAnsi="Arial"/>
          <w:sz w:val="18"/>
          <w:szCs w:val="18"/>
          <w:color w:val="auto"/>
        </w:rPr>
        <w:t>see Section 27.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Payment Year </w:t>
      </w:r>
      <w:r>
        <w:rPr>
          <w:rFonts w:ascii="Arial" w:cs="Arial" w:eastAsia="Arial" w:hAnsi="Arial"/>
          <w:sz w:val="18"/>
          <w:szCs w:val="18"/>
          <w:color w:val="auto"/>
        </w:rPr>
        <w:t>means any calendar year in which TOML reaches the Minimum Recovery Level.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Parties </w:t>
      </w:r>
      <w:r>
        <w:rPr>
          <w:rFonts w:ascii="Arial" w:cs="Arial" w:eastAsia="Arial" w:hAnsi="Arial"/>
          <w:sz w:val="18"/>
          <w:szCs w:val="18"/>
          <w:color w:val="auto"/>
        </w:rPr>
        <w:t>means the parties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Penalty </w:t>
      </w:r>
      <w:r>
        <w:rPr>
          <w:rFonts w:ascii="Arial" w:cs="Arial" w:eastAsia="Arial" w:hAnsi="Arial"/>
          <w:sz w:val="18"/>
          <w:szCs w:val="18"/>
          <w:color w:val="auto"/>
        </w:rPr>
        <w:t>means a penalty imposed by the State on TOML which either:</w:t>
      </w:r>
    </w:p>
    <w:p>
      <w:pPr>
        <w:spacing w:after="0" w:line="225" w:lineRule="exact"/>
        <w:rPr>
          <w:sz w:val="20"/>
          <w:szCs w:val="20"/>
          <w:color w:val="auto"/>
        </w:rPr>
      </w:pPr>
    </w:p>
    <w:p>
      <w:pPr>
        <w:ind w:left="1300" w:hanging="644"/>
        <w:spacing w:after="0"/>
        <w:tabs>
          <w:tab w:leader="none" w:pos="13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(a)arises as a direct result of a breach of TOML’s ISA Obligations;</w:t>
      </w:r>
    </w:p>
    <w:p>
      <w:pPr>
        <w:spacing w:after="0" w:line="225" w:lineRule="exact"/>
        <w:rPr>
          <w:sz w:val="20"/>
          <w:szCs w:val="20"/>
          <w:color w:val="auto"/>
        </w:rPr>
      </w:pPr>
    </w:p>
    <w:p>
      <w:pPr>
        <w:ind w:left="1300" w:hanging="644"/>
        <w:spacing w:after="0"/>
        <w:tabs>
          <w:tab w:leader="none" w:pos="13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is required to be imposed by International Law in order for the State to fulfil its Sponsorship Obligations;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is for an amount not exceeding the reasonable amount required for the State to satisfy its Sponsorship Obligations.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(2)arises as a direct result of TOML breaching criminal or civil law in the State.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Pollution Incident </w:t>
      </w:r>
      <w:r>
        <w:rPr>
          <w:rFonts w:ascii="Arial" w:cs="Arial" w:eastAsia="Arial" w:hAnsi="Arial"/>
          <w:sz w:val="18"/>
          <w:szCs w:val="18"/>
          <w:color w:val="auto"/>
        </w:rPr>
        <w:t>means any event involving pollution that seriously breaches TOML’s ISA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Polymetallic Nodules </w:t>
      </w:r>
      <w:r>
        <w:rPr>
          <w:rFonts w:ascii="Arial" w:cs="Arial" w:eastAsia="Arial" w:hAnsi="Arial"/>
          <w:sz w:val="18"/>
          <w:szCs w:val="18"/>
          <w:color w:val="auto"/>
        </w:rPr>
        <w:t>has the meaning given to that term by the 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Production Audit, </w:t>
      </w:r>
      <w:r>
        <w:rPr>
          <w:rFonts w:ascii="Arial" w:cs="Arial" w:eastAsia="Arial" w:hAnsi="Arial"/>
          <w:sz w:val="18"/>
          <w:szCs w:val="18"/>
          <w:color w:val="auto"/>
        </w:rPr>
        <w:t>see Section 4.</w:t>
      </w:r>
    </w:p>
    <w:p>
      <w:pPr>
        <w:spacing w:after="0" w:line="225"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b w:val="1"/>
          <w:bCs w:val="1"/>
          <w:i w:val="1"/>
          <w:iCs w:val="1"/>
          <w:color w:val="auto"/>
        </w:rPr>
        <w:t xml:space="preserve">Recovered </w:t>
      </w:r>
      <w:r>
        <w:rPr>
          <w:rFonts w:ascii="Arial" w:cs="Arial" w:eastAsia="Arial" w:hAnsi="Arial"/>
          <w:sz w:val="18"/>
          <w:szCs w:val="18"/>
          <w:color w:val="auto"/>
        </w:rPr>
        <w:t>means extracted and recovered from the seafloor in the Tenement Area to the sea surface (for example, to a sea surface platform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Vessel) and then placed on to a transport ship.</w:t>
      </w:r>
    </w:p>
    <w:p>
      <w:pPr>
        <w:spacing w:after="0" w:line="170" w:lineRule="exact"/>
        <w:rPr>
          <w:sz w:val="20"/>
          <w:szCs w:val="20"/>
          <w:color w:val="auto"/>
        </w:rPr>
      </w:pPr>
    </w:p>
    <w:p>
      <w:pPr>
        <w:ind w:left="660" w:right="620"/>
        <w:spacing w:after="0" w:line="308" w:lineRule="auto"/>
        <w:rPr>
          <w:sz w:val="20"/>
          <w:szCs w:val="20"/>
          <w:color w:val="auto"/>
        </w:rPr>
      </w:pPr>
      <w:r>
        <w:rPr>
          <w:rFonts w:ascii="Arial" w:cs="Arial" w:eastAsia="Arial" w:hAnsi="Arial"/>
          <w:sz w:val="17"/>
          <w:szCs w:val="17"/>
          <w:b w:val="1"/>
          <w:bCs w:val="1"/>
          <w:i w:val="1"/>
          <w:iCs w:val="1"/>
          <w:color w:val="auto"/>
        </w:rPr>
        <w:t xml:space="preserve">Remedy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Remedied </w:t>
      </w:r>
      <w:r>
        <w:rPr>
          <w:rFonts w:ascii="Arial" w:cs="Arial" w:eastAsia="Arial" w:hAnsi="Arial"/>
          <w:sz w:val="17"/>
          <w:szCs w:val="17"/>
          <w:color w:val="auto"/>
        </w:rPr>
        <w:t>means to remedy or redress or to have remedied or redressed (as applicable) the relevant occurrence or overcome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consequences and effects so that there ceases to be any continuing material detrimental effect of that occurrence.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Safety at Sea </w:t>
      </w:r>
      <w:r>
        <w:rPr>
          <w:rFonts w:ascii="Arial" w:cs="Arial" w:eastAsia="Arial" w:hAnsi="Arial"/>
          <w:sz w:val="18"/>
          <w:szCs w:val="18"/>
          <w:color w:val="auto"/>
        </w:rPr>
        <w:t>means safety of life and property at sea, and includes,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inter alia:</w:t>
      </w:r>
    </w:p>
    <w:p>
      <w:pPr>
        <w:spacing w:after="0" w:line="225" w:lineRule="exact"/>
        <w:rPr>
          <w:sz w:val="20"/>
          <w:szCs w:val="20"/>
          <w:color w:val="auto"/>
        </w:rPr>
      </w:pPr>
    </w:p>
    <w:p>
      <w:pPr>
        <w:ind w:left="1300" w:hanging="644"/>
        <w:spacing w:after="0"/>
        <w:tabs>
          <w:tab w:leader="none" w:pos="13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safe Vessel or Installation management and navigation;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collision prevention;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29</w:t>
      </w:r>
    </w:p>
    <w:p>
      <w:pPr>
        <w:sectPr>
          <w:pgSz w:w="11900" w:h="16838" w:orient="portrait"/>
          <w:cols w:equalWidth="0" w:num="1">
            <w:col w:w="11240"/>
          </w:cols>
          <w:pgMar w:left="320" w:top="901" w:right="339" w:bottom="1440" w:gutter="0" w:footer="0" w:header="0"/>
        </w:sectPr>
      </w:pPr>
    </w:p>
    <w:bookmarkStart w:id="317" w:name="page318"/>
    <w:bookmarkEnd w:id="317"/>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300" w:hanging="644"/>
        <w:spacing w:after="0"/>
        <w:tabs>
          <w:tab w:leader="none" w:pos="13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maintaining appropriate safety procedures and medical standards;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appropriate provision of safety equipment, first aid, rescue and fire fighting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protecting the safety, health and welfare of personnel used in the Activities;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preventing injury to personnel that may be affected by the Activities;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taking measures to effectively deal with safety Emergencies, as well as any other requirements under TOML’s ISA Obligations pertaining to safety of life and property at sea.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Safety Incident </w:t>
      </w:r>
      <w:r>
        <w:rPr>
          <w:rFonts w:ascii="Arial" w:cs="Arial" w:eastAsia="Arial" w:hAnsi="Arial"/>
          <w:sz w:val="18"/>
          <w:szCs w:val="18"/>
          <w:color w:val="auto"/>
        </w:rPr>
        <w:t>means any event involving Safety at Sea that seriously breaches TOML’s ISA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Seabed Minerals Fund </w:t>
      </w:r>
      <w:r>
        <w:rPr>
          <w:rFonts w:ascii="Arial" w:cs="Arial" w:eastAsia="Arial" w:hAnsi="Arial"/>
          <w:sz w:val="18"/>
          <w:szCs w:val="18"/>
          <w:color w:val="auto"/>
        </w:rPr>
        <w:t>means the Seabed Minerals Fund established under Section 94 of the Act.</w:t>
      </w:r>
    </w:p>
    <w:p>
      <w:pPr>
        <w:spacing w:after="0" w:line="22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b w:val="1"/>
          <w:bCs w:val="1"/>
          <w:i w:val="1"/>
          <w:iCs w:val="1"/>
          <w:color w:val="auto"/>
        </w:rPr>
        <w:t xml:space="preserve">Serious Harm to the Marine Environment </w:t>
      </w:r>
      <w:r>
        <w:rPr>
          <w:rFonts w:ascii="Arial" w:cs="Arial" w:eastAsia="Arial" w:hAnsi="Arial"/>
          <w:sz w:val="18"/>
          <w:szCs w:val="18"/>
          <w:color w:val="auto"/>
        </w:rPr>
        <w:t>means any serious harm to the marine environment caused by one or more Activities that constitutes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serious breach of TOML’s ISA Obligations.</w:t>
      </w:r>
    </w:p>
    <w:p>
      <w:pPr>
        <w:spacing w:after="0" w:line="170"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b w:val="1"/>
          <w:bCs w:val="1"/>
          <w:i w:val="1"/>
          <w:iCs w:val="1"/>
          <w:color w:val="auto"/>
        </w:rPr>
        <w:t xml:space="preserve">Sponsorship </w:t>
      </w:r>
      <w:r>
        <w:rPr>
          <w:rFonts w:ascii="Arial" w:cs="Arial" w:eastAsia="Arial" w:hAnsi="Arial"/>
          <w:sz w:val="18"/>
          <w:szCs w:val="18"/>
          <w:color w:val="auto"/>
        </w:rPr>
        <w:t>means sponsorship of TOML by the State as required by the ISA, the ISA Regulations, UNCLOS, and/or under TOML’s Exploration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Contract and/or Exploitation Contract and </w:t>
      </w:r>
      <w:r>
        <w:rPr>
          <w:rFonts w:ascii="Arial" w:cs="Arial" w:eastAsia="Arial" w:hAnsi="Arial"/>
          <w:sz w:val="18"/>
          <w:szCs w:val="18"/>
          <w:i w:val="1"/>
          <w:iCs w:val="1"/>
          <w:color w:val="auto"/>
        </w:rPr>
        <w:t>Sponsored</w:t>
      </w:r>
      <w:r>
        <w:rPr>
          <w:rFonts w:ascii="Arial" w:cs="Arial" w:eastAsia="Arial" w:hAnsi="Arial"/>
          <w:sz w:val="18"/>
          <w:szCs w:val="18"/>
          <w:color w:val="auto"/>
        </w:rPr>
        <w:t xml:space="preserve"> shall have a similar meaning.</w:t>
      </w:r>
    </w:p>
    <w:p>
      <w:pPr>
        <w:spacing w:after="0" w:line="174" w:lineRule="exact"/>
        <w:rPr>
          <w:sz w:val="20"/>
          <w:szCs w:val="20"/>
          <w:color w:val="auto"/>
        </w:rPr>
      </w:pPr>
    </w:p>
    <w:p>
      <w:pPr>
        <w:ind w:left="660" w:right="240"/>
        <w:spacing w:after="0" w:line="224" w:lineRule="auto"/>
        <w:rPr>
          <w:sz w:val="20"/>
          <w:szCs w:val="20"/>
          <w:color w:val="auto"/>
        </w:rPr>
      </w:pPr>
      <w:r>
        <w:rPr>
          <w:rFonts w:ascii="Arial" w:cs="Arial" w:eastAsia="Arial" w:hAnsi="Arial"/>
          <w:sz w:val="18"/>
          <w:szCs w:val="18"/>
          <w:b w:val="1"/>
          <w:bCs w:val="1"/>
          <w:i w:val="1"/>
          <w:iCs w:val="1"/>
          <w:color w:val="auto"/>
        </w:rPr>
        <w:t xml:space="preserve">Sponsorship Certificate </w:t>
      </w:r>
      <w:r>
        <w:rPr>
          <w:rFonts w:ascii="Arial" w:cs="Arial" w:eastAsia="Arial" w:hAnsi="Arial"/>
          <w:sz w:val="18"/>
          <w:szCs w:val="18"/>
          <w:color w:val="auto"/>
        </w:rPr>
        <w:t>means the Sponsorship Certificate signed on the 23</w:t>
      </w:r>
      <w:r>
        <w:rPr>
          <w:rFonts w:ascii="Arial" w:cs="Arial" w:eastAsia="Arial" w:hAnsi="Arial"/>
          <w:sz w:val="29"/>
          <w:szCs w:val="29"/>
          <w:color w:val="auto"/>
          <w:vertAlign w:val="superscript"/>
        </w:rPr>
        <w:t>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2021 under which the State certified that it sponsored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TOML to explore for Polymetallic Nodules in the International Seabed Area and assumed responsibility in accordance with article 139, article 153, paragraph 4, and Annex III, article 4, paragraph 4, of UNCLOS.</w:t>
      </w:r>
    </w:p>
    <w:p>
      <w:pPr>
        <w:spacing w:after="0" w:line="203"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b w:val="1"/>
          <w:bCs w:val="1"/>
          <w:i w:val="1"/>
          <w:iCs w:val="1"/>
          <w:color w:val="auto"/>
        </w:rPr>
        <w:t xml:space="preserve">Sponsorship Obligations </w:t>
      </w:r>
      <w:r>
        <w:rPr>
          <w:rFonts w:ascii="Arial" w:cs="Arial" w:eastAsia="Arial" w:hAnsi="Arial"/>
          <w:sz w:val="18"/>
          <w:szCs w:val="18"/>
          <w:color w:val="auto"/>
        </w:rPr>
        <w:t>means any and all responsibilities and obligations the State has under UNCLOS or the ISA Regulations with which it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legally required to comply and that pertain to the State’s Sponsorship of TOML and/or the Activities, including its responsibility to ensure TOML’s compliance with TOML’s ISA Obligations.</w:t>
      </w:r>
    </w:p>
    <w:p>
      <w:pPr>
        <w:spacing w:after="0" w:line="184"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b w:val="1"/>
          <w:bCs w:val="1"/>
          <w:i w:val="1"/>
          <w:iCs w:val="1"/>
          <w:color w:val="auto"/>
        </w:rPr>
        <w:t xml:space="preserve">Subcontractor </w:t>
      </w:r>
      <w:r>
        <w:rPr>
          <w:rFonts w:ascii="Arial" w:cs="Arial" w:eastAsia="Arial" w:hAnsi="Arial"/>
          <w:sz w:val="18"/>
          <w:szCs w:val="18"/>
          <w:color w:val="auto"/>
        </w:rPr>
        <w:t>means any person or entity who is subcontracted (either by the TOML Group or their subcontractors or their affiliates and whether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via contract or through a joint venture or similar arrangement) to carry out all or part of the Activities in the Tenement Area, and includes without limitation any of the subcontractors’ officers, employees, agents, contractors, or assignees. [For the avoidance of doubt, this definition only includes those persons or Entities for whom the State has a responsibility and is potentially liable in accordance with its Sponsorship Obligations]. This definition does not include any officer or employee of the State or any person who represents or is contracted by the State, ISA or other regulatory body.</w:t>
      </w:r>
    </w:p>
    <w:p>
      <w:pPr>
        <w:spacing w:after="0" w:line="192"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b w:val="1"/>
          <w:bCs w:val="1"/>
          <w:i w:val="1"/>
          <w:iCs w:val="1"/>
          <w:color w:val="auto"/>
        </w:rPr>
        <w:t xml:space="preserve">Tax </w:t>
      </w:r>
      <w:r>
        <w:rPr>
          <w:rFonts w:ascii="Arial" w:cs="Arial" w:eastAsia="Arial" w:hAnsi="Arial"/>
          <w:sz w:val="18"/>
          <w:szCs w:val="18"/>
          <w:color w:val="auto"/>
        </w:rPr>
        <w:t>means any tax, fee, Corporate Tax, sales tax, capital gains tax, resource rent tax, transfer tax, impost, royalty, duty (including import duty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stamp duty), excise charge, surcharge, contribution, levy, rate, rent or any other charge however it is described, whether direct or indirect, whether monetary or non-monetary, and whatever method collected or recovered, imposed by any Tongan governmental, semi-governmental or other Tongan body authorised by law.</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Tenement Area </w:t>
      </w:r>
      <w:r>
        <w:rPr>
          <w:rFonts w:ascii="Arial" w:cs="Arial" w:eastAsia="Arial" w:hAnsi="Arial"/>
          <w:sz w:val="17"/>
          <w:szCs w:val="17"/>
          <w:color w:val="auto"/>
        </w:rPr>
        <w:t>means that part of the International Seabed Area, as may change from time to time, over which TOML has Tenements.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30</w:t>
      </w:r>
    </w:p>
    <w:p>
      <w:pPr>
        <w:sectPr>
          <w:pgSz w:w="11900" w:h="16838" w:orient="portrait"/>
          <w:cols w:equalWidth="0" w:num="1">
            <w:col w:w="11240"/>
          </w:cols>
          <w:pgMar w:left="320" w:top="901" w:right="339" w:bottom="1440" w:gutter="0" w:footer="0" w:header="0"/>
        </w:sectPr>
      </w:pPr>
    </w:p>
    <w:bookmarkStart w:id="318" w:name="page319"/>
    <w:bookmarkEnd w:id="318"/>
    <w:p>
      <w:pPr>
        <w:spacing w:after="0"/>
        <w:rPr>
          <w:sz w:val="20"/>
          <w:szCs w:val="20"/>
          <w:color w:val="auto"/>
        </w:rPr>
      </w:pPr>
      <w:r>
        <w:rPr>
          <w:rFonts w:ascii="Arial" w:cs="Arial" w:eastAsia="Arial" w:hAnsi="Arial"/>
          <w:sz w:val="22"/>
          <w:szCs w:val="2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60" w:right="280"/>
        <w:spacing w:after="0" w:line="258" w:lineRule="auto"/>
        <w:rPr>
          <w:sz w:val="20"/>
          <w:szCs w:val="20"/>
          <w:color w:val="auto"/>
        </w:rPr>
      </w:pPr>
      <w:r>
        <w:rPr>
          <w:rFonts w:ascii="Arial" w:cs="Arial" w:eastAsia="Arial" w:hAnsi="Arial"/>
          <w:sz w:val="18"/>
          <w:szCs w:val="18"/>
          <w:b w:val="1"/>
          <w:bCs w:val="1"/>
          <w:color w:val="auto"/>
        </w:rPr>
        <w:t xml:space="preserve">Tenements </w:t>
      </w:r>
      <w:r>
        <w:rPr>
          <w:rFonts w:ascii="Arial" w:cs="Arial" w:eastAsia="Arial" w:hAnsi="Arial"/>
          <w:sz w:val="18"/>
          <w:szCs w:val="18"/>
          <w:color w:val="auto"/>
        </w:rPr>
        <w:t>includes any ISA Contract and any lease, contract, licence, claim or permit issued or to be issued to TOML by the ISA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body which confers or may confer on TOML a right to prospect, explore for, mine and/or process any mineral in the International Seabed Area, or which may facilitate the enjoyment of such right, and includes any application for, and any extension, renewal, conversion or substitution of, any of those tenements, and for the avoidance of doubt includes without limitation any and all ISA Contracts and the rights of access and to enjoy the income and/or product derived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means the term as provided for in clause 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Tonga Seabed Minerals Authority </w:t>
      </w:r>
      <w:r>
        <w:rPr>
          <w:rFonts w:ascii="Arial" w:cs="Arial" w:eastAsia="Arial" w:hAnsi="Arial"/>
          <w:sz w:val="16"/>
          <w:szCs w:val="16"/>
          <w:color w:val="auto"/>
        </w:rPr>
        <w:t>means the body established under the Act to administer Tonga’s sponsorship of Seabed Mineral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Tongan Law </w:t>
      </w:r>
      <w:r>
        <w:rPr>
          <w:rFonts w:ascii="Arial" w:cs="Arial" w:eastAsia="Arial" w:hAnsi="Arial"/>
          <w:sz w:val="18"/>
          <w:szCs w:val="18"/>
          <w:color w:val="auto"/>
        </w:rPr>
        <w:t>means all applicable laws in Tonga, including without limitation, legislation and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TOML Group </w:t>
      </w:r>
      <w:r>
        <w:rPr>
          <w:rFonts w:ascii="Arial" w:cs="Arial" w:eastAsia="Arial" w:hAnsi="Arial"/>
          <w:sz w:val="18"/>
          <w:szCs w:val="18"/>
          <w:color w:val="auto"/>
        </w:rPr>
        <w:t>includes TOML as well as any other entities owned by TOML’s ultimate parent company.</w:t>
      </w:r>
    </w:p>
    <w:p>
      <w:pPr>
        <w:spacing w:after="0" w:line="225"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b w:val="1"/>
          <w:bCs w:val="1"/>
          <w:i w:val="1"/>
          <w:iCs w:val="1"/>
          <w:color w:val="auto"/>
        </w:rPr>
        <w:t xml:space="preserve">TOML Rights </w:t>
      </w:r>
      <w:r>
        <w:rPr>
          <w:rFonts w:ascii="Arial" w:cs="Arial" w:eastAsia="Arial" w:hAnsi="Arial"/>
          <w:sz w:val="18"/>
          <w:szCs w:val="18"/>
          <w:color w:val="auto"/>
        </w:rPr>
        <w:t>means the rights held by TOML under the ISA Regulations and under any ISA Contracts, or held in relation to the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Seabed Area or the Tenement Area, and without limitation includes the Tenements and all rights held therein.</w:t>
      </w:r>
    </w:p>
    <w:p>
      <w:pPr>
        <w:spacing w:after="0" w:line="170" w:lineRule="exact"/>
        <w:rPr>
          <w:sz w:val="20"/>
          <w:szCs w:val="20"/>
          <w:color w:val="auto"/>
        </w:rPr>
      </w:pPr>
    </w:p>
    <w:p>
      <w:pPr>
        <w:jc w:val="both"/>
        <w:ind w:left="660" w:right="40"/>
        <w:spacing w:after="0" w:line="259" w:lineRule="auto"/>
        <w:rPr>
          <w:sz w:val="20"/>
          <w:szCs w:val="20"/>
          <w:color w:val="auto"/>
        </w:rPr>
      </w:pPr>
      <w:r>
        <w:rPr>
          <w:rFonts w:ascii="Arial" w:cs="Arial" w:eastAsia="Arial" w:hAnsi="Arial"/>
          <w:sz w:val="18"/>
          <w:szCs w:val="18"/>
          <w:b w:val="1"/>
          <w:bCs w:val="1"/>
          <w:i w:val="1"/>
          <w:iCs w:val="1"/>
          <w:color w:val="auto"/>
        </w:rPr>
        <w:t xml:space="preserve">TOML’s ISA Obligations </w:t>
      </w:r>
      <w:r>
        <w:rPr>
          <w:rFonts w:ascii="Arial" w:cs="Arial" w:eastAsia="Arial" w:hAnsi="Arial"/>
          <w:sz w:val="18"/>
          <w:szCs w:val="18"/>
          <w:color w:val="auto"/>
        </w:rPr>
        <w:t>means the legally binding obligations TOML has under the ISA Contract, ISA Regulations and/or UNCLOS, as in force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time to time, and includes without limitation all legally binding obligations and responsibilities that TOML has under any ISA Contract, ISA Regulation and/or UNCLOS the breach of which would result in monetary liability to the State under UNCLOS due to the State’s Sponsorship of TOML.</w:t>
      </w:r>
    </w:p>
    <w:p>
      <w:pPr>
        <w:spacing w:after="0" w:line="18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 xml:space="preserve">Tonne </w:t>
      </w:r>
      <w:r>
        <w:rPr>
          <w:rFonts w:ascii="Arial" w:cs="Arial" w:eastAsia="Arial" w:hAnsi="Arial"/>
          <w:sz w:val="18"/>
          <w:szCs w:val="18"/>
          <w:color w:val="auto"/>
        </w:rPr>
        <w:t>means the weight of one thousand (1000) kilograms of Polymetallic Nodules Recovered from the Tenement Area measured at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onshore port of unloading.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UNCLOS </w:t>
      </w:r>
      <w:r>
        <w:rPr>
          <w:rFonts w:ascii="Arial" w:cs="Arial" w:eastAsia="Arial" w:hAnsi="Arial"/>
          <w:sz w:val="18"/>
          <w:szCs w:val="18"/>
          <w:color w:val="auto"/>
        </w:rPr>
        <w:t>means the United Nations Convention on the Law of the Sea of 10 December 1982.</w:t>
      </w:r>
    </w:p>
    <w:p>
      <w:pPr>
        <w:spacing w:after="0" w:line="22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b w:val="1"/>
          <w:bCs w:val="1"/>
          <w:i w:val="1"/>
          <w:iCs w:val="1"/>
          <w:color w:val="auto"/>
        </w:rPr>
        <w:t xml:space="preserve">Vessel </w:t>
      </w:r>
      <w:r>
        <w:rPr>
          <w:rFonts w:ascii="Arial" w:cs="Arial" w:eastAsia="Arial" w:hAnsi="Arial"/>
          <w:sz w:val="18"/>
          <w:szCs w:val="18"/>
          <w:color w:val="auto"/>
        </w:rPr>
        <w:t>means any sea-going vessel and any seaborn craft of any type whatsoever used in the Activities and for which the State is responsible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potentially liable for in accordance with its Sponsorship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640" w:val="left"/>
        </w:tabs>
        <w:rPr>
          <w:sz w:val="20"/>
          <w:szCs w:val="20"/>
          <w:color w:val="auto"/>
        </w:rPr>
      </w:pPr>
      <w:r>
        <w:rPr>
          <w:rFonts w:ascii="Arial" w:cs="Arial" w:eastAsia="Arial" w:hAnsi="Arial"/>
          <w:sz w:val="18"/>
          <w:szCs w:val="18"/>
          <w:color w:val="auto"/>
        </w:rPr>
        <w:t>23.09.2021</w:t>
      </w:r>
      <w:r>
        <w:rPr>
          <w:sz w:val="20"/>
          <w:szCs w:val="20"/>
          <w:color w:val="auto"/>
        </w:rPr>
        <w:tab/>
      </w:r>
      <w:r>
        <w:rPr>
          <w:rFonts w:ascii="Arial" w:cs="Arial" w:eastAsia="Arial" w:hAnsi="Arial"/>
          <w:sz w:val="15"/>
          <w:szCs w:val="15"/>
          <w:color w:val="auto"/>
        </w:rPr>
        <w:t>Page 31</w:t>
      </w:r>
    </w:p>
    <w:p>
      <w:pPr>
        <w:sectPr>
          <w:pgSz w:w="11900" w:h="16838" w:orient="portrait"/>
          <w:cols w:equalWidth="0" w:num="1">
            <w:col w:w="11240"/>
          </w:cols>
          <w:pgMar w:left="320" w:top="901" w:right="339" w:bottom="1440" w:gutter="0" w:footer="0" w:header="0"/>
        </w:sectPr>
      </w:pPr>
    </w:p>
    <w:bookmarkStart w:id="319" w:name="page320"/>
    <w:bookmarkEnd w:id="319"/>
    <w:p>
      <w:pPr>
        <w:spacing w:after="0"/>
        <w:rPr>
          <w:sz w:val="20"/>
          <w:szCs w:val="20"/>
          <w:color w:val="auto"/>
        </w:rPr>
      </w:pPr>
      <w:r>
        <w:rPr>
          <w:rFonts w:ascii="Arial" w:cs="Arial" w:eastAsia="Arial" w:hAnsi="Arial"/>
          <w:sz w:val="19"/>
          <w:szCs w:val="19"/>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as an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The Kingdom of Tonga/ The Tonga Seabed Minerals Authority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Pōhiva Tu’i’onetoa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8574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8">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 Honourable Pōhiva Tu’i’onetoa</w:t>
      </w:r>
    </w:p>
    <w:p>
      <w:pPr>
        <w:spacing w:after="0" w:line="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Prime Minister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Tonga Offshore Mining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8574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9">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 Gerard Barron</w:t>
      </w:r>
    </w:p>
    <w:p>
      <w:pPr>
        <w:spacing w:after="0" w:line="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Dated: </w:t>
      </w:r>
      <w:r>
        <w:rPr>
          <w:rFonts w:ascii="Arial" w:cs="Arial" w:eastAsia="Arial" w:hAnsi="Arial"/>
          <w:sz w:val="16"/>
          <w:szCs w:val="16"/>
          <w:color w:val="auto"/>
        </w:rPr>
        <w:t>23</w:t>
      </w:r>
      <w:r>
        <w:rPr>
          <w:rFonts w:ascii="Arial" w:cs="Arial" w:eastAsia="Arial" w:hAnsi="Arial"/>
          <w:sz w:val="16"/>
          <w:szCs w:val="16"/>
          <w:b w:val="1"/>
          <w:bCs w:val="1"/>
          <w:color w:val="auto"/>
        </w:rPr>
        <w:t xml:space="preserve"> / </w:t>
      </w:r>
      <w:r>
        <w:rPr>
          <w:rFonts w:ascii="Arial" w:cs="Arial" w:eastAsia="Arial" w:hAnsi="Arial"/>
          <w:sz w:val="16"/>
          <w:szCs w:val="16"/>
          <w:color w:val="auto"/>
        </w:rPr>
        <w:t>09</w:t>
      </w:r>
      <w:r>
        <w:rPr>
          <w:rFonts w:ascii="Arial" w:cs="Arial" w:eastAsia="Arial" w:hAnsi="Arial"/>
          <w:sz w:val="16"/>
          <w:szCs w:val="16"/>
          <w:b w:val="1"/>
          <w:bCs w:val="1"/>
          <w:color w:val="auto"/>
        </w:rPr>
        <w:t xml:space="preserve"> / </w:t>
      </w:r>
      <w:r>
        <w:rPr>
          <w:rFonts w:ascii="Arial" w:cs="Arial" w:eastAsia="Arial" w:hAnsi="Arial"/>
          <w:sz w:val="16"/>
          <w:szCs w:val="16"/>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Dated: </w:t>
      </w:r>
      <w:r>
        <w:rPr>
          <w:rFonts w:ascii="Arial" w:cs="Arial" w:eastAsia="Arial" w:hAnsi="Arial"/>
          <w:sz w:val="16"/>
          <w:szCs w:val="16"/>
          <w:color w:val="auto"/>
        </w:rPr>
        <w:t>23</w:t>
      </w:r>
      <w:r>
        <w:rPr>
          <w:rFonts w:ascii="Arial" w:cs="Arial" w:eastAsia="Arial" w:hAnsi="Arial"/>
          <w:sz w:val="16"/>
          <w:szCs w:val="16"/>
          <w:b w:val="1"/>
          <w:bCs w:val="1"/>
          <w:color w:val="auto"/>
        </w:rPr>
        <w:t xml:space="preserve"> / </w:t>
      </w:r>
      <w:r>
        <w:rPr>
          <w:rFonts w:ascii="Arial" w:cs="Arial" w:eastAsia="Arial" w:hAnsi="Arial"/>
          <w:sz w:val="16"/>
          <w:szCs w:val="16"/>
          <w:color w:val="auto"/>
        </w:rPr>
        <w:t>09 / 2021</w:t>
      </w:r>
    </w:p>
    <w:p>
      <w:pPr>
        <w:spacing w:after="0" w:line="470" w:lineRule="exact"/>
        <w:rPr>
          <w:sz w:val="20"/>
          <w:szCs w:val="20"/>
          <w:color w:val="auto"/>
        </w:rPr>
      </w:pPr>
    </w:p>
    <w:p>
      <w:pPr>
        <w:sectPr>
          <w:pgSz w:w="11900" w:h="16838" w:orient="portrait"/>
          <w:cols w:equalWidth="0" w:num="2">
            <w:col w:w="6340" w:space="420"/>
            <w:col w:w="4480"/>
          </w:cols>
          <w:pgMar w:left="320" w:top="9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23.09.2021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240"/>
          </w:cols>
          <w:pgMar w:left="320" w:top="901" w:right="339" w:bottom="1440" w:gutter="0" w:footer="0" w:header="0"/>
          <w:type w:val="continuous"/>
        </w:sectPr>
      </w:pPr>
    </w:p>
    <w:bookmarkStart w:id="320" w:name="page321"/>
    <w:bookmarkEnd w:id="320"/>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ind w:left="3160"/>
              <w:spacing w:after="0"/>
              <w:rPr>
                <w:sz w:val="20"/>
                <w:szCs w:val="20"/>
                <w:color w:val="auto"/>
              </w:rPr>
            </w:pPr>
            <w:r>
              <w:rPr>
                <w:rFonts w:ascii="Arial" w:cs="Arial" w:eastAsia="Arial" w:hAnsi="Arial"/>
                <w:sz w:val="18"/>
                <w:szCs w:val="18"/>
                <w:b w:val="1"/>
                <w:bCs w:val="1"/>
                <w:color w:val="auto"/>
                <w:w w:val="89"/>
              </w:rPr>
              <w:t>Exhibit 21.1</w:t>
            </w:r>
          </w:p>
        </w:tc>
      </w:tr>
      <w:tr>
        <w:trPr>
          <w:trHeight w:val="432"/>
        </w:trPr>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2"/>
          </w:tcPr>
          <w:p>
            <w:pPr>
              <w:ind w:left="1040"/>
              <w:spacing w:after="0"/>
              <w:rPr>
                <w:sz w:val="20"/>
                <w:szCs w:val="20"/>
                <w:color w:val="auto"/>
              </w:rPr>
            </w:pPr>
            <w:r>
              <w:rPr>
                <w:rFonts w:ascii="Arial" w:cs="Arial" w:eastAsia="Arial" w:hAnsi="Arial"/>
                <w:sz w:val="18"/>
                <w:szCs w:val="18"/>
                <w:b w:val="1"/>
                <w:bCs w:val="1"/>
                <w:color w:val="auto"/>
              </w:rPr>
              <w:t>Subsidiaries of Registrant</w:t>
            </w:r>
          </w:p>
        </w:tc>
        <w:tc>
          <w:tcPr>
            <w:tcW w:w="4080" w:type="dxa"/>
            <w:vAlign w:val="bottom"/>
          </w:tcPr>
          <w:p>
            <w:pPr>
              <w:spacing w:after="0"/>
              <w:rPr>
                <w:sz w:val="24"/>
                <w:szCs w:val="24"/>
                <w:color w:val="auto"/>
              </w:rPr>
            </w:pPr>
          </w:p>
        </w:tc>
      </w:tr>
      <w:tr>
        <w:trPr>
          <w:trHeight w:val="459"/>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580" w:type="dxa"/>
            <w:vAlign w:val="bottom"/>
            <w:gridSpan w:val="2"/>
          </w:tcPr>
          <w:p>
            <w:pPr>
              <w:ind w:left="780"/>
              <w:spacing w:after="0"/>
              <w:rPr>
                <w:sz w:val="20"/>
                <w:szCs w:val="20"/>
                <w:color w:val="auto"/>
              </w:rPr>
            </w:pPr>
            <w:r>
              <w:rPr>
                <w:rFonts w:ascii="Arial" w:cs="Arial" w:eastAsia="Arial" w:hAnsi="Arial"/>
                <w:sz w:val="18"/>
                <w:szCs w:val="18"/>
                <w:b w:val="1"/>
                <w:bCs w:val="1"/>
                <w:color w:val="auto"/>
              </w:rPr>
              <w:t>Percentage Ownership</w:t>
            </w: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2"/>
              </w:rPr>
              <w:t>State or Country of Organization</w:t>
            </w:r>
          </w:p>
        </w:tc>
      </w:tr>
      <w:tr>
        <w:trPr>
          <w:trHeight w:val="209"/>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DeepGreen Metals ULC</w:t>
            </w:r>
          </w:p>
        </w:tc>
        <w:tc>
          <w:tcPr>
            <w:tcW w:w="2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4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British Columbia, Canada</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DeepGreen Engineering Pte. Ltd.</w:t>
            </w:r>
          </w:p>
        </w:tc>
        <w:tc>
          <w:tcPr>
            <w:tcW w:w="3360" w:type="dxa"/>
            <w:vAlign w:val="bottom"/>
          </w:tcPr>
          <w:p>
            <w:pPr>
              <w:jc w:val="right"/>
              <w:ind w:right="137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1"/>
              </w:rPr>
              <w:t>Republic of Singapore</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Nauru Ocean Resources Inc.</w:t>
            </w:r>
          </w:p>
        </w:tc>
        <w:tc>
          <w:tcPr>
            <w:tcW w:w="336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4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Republic of Nauru</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Tonga Offshore Mining Limited</w:t>
            </w:r>
          </w:p>
        </w:tc>
        <w:tc>
          <w:tcPr>
            <w:tcW w:w="3360" w:type="dxa"/>
            <w:vAlign w:val="bottom"/>
          </w:tcPr>
          <w:p>
            <w:pPr>
              <w:jc w:val="right"/>
              <w:ind w:right="137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Kingdom of Tonga</w:t>
            </w:r>
          </w:p>
        </w:tc>
      </w:tr>
    </w:tbl>
    <w:p>
      <w:pPr>
        <w:sectPr>
          <w:pgSz w:w="11900" w:h="16838" w:orient="portrait"/>
          <w:cols w:equalWidth="0" w:num="1">
            <w:col w:w="11240"/>
          </w:cols>
          <w:pgMar w:left="320" w:top="121"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22"/>
          <w:szCs w:val="22"/>
          <w:b w:val="1"/>
          <w:bCs w:val="1"/>
          <w:color w:val="auto"/>
        </w:rPr>
        <w:t>Exhibit 23.1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INDEPENDENT REGISTERED PUBLIC ACCOUNTING FIRM’S CONSENT</w:t>
      </w:r>
    </w:p>
    <w:p>
      <w:pPr>
        <w:spacing w:after="0" w:line="233" w:lineRule="exact"/>
        <w:rPr>
          <w:sz w:val="20"/>
          <w:szCs w:val="20"/>
          <w:color w:val="auto"/>
        </w:rPr>
      </w:pPr>
    </w:p>
    <w:p>
      <w:pPr>
        <w:ind w:right="200"/>
        <w:spacing w:after="0" w:line="275" w:lineRule="auto"/>
        <w:rPr>
          <w:sz w:val="20"/>
          <w:szCs w:val="20"/>
          <w:color w:val="auto"/>
        </w:rPr>
      </w:pPr>
      <w:r>
        <w:rPr>
          <w:rFonts w:ascii="Arial" w:cs="Arial" w:eastAsia="Arial" w:hAnsi="Arial"/>
          <w:sz w:val="19"/>
          <w:szCs w:val="19"/>
          <w:color w:val="auto"/>
        </w:rPr>
        <w:t>We consent to the inclusion in this Registration Statement of the metals company on Form S-1 of our report dated March 30, 2021, except for the effects of the restatement disclosed in Note 2 as to which the date is May 24, 2021, which includes an explanatory paragraph as to the Company’s ability to continue as a going concern, with respect to our audits of the financial statements of Sustainable Opportunities Acquisition Corp. as of December 31, 2020 and 2019 and for the year ended December 31, 2020 and the period from December 18, 2019 (inception) through December 31, 2019, which is part of this Registration Statement. We also consent to the reference to our firm under the heading “Experts” in such Prospectus. We were dismissed as auditors on September 9, 2021, and accordingly, we have not performed any audit or review procedures with respect to any financial statements appearing in such Prospectus for the periods after the date of our dismissal.</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/s/ Marcum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Marcum LLP</w:t>
      </w:r>
    </w:p>
    <w:p>
      <w:pPr>
        <w:spacing w:after="0" w:line="238" w:lineRule="auto"/>
        <w:rPr>
          <w:sz w:val="20"/>
          <w:szCs w:val="20"/>
          <w:color w:val="auto"/>
        </w:rPr>
      </w:pPr>
      <w:r>
        <w:rPr>
          <w:rFonts w:ascii="Arial" w:cs="Arial" w:eastAsia="Arial" w:hAnsi="Arial"/>
          <w:sz w:val="22"/>
          <w:szCs w:val="22"/>
          <w:color w:val="auto"/>
        </w:rPr>
        <w:t>New York, NY</w:t>
      </w:r>
    </w:p>
    <w:p>
      <w:pPr>
        <w:spacing w:after="0"/>
        <w:rPr>
          <w:sz w:val="20"/>
          <w:szCs w:val="20"/>
          <w:color w:val="auto"/>
        </w:rPr>
      </w:pPr>
      <w:r>
        <w:rPr>
          <w:rFonts w:ascii="Arial" w:cs="Arial" w:eastAsia="Arial" w:hAnsi="Arial"/>
          <w:sz w:val="22"/>
          <w:szCs w:val="22"/>
          <w:color w:val="auto"/>
        </w:rPr>
        <w:t>October 7, 2021</w:t>
      </w:r>
    </w:p>
    <w:p>
      <w:pPr>
        <w:sectPr>
          <w:pgSz w:w="11900" w:h="16838" w:orient="portrait"/>
          <w:cols w:equalWidth="0" w:num="1">
            <w:col w:w="11240"/>
          </w:cols>
          <w:pgMar w:left="320" w:top="111" w:right="3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26, 2021 with respect to the consolidated financial statements of DeepGreen Metals Inc. (the “Company”) as at and for the years ended December 31, 2020 and December 31, 2019, included in the Registration Statement (Form S-1) of TMC the metals company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7, 2021</w:t>
      </w:r>
    </w:p>
    <w:p>
      <w:pPr>
        <w:sectPr>
          <w:pgSz w:w="11900" w:h="16838" w:orient="portrait"/>
          <w:cols w:equalWidth="0" w:num="1">
            <w:col w:w="11240"/>
          </w:cols>
          <w:pgMar w:left="320" w:top="121" w:right="339" w:bottom="1440" w:gutter="0" w:footer="0" w:header="0"/>
        </w:sectPr>
      </w:pPr>
    </w:p>
    <w:bookmarkStart w:id="323" w:name="page324"/>
    <w:bookmarkEnd w:id="323"/>
    <w:p>
      <w:pPr>
        <w:jc w:val="right"/>
        <w:spacing w:after="0"/>
        <w:rPr>
          <w:sz w:val="20"/>
          <w:szCs w:val="20"/>
          <w:color w:val="auto"/>
        </w:rPr>
      </w:pPr>
      <w:r>
        <w:rPr>
          <w:rFonts w:ascii="Arial" w:cs="Arial" w:eastAsia="Arial" w:hAnsi="Arial"/>
          <w:sz w:val="22"/>
          <w:szCs w:val="22"/>
          <w:b w:val="1"/>
          <w:bCs w:val="1"/>
          <w:color w:val="auto"/>
        </w:rPr>
        <w:t>Exhibit 23.5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AMC Consultants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179 Turbot Street, Brisbane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Queensland, 4060, Australia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AMC Consultants Pty Ltd (“AMC”), in connection with the Registration Statement and any amendments or supplements and/or exhibits thereto (collectively, the Form S-1), consent to:</w:t>
      </w:r>
    </w:p>
    <w:p>
      <w:pPr>
        <w:spacing w:after="0" w:line="170" w:lineRule="exact"/>
        <w:rPr>
          <w:sz w:val="20"/>
          <w:szCs w:val="20"/>
          <w:color w:val="auto"/>
        </w:rPr>
      </w:pPr>
    </w:p>
    <w:p>
      <w:pPr>
        <w:ind w:left="660" w:right="440" w:hanging="328"/>
        <w:spacing w:after="0" w:line="263" w:lineRule="auto"/>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NORI Property, Clarion-Clipperton Zone, for Deep Green Metals Inc.” (the “NORI Technical Report”), with an effective date of March 17, 2021, as an exhibit to and referenced in the Form S-1;</w:t>
      </w:r>
    </w:p>
    <w:p>
      <w:pPr>
        <w:spacing w:after="0" w:line="183"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use of and references to our name, including our status as an expert or “qualified person” (as defined in Subpart 1300 of Regulation S-K promulgated by the Securities and Exchange Commission), in connection with the Form S-1 and any such NORI Technical Report; and</w:t>
      </w:r>
    </w:p>
    <w:p>
      <w:pPr>
        <w:spacing w:after="0" w:line="123" w:lineRule="exact"/>
        <w:rPr>
          <w:rFonts w:ascii="Arial" w:cs="Arial" w:eastAsia="Arial" w:hAnsi="Arial"/>
          <w:sz w:val="16"/>
          <w:szCs w:val="16"/>
          <w:color w:val="auto"/>
        </w:rPr>
      </w:pPr>
    </w:p>
    <w:p>
      <w:pPr>
        <w:ind w:left="660" w:right="80" w:hanging="328"/>
        <w:spacing w:after="0" w:line="342" w:lineRule="auto"/>
        <w:tabs>
          <w:tab w:leader="none" w:pos="6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information derived, summarized, quoted or referenced from the NORI Technical Report, or portions thereof, that was prepared by us, that we supervised the preparation of and/or that was reviewed and approved by us, that is included or incorporated by reference in the Form S-1.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AMC is responsible for authoring,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1: Summary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2: Introduction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3: Property description and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4: Accessibility, climate, local resources, infrastructure, and physiography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5: History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8.2: Sample preparation and assaying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8.3: Quality assurance and quality control procedures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8.4: Quality assurance and quality control procedures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8.5: Moisture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9: Data verification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11: Mineral Resource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12: Mineral Reserve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13.3: Geotechnical considerations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13.7: Life of Mine nodule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14.2: Project Zero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15.1: On-shore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16: Market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17: Environmental studies, permitting and social or community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18 (except 18.3.1, 18.3.2, 18.6.1, 18.6.6): Capital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19: Economic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20: Adjacent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21: Other relevant data and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October 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James Chesher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James Chesher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 Brisbane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AMC Consultants Pty Ltd, a Qualified Third-Party Firm</w:t>
      </w:r>
    </w:p>
    <w:p>
      <w:pPr>
        <w:sectPr>
          <w:pgSz w:w="11900" w:h="16838" w:orient="portrait"/>
          <w:cols w:equalWidth="0" w:num="1">
            <w:col w:w="11240"/>
          </w:cols>
          <w:pgMar w:left="320" w:top="111" w:right="339" w:bottom="1440" w:gutter="0" w:footer="0" w:header="0"/>
        </w:sectPr>
      </w:pPr>
    </w:p>
    <w:bookmarkStart w:id="324" w:name="page325"/>
    <w:bookmarkEnd w:id="324"/>
    <w:p>
      <w:pPr>
        <w:jc w:val="right"/>
        <w:spacing w:after="0"/>
        <w:rPr>
          <w:sz w:val="20"/>
          <w:szCs w:val="20"/>
          <w:color w:val="auto"/>
        </w:rPr>
      </w:pPr>
      <w:r>
        <w:rPr>
          <w:rFonts w:ascii="Arial" w:cs="Arial" w:eastAsia="Arial" w:hAnsi="Arial"/>
          <w:sz w:val="22"/>
          <w:szCs w:val="22"/>
          <w:b w:val="1"/>
          <w:bCs w:val="1"/>
          <w:color w:val="auto"/>
        </w:rPr>
        <w:t>Exhibit 23.6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AMC Consultants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179 Turbot Street, Brisbane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Queensland, 4060, Australia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AMC Consultants Pty Ltd (“AMC”), in connection with the Registration Statement and any amendments or supplements and/or exhibits thereto (collectively, the Form S-1), consent to:</w:t>
      </w:r>
    </w:p>
    <w:p>
      <w:pPr>
        <w:spacing w:after="0" w:line="170" w:lineRule="exact"/>
        <w:rPr>
          <w:sz w:val="20"/>
          <w:szCs w:val="20"/>
          <w:color w:val="auto"/>
        </w:rPr>
      </w:pPr>
    </w:p>
    <w:p>
      <w:pPr>
        <w:ind w:left="660" w:hanging="328"/>
        <w:spacing w:after="0" w:line="263" w:lineRule="auto"/>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26, 2021, as an exhibit to and referenced in the Form S-1;</w:t>
      </w:r>
    </w:p>
    <w:p>
      <w:pPr>
        <w:spacing w:after="0" w:line="183"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use of and references to our name, including our status as an expert or “qualified person” (as defined in Subpart 1300 of Regulation S-K promulgated by the Securities and Exchange Commission), in connection with the Form S-1 and any such TOML Technical Report; and</w:t>
      </w:r>
    </w:p>
    <w:p>
      <w:pPr>
        <w:spacing w:after="0" w:line="123" w:lineRule="exact"/>
        <w:rPr>
          <w:rFonts w:ascii="Arial" w:cs="Arial" w:eastAsia="Arial" w:hAnsi="Arial"/>
          <w:sz w:val="16"/>
          <w:szCs w:val="16"/>
          <w:color w:val="auto"/>
        </w:rPr>
      </w:pPr>
    </w:p>
    <w:p>
      <w:pPr>
        <w:ind w:left="660" w:right="20" w:hanging="328"/>
        <w:spacing w:after="0" w:line="342" w:lineRule="auto"/>
        <w:tabs>
          <w:tab w:leader="none" w:pos="6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information derived, summarized, quoted or referenced from the TOML Technical Report, or portions thereof, that was prepared by us, that we supervised the preparation of and/or that was reviewed and approved by us, that is included or incorporated by reference in the Form S-1.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AMC is responsible for authoring,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 Executive Summary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2: Introduction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3: Property Description and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8: Sample preparation, analyses and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9: Data verification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11.1 – 11.8: Mineral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11.9.1: Geological setting and mineralisation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11.9.2: Exploration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11.9.3: Sample preparation analysis and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11.9.4: Mineral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11.9.8: Market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11.9.9: Environmental studies, permitting and social or community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12: Mineral Reserve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16: Market Studies and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17: Environmental Studies, Permitting, and Social or Community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18: Capital and Operating Cost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19: Economic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20: Adjacent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21: Other Relevant Data and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October 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James Chesher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James Chesher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 Brisbane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AMC Consultants Pty Ltd, a Qualified Third-Party Firm</w:t>
      </w:r>
    </w:p>
    <w:p>
      <w:pPr>
        <w:sectPr>
          <w:pgSz w:w="11900" w:h="16838" w:orient="portrait"/>
          <w:cols w:equalWidth="0" w:num="1">
            <w:col w:w="11240"/>
          </w:cols>
          <w:pgMar w:left="320" w:top="111" w:right="339" w:bottom="1440" w:gutter="0" w:footer="0" w:header="0"/>
        </w:sectPr>
      </w:pPr>
    </w:p>
    <w:bookmarkStart w:id="325" w:name="page326"/>
    <w:bookmarkEnd w:id="325"/>
    <w:p>
      <w:pPr>
        <w:jc w:val="right"/>
        <w:spacing w:after="0"/>
        <w:rPr>
          <w:sz w:val="20"/>
          <w:szCs w:val="20"/>
          <w:color w:val="auto"/>
        </w:rPr>
      </w:pPr>
      <w:r>
        <w:rPr>
          <w:rFonts w:ascii="Arial" w:cs="Arial" w:eastAsia="Arial" w:hAnsi="Arial"/>
          <w:sz w:val="22"/>
          <w:szCs w:val="22"/>
          <w:b w:val="1"/>
          <w:bCs w:val="1"/>
          <w:color w:val="auto"/>
        </w:rPr>
        <w:t>Exhibit 23.7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Canadian Engineering Associates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104-3300 Highway 7, Unit 384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Concord, ON L4K 0G2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Canadian Engineering Associates Ltd (“CEA”), in connection with the Registration Statement and any amendments or supplements and/or exhibits thereto (collectively, the Form S-1), consent to:</w:t>
      </w:r>
    </w:p>
    <w:p>
      <w:pPr>
        <w:spacing w:after="0" w:line="170" w:lineRule="exact"/>
        <w:rPr>
          <w:sz w:val="20"/>
          <w:szCs w:val="20"/>
          <w:color w:val="auto"/>
        </w:rPr>
      </w:pPr>
    </w:p>
    <w:p>
      <w:pPr>
        <w:jc w:val="both"/>
        <w:ind w:left="660" w:right="700" w:hanging="328"/>
        <w:spacing w:after="0" w:line="263"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as an exhibit to and referenced in the Form S-1;</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as an exhibit to and referenced in the Form S-1;</w:t>
      </w:r>
    </w:p>
    <w:p>
      <w:pPr>
        <w:spacing w:after="0" w:line="183"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use of and references to our name, including our status as an expert or “qualified person” (as defined in Subpart 1300 of Regulation S-K promulgated by the Securities and Exchange Commission), in connection with the Form S-1 and any such NORI Technical Report and TOML Technical Report; and</w:t>
      </w:r>
    </w:p>
    <w:p>
      <w:pPr>
        <w:spacing w:after="0" w:line="183" w:lineRule="exact"/>
        <w:rPr>
          <w:rFonts w:ascii="Arial" w:cs="Arial" w:eastAsia="Arial" w:hAnsi="Arial"/>
          <w:sz w:val="18"/>
          <w:szCs w:val="18"/>
          <w:color w:val="auto"/>
        </w:rPr>
      </w:pPr>
    </w:p>
    <w:p>
      <w:pPr>
        <w:jc w:val="both"/>
        <w:ind w:left="660" w:right="280" w:hanging="328"/>
        <w:spacing w:after="0" w:line="263"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information derived, summarized, quoted or referenced from the NORI Technical Report and TOML Technical Report, or portions thereof, that was prepared by us, that we supervised the preparation of and/or that was reviewed and approved by us, that is included or incorporated by reference in the Form S-1.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CEA is responsible for,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Section 10: Mineral processing and metallurgical testing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Section 14.1: Process design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Section 14.3: Project 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Section 18.3.2: On-shore capital cost for Project 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Section 18.6.6: On-shore operating costs – Project 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CEA is responsible for,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Section 10: Mineral processing and metallurgical testing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Section 11.9.6: Mineral processing and metallurgical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Section 14: Recovery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October 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Cameron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Cameron Harris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Canadian Engineering Associates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Qualified Third-Party Firm</w:t>
      </w:r>
    </w:p>
    <w:p>
      <w:pPr>
        <w:sectPr>
          <w:pgSz w:w="11900" w:h="16838" w:orient="portrait"/>
          <w:cols w:equalWidth="0" w:num="1">
            <w:col w:w="11240"/>
          </w:cols>
          <w:pgMar w:left="320" w:top="111"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22"/>
          <w:szCs w:val="22"/>
          <w:b w:val="1"/>
          <w:bCs w:val="1"/>
          <w:color w:val="auto"/>
        </w:rPr>
        <w:t>Exhibit 23.8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Deep Reach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10050 Cash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Stafford, TX 77477 USA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Deep Reach Technology Inc. (“DRT”), in connection with the Registration Statement and any amendments or supplements and/or exhibits thereto (collectively, the Form S-1), consent to:</w:t>
      </w:r>
    </w:p>
    <w:p>
      <w:pPr>
        <w:spacing w:after="0" w:line="170" w:lineRule="exact"/>
        <w:rPr>
          <w:sz w:val="20"/>
          <w:szCs w:val="20"/>
          <w:color w:val="auto"/>
        </w:rPr>
      </w:pPr>
    </w:p>
    <w:p>
      <w:pPr>
        <w:jc w:val="both"/>
        <w:ind w:left="660" w:right="700" w:hanging="328"/>
        <w:spacing w:after="0" w:line="263" w:lineRule="auto"/>
        <w:tabs>
          <w:tab w:leader="none" w:pos="6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as an exhibit to and referenced in the Form S-1;</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as an exhibit to and referenced in the Form S-1;</w:t>
      </w:r>
    </w:p>
    <w:p>
      <w:pPr>
        <w:spacing w:after="0" w:line="183"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use of and references to our name, including our status as an expert or “qualified person” (as defined in Subpart 1300 of Regulation S-K promulgated by the Securities and Exchange Commission), in connection with the Form S-1 and any such NORI Technical Report and TOML Technical Report; and</w:t>
      </w:r>
    </w:p>
    <w:p>
      <w:pPr>
        <w:spacing w:after="0" w:line="183" w:lineRule="exact"/>
        <w:rPr>
          <w:rFonts w:ascii="Arial" w:cs="Arial" w:eastAsia="Arial" w:hAnsi="Arial"/>
          <w:sz w:val="18"/>
          <w:szCs w:val="18"/>
          <w:color w:val="auto"/>
        </w:rPr>
      </w:pPr>
    </w:p>
    <w:p>
      <w:pPr>
        <w:jc w:val="both"/>
        <w:ind w:left="660" w:right="280" w:hanging="328"/>
        <w:spacing w:after="0" w:line="263" w:lineRule="auto"/>
        <w:tabs>
          <w:tab w:leader="none" w:pos="6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information derived, summarized, quoted or referenced from the NORI Technical Report and TOML Technical Report, or portions thereof, that was prepared by us, that we supervised the preparation of and/or that was reviewed and approved by us, that is included or incorporated by reference in the Form S-1.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DRT is responsible for authoring,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Section 13.1: Development plan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Section 13.2: Off-shore system concept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Section 13.4: Collector Test and Hidden Gem conversion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Section 13.5: Project Zero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Section 13.6: Project 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Section 15.2: Nodule transport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Section 18.3.1: Off-shore capital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Section 18.6.1: Off-shore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DRT is responsible for authoring,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Section 11.9.5: Mining Methods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Section 11.9.7: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Section 13: Mining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Section 15: Project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October 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Edwin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Edwin Halkyard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Deep Reach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Qualified Third-Party Firm</w:t>
      </w:r>
    </w:p>
    <w:p>
      <w:pPr>
        <w:sectPr>
          <w:pgSz w:w="11900" w:h="16838" w:orient="portrait"/>
          <w:cols w:equalWidth="0" w:num="1">
            <w:col w:w="11240"/>
          </w:cols>
          <w:pgMar w:left="320" w:top="111" w:right="339" w:bottom="1440" w:gutter="0" w:footer="0" w:header="0"/>
        </w:sectPr>
      </w:pPr>
    </w:p>
    <w:bookmarkStart w:id="327" w:name="page328"/>
    <w:bookmarkEnd w:id="327"/>
    <w:p>
      <w:pPr>
        <w:jc w:val="right"/>
        <w:spacing w:after="0"/>
        <w:rPr>
          <w:sz w:val="20"/>
          <w:szCs w:val="20"/>
          <w:color w:val="auto"/>
        </w:rPr>
      </w:pPr>
      <w:r>
        <w:rPr>
          <w:rFonts w:ascii="Arial" w:cs="Arial" w:eastAsia="Arial" w:hAnsi="Arial"/>
          <w:sz w:val="22"/>
          <w:szCs w:val="22"/>
          <w:b w:val="1"/>
          <w:bCs w:val="1"/>
          <w:color w:val="auto"/>
        </w:rPr>
        <w:t>Exhibit 23.9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Margin - Marine Geoscience Innovation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 Kalang Circuit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Coffs Harbour, 2450, NSW, Australia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Margin - Marine Geoscience Innovation (“MMGI”), in connection with the Registration Statement and any amendments or supplements and/or exhibits thereto (collectively, the Form S-1), consent to:</w:t>
      </w:r>
    </w:p>
    <w:p>
      <w:pPr>
        <w:spacing w:after="0" w:line="170" w:lineRule="exact"/>
        <w:rPr>
          <w:sz w:val="20"/>
          <w:szCs w:val="20"/>
          <w:color w:val="auto"/>
        </w:rPr>
      </w:pPr>
    </w:p>
    <w:p>
      <w:pPr>
        <w:jc w:val="both"/>
        <w:ind w:left="660" w:right="700" w:hanging="328"/>
        <w:spacing w:after="0" w:line="263" w:lineRule="auto"/>
        <w:tabs>
          <w:tab w:leader="none" w:pos="6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as an exhibit to and referenced in the Form S-1;</w:t>
      </w:r>
    </w:p>
    <w:p>
      <w:pPr>
        <w:spacing w:after="0" w:line="183"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use of and references to our name, including our status as an expert or “qualified person” (as defined in Subpart 1300 of Regulation S-K promulgated by the Securities and Exchange Commission), in connection with the Form S-1 and any such NORI Technical Report; and</w:t>
      </w:r>
    </w:p>
    <w:p>
      <w:pPr>
        <w:spacing w:after="0" w:line="123" w:lineRule="exact"/>
        <w:rPr>
          <w:rFonts w:ascii="Arial" w:cs="Arial" w:eastAsia="Arial" w:hAnsi="Arial"/>
          <w:sz w:val="16"/>
          <w:szCs w:val="16"/>
          <w:color w:val="auto"/>
        </w:rPr>
      </w:pPr>
    </w:p>
    <w:p>
      <w:pPr>
        <w:ind w:left="660" w:right="80" w:hanging="328"/>
        <w:spacing w:after="0" w:line="342" w:lineRule="auto"/>
        <w:tabs>
          <w:tab w:leader="none" w:pos="6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information derived, summarized, quoted or referenced from the NORI Technical Report, or portions thereof, that was prepared by us, that we supervised the preparation of and/or that was reviewed and approved by us, that is included or incorporated by reference in the Form S-1.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MMGI is responsible for authoring,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Section 6: Geological setting and mineralisation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Section 7: Exploration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Section 8.1: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October 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Ian Robert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Ian Robert Stevenson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Margin - Marine Geoscience Innovation,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Qualified Third-Party Firm</w:t>
      </w:r>
    </w:p>
    <w:p>
      <w:pPr>
        <w:sectPr>
          <w:pgSz w:w="11900" w:h="16838" w:orient="portrait"/>
          <w:cols w:equalWidth="0" w:num="1">
            <w:col w:w="11240"/>
          </w:cols>
          <w:pgMar w:left="320" w:top="111" w:right="339" w:bottom="1440" w:gutter="0" w:footer="0" w:header="0"/>
        </w:sectPr>
      </w:pPr>
    </w:p>
    <w:bookmarkStart w:id="328" w:name="page329"/>
    <w:bookmarkEnd w:id="328"/>
    <w:p>
      <w:pPr>
        <w:jc w:val="right"/>
        <w:spacing w:after="0"/>
        <w:rPr>
          <w:sz w:val="20"/>
          <w:szCs w:val="20"/>
          <w:color w:val="auto"/>
        </w:rPr>
      </w:pPr>
      <w:r>
        <w:rPr>
          <w:rFonts w:ascii="Arial" w:cs="Arial" w:eastAsia="Arial" w:hAnsi="Arial"/>
          <w:sz w:val="22"/>
          <w:szCs w:val="22"/>
          <w:b w:val="1"/>
          <w:bCs w:val="1"/>
          <w:color w:val="auto"/>
        </w:rPr>
        <w:t>Exhibit 23.10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John Michael Parianos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1/108 River Terrace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Kangaroo Point 4169, Australia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John Michael Parianos, in connection with the Registration Statement and any amendments or supplements and/or exhibits thereto (collectively, the Form S-1), consent to:</w:t>
      </w:r>
    </w:p>
    <w:p>
      <w:pPr>
        <w:spacing w:after="0" w:line="170" w:lineRule="exact"/>
        <w:rPr>
          <w:sz w:val="20"/>
          <w:szCs w:val="20"/>
          <w:color w:val="auto"/>
        </w:rPr>
      </w:pPr>
    </w:p>
    <w:p>
      <w:pPr>
        <w:ind w:left="660" w:hanging="328"/>
        <w:spacing w:after="0" w:line="263" w:lineRule="auto"/>
        <w:tabs>
          <w:tab w:leader="none" w:pos="6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as an exhibit to and referenced in the Form S-1;</w:t>
      </w:r>
    </w:p>
    <w:p>
      <w:pPr>
        <w:spacing w:after="0" w:line="183" w:lineRule="exact"/>
        <w:rPr>
          <w:rFonts w:ascii="Arial" w:cs="Arial" w:eastAsia="Arial" w:hAnsi="Arial"/>
          <w:sz w:val="18"/>
          <w:szCs w:val="18"/>
          <w:color w:val="auto"/>
        </w:rPr>
      </w:pPr>
    </w:p>
    <w:p>
      <w:pPr>
        <w:ind w:left="660" w:right="540" w:hanging="328"/>
        <w:spacing w:after="0" w:line="342" w:lineRule="auto"/>
        <w:tabs>
          <w:tab w:leader="none" w:pos="6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use of and references to my name, including my status as an expert or “qualified person” (as defined in Subpart 1300 of Regulation S-K promulgated by the Securities and Exchange Commission), in connection with the Form S-1 and any such TOML Technical Report; and</w:t>
      </w:r>
    </w:p>
    <w:p>
      <w:pPr>
        <w:spacing w:after="0" w:line="123" w:lineRule="exact"/>
        <w:rPr>
          <w:rFonts w:ascii="Arial" w:cs="Arial" w:eastAsia="Arial" w:hAnsi="Arial"/>
          <w:sz w:val="16"/>
          <w:szCs w:val="16"/>
          <w:color w:val="auto"/>
        </w:rPr>
      </w:pPr>
    </w:p>
    <w:p>
      <w:pPr>
        <w:ind w:left="660" w:right="100" w:hanging="328"/>
        <w:spacing w:after="0" w:line="342" w:lineRule="auto"/>
        <w:tabs>
          <w:tab w:leader="none" w:pos="6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information derived, summarized, quoted or referenced from the TOML Technical Report, or portions thereof, that was prepared by me, that I supervised the preparation of and/or that was reviewed and approved by me, that is included or incorporated by reference in the Form S-1.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 am a qualified person responsible for authoring,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Section 4: Accessibility, Climate, Local Resources, Infrastructure and Physiography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Section 5: History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Section 6: Geological Setting and Mineralisation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Section 7: Exploration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October 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Michael Parianos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Michael Parianos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Qualified Person</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B5E776"/>
    <w:multiLevelType w:val="hybridMultilevel"/>
    <w:lvl w:ilvl="0">
      <w:lvlJc w:val="left"/>
      <w:lvlText w:val="(%1)"/>
      <w:numFmt w:val="decimal"/>
      <w:start w:val="1"/>
    </w:lvl>
  </w:abstractNum>
  <w:abstractNum w:abstractNumId="1">
    <w:nsid w:val="75486E47"/>
    <w:multiLevelType w:val="hybridMultilevel"/>
    <w:lvl w:ilvl="0">
      <w:lvlJc w:val="left"/>
      <w:lvlText w:val="(%1)"/>
      <w:numFmt w:val="lowerRoman"/>
      <w:start w:val="7"/>
    </w:lvl>
  </w:abstractNum>
  <w:abstractNum w:abstractNumId="2">
    <w:nsid w:val="6E534CDE"/>
    <w:multiLevelType w:val="hybridMultilevel"/>
    <w:lvl w:ilvl="0">
      <w:lvlJc w:val="left"/>
      <w:lvlText w:val="(%1)"/>
      <w:numFmt w:val="lowerLetter"/>
      <w:start w:val="8"/>
    </w:lvl>
  </w:abstractNum>
  <w:abstractNum w:abstractNumId="3">
    <w:nsid w:val="1A0DDE32"/>
    <w:multiLevelType w:val="hybridMultilevel"/>
    <w:lvl w:ilvl="0">
      <w:lvlJc w:val="left"/>
      <w:lvlText w:val="•"/>
      <w:numFmt w:val="bullet"/>
      <w:start w:val="1"/>
    </w:lvl>
  </w:abstractNum>
  <w:abstractNum w:abstractNumId="4">
    <w:nsid w:val="65968C1C"/>
    <w:multiLevelType w:val="hybridMultilevel"/>
    <w:lvl w:ilvl="0">
      <w:lvlJc w:val="left"/>
      <w:lvlText w:val="(%1)"/>
      <w:numFmt w:val="lowerRoman"/>
      <w:start w:val="2"/>
    </w:lvl>
  </w:abstractNum>
  <w:abstractNum w:abstractNumId="5">
    <w:nsid w:val="46263DEC"/>
    <w:multiLevelType w:val="hybridMultilevel"/>
    <w:lvl w:ilvl="0">
      <w:lvlJc w:val="left"/>
      <w:lvlText w:val="•"/>
      <w:numFmt w:val="bullet"/>
      <w:start w:val="1"/>
    </w:lvl>
  </w:abstractNum>
  <w:abstractNum w:abstractNumId="6">
    <w:nsid w:val="260D8C4A"/>
    <w:multiLevelType w:val="hybridMultilevel"/>
    <w:lvl w:ilvl="0">
      <w:lvlJc w:val="left"/>
      <w:lvlText w:val="•"/>
      <w:numFmt w:val="bullet"/>
      <w:start w:val="1"/>
    </w:lvl>
  </w:abstractNum>
  <w:abstractNum w:abstractNumId="7">
    <w:nsid w:val="73D4D3C4"/>
    <w:multiLevelType w:val="hybridMultilevel"/>
    <w:lvl w:ilvl="0">
      <w:lvlJc w:val="left"/>
      <w:lvlText w:val="(%1)"/>
      <w:numFmt w:val="lowerLetter"/>
      <w:start w:val="1"/>
    </w:lvl>
  </w:abstractNum>
  <w:abstractNum w:abstractNumId="8">
    <w:nsid w:val="746F2E30"/>
    <w:multiLevelType w:val="hybridMultilevel"/>
    <w:lvl w:ilvl="0">
      <w:lvlJc w:val="left"/>
      <w:lvlText w:val="(%1)"/>
      <w:numFmt w:val="decimal"/>
      <w:start w:val="1"/>
    </w:lvl>
  </w:abstractNum>
  <w:abstractNum w:abstractNumId="9">
    <w:nsid w:val="6FDE8AF6"/>
    <w:multiLevelType w:val="hybridMultilevel"/>
    <w:lvl w:ilvl="0">
      <w:lvlJc w:val="left"/>
      <w:lvlText w:val="•"/>
      <w:numFmt w:val="bullet"/>
      <w:start w:val="1"/>
    </w:lvl>
  </w:abstractNum>
  <w:abstractNum w:abstractNumId="10">
    <w:nsid w:val="3FC32E20"/>
    <w:multiLevelType w:val="hybridMultilevel"/>
    <w:lvl w:ilvl="0">
      <w:lvlJc w:val="left"/>
      <w:lvlText w:val="•"/>
      <w:numFmt w:val="bullet"/>
      <w:start w:val="1"/>
    </w:lvl>
  </w:abstractNum>
  <w:abstractNum w:abstractNumId="11">
    <w:nsid w:val="49C0E823"/>
    <w:multiLevelType w:val="hybridMultilevel"/>
    <w:lvl w:ilvl="0">
      <w:lvlJc w:val="left"/>
      <w:lvlText w:val="•"/>
      <w:numFmt w:val="bullet"/>
      <w:start w:val="1"/>
    </w:lvl>
  </w:abstractNum>
  <w:abstractNum w:abstractNumId="12">
    <w:nsid w:val="14D53685"/>
    <w:multiLevelType w:val="hybridMultilevel"/>
    <w:lvl w:ilvl="0">
      <w:lvlJc w:val="left"/>
      <w:lvlText w:val="(%1)"/>
      <w:numFmt w:val="lowerRoman"/>
      <w:start w:val="8"/>
    </w:lvl>
  </w:abstractNum>
  <w:abstractNum w:abstractNumId="13">
    <w:nsid w:val="230F856C"/>
    <w:multiLevelType w:val="hybridMultilevel"/>
    <w:lvl w:ilvl="0">
      <w:lvlJc w:val="left"/>
      <w:lvlText w:val="•"/>
      <w:numFmt w:val="bullet"/>
      <w:start w:val="1"/>
    </w:lvl>
  </w:abstractNum>
  <w:abstractNum w:abstractNumId="14">
    <w:nsid w:val="6EAA85FB"/>
    <w:multiLevelType w:val="hybridMultilevel"/>
    <w:lvl w:ilvl="0">
      <w:lvlJc w:val="left"/>
      <w:lvlText w:val="•"/>
      <w:numFmt w:val="bullet"/>
      <w:start w:val="1"/>
    </w:lvl>
  </w:abstractNum>
  <w:abstractNum w:abstractNumId="15">
    <w:nsid w:val="3F06ECB2"/>
    <w:multiLevelType w:val="hybridMultilevel"/>
    <w:lvl w:ilvl="0">
      <w:lvlJc w:val="left"/>
      <w:lvlText w:val="•"/>
      <w:numFmt w:val="bullet"/>
      <w:start w:val="1"/>
    </w:lvl>
  </w:abstractNum>
  <w:abstractNum w:abstractNumId="16">
    <w:nsid w:val="3B594807"/>
    <w:multiLevelType w:val="hybridMultilevel"/>
    <w:lvl w:ilvl="0">
      <w:lvlJc w:val="left"/>
      <w:lvlText w:val="•"/>
      <w:numFmt w:val="bullet"/>
      <w:start w:val="1"/>
    </w:lvl>
  </w:abstractNum>
  <w:abstractNum w:abstractNumId="17">
    <w:nsid w:val="6CAA2304"/>
    <w:multiLevelType w:val="hybridMultilevel"/>
    <w:lvl w:ilvl="0">
      <w:lvlJc w:val="left"/>
      <w:lvlText w:val="(%1)"/>
      <w:numFmt w:val="lowerRoman"/>
      <w:start w:val="2"/>
    </w:lvl>
  </w:abstractNum>
  <w:abstractNum w:abstractNumId="18">
    <w:nsid w:val="3F7C2FF4"/>
    <w:multiLevelType w:val="hybridMultilevel"/>
    <w:lvl w:ilvl="0">
      <w:lvlJc w:val="left"/>
      <w:lvlText w:val="•"/>
      <w:numFmt w:val="bullet"/>
      <w:start w:val="1"/>
    </w:lvl>
  </w:abstractNum>
  <w:abstractNum w:abstractNumId="19">
    <w:nsid w:val="25413BEC"/>
    <w:multiLevelType w:val="hybridMultilevel"/>
    <w:lvl w:ilvl="0">
      <w:lvlJc w:val="left"/>
      <w:lvlText w:val="•"/>
      <w:numFmt w:val="bullet"/>
      <w:start w:val="1"/>
    </w:lvl>
  </w:abstractNum>
  <w:abstractNum w:abstractNumId="20">
    <w:nsid w:val="17180B0B"/>
    <w:multiLevelType w:val="hybridMultilevel"/>
    <w:lvl w:ilvl="0">
      <w:lvlJc w:val="left"/>
      <w:lvlText w:val="*"/>
      <w:numFmt w:val="bullet"/>
      <w:start w:val="1"/>
    </w:lvl>
  </w:abstractNum>
  <w:abstractNum w:abstractNumId="21">
    <w:nsid w:val="579328B9"/>
    <w:multiLevelType w:val="hybridMultilevel"/>
    <w:lvl w:ilvl="0">
      <w:lvlJc w:val="left"/>
      <w:lvlText w:val="%1)"/>
      <w:numFmt w:val="lowerLetter"/>
      <w:start w:val="1"/>
    </w:lvl>
  </w:abstractNum>
  <w:abstractNum w:abstractNumId="22">
    <w:nsid w:val="5D205E20"/>
    <w:multiLevelType w:val="hybridMultilevel"/>
    <w:lvl w:ilvl="0">
      <w:lvlJc w:val="left"/>
      <w:lvlText w:val="%1)"/>
      <w:numFmt w:val="lowerLetter"/>
      <w:start w:val="8"/>
    </w:lvl>
  </w:abstractNum>
  <w:abstractNum w:abstractNumId="23">
    <w:nsid w:val="11CCA8BA"/>
    <w:multiLevelType w:val="hybridMultilevel"/>
    <w:lvl w:ilvl="0">
      <w:lvlJc w:val="left"/>
      <w:lvlText w:val="%1)"/>
      <w:numFmt w:val="lowerLetter"/>
      <w:start w:val="1"/>
    </w:lvl>
  </w:abstractNum>
  <w:abstractNum w:abstractNumId="24">
    <w:nsid w:val="4D32AB86"/>
    <w:multiLevelType w:val="hybridMultilevel"/>
    <w:lvl w:ilvl="0">
      <w:lvlJc w:val="left"/>
      <w:lvlText w:val="*"/>
      <w:numFmt w:val="bullet"/>
      <w:start w:val="1"/>
    </w:lvl>
  </w:abstractNum>
  <w:abstractNum w:abstractNumId="25">
    <w:nsid w:val="3F07ACC3"/>
    <w:multiLevelType w:val="hybridMultilevel"/>
    <w:lvl w:ilvl="0">
      <w:lvlJc w:val="left"/>
      <w:lvlText w:val="•"/>
      <w:numFmt w:val="bullet"/>
      <w:start w:val="1"/>
    </w:lvl>
  </w:abstractNum>
  <w:abstractNum w:abstractNumId="26">
    <w:nsid w:val="6B47F63E"/>
    <w:multiLevelType w:val="hybridMultilevel"/>
    <w:lvl w:ilvl="0">
      <w:lvlJc w:val="left"/>
      <w:lvlText w:val="•"/>
      <w:numFmt w:val="bullet"/>
      <w:start w:val="1"/>
    </w:lvl>
  </w:abstractNum>
  <w:abstractNum w:abstractNumId="27">
    <w:nsid w:val="5CB44A05"/>
    <w:multiLevelType w:val="hybridMultilevel"/>
    <w:lvl w:ilvl="0">
      <w:lvlJc w:val="left"/>
      <w:lvlText w:val="•"/>
      <w:numFmt w:val="bullet"/>
      <w:start w:val="1"/>
    </w:lvl>
  </w:abstractNum>
  <w:abstractNum w:abstractNumId="28">
    <w:nsid w:val="16CF80F1"/>
    <w:multiLevelType w:val="hybridMultilevel"/>
    <w:lvl w:ilvl="0">
      <w:lvlJc w:val="left"/>
      <w:lvlText w:val="•"/>
      <w:numFmt w:val="bullet"/>
      <w:start w:val="1"/>
    </w:lvl>
  </w:abstractNum>
  <w:abstractNum w:abstractNumId="29">
    <w:nsid w:val="1C695DEC"/>
    <w:multiLevelType w:val="hybridMultilevel"/>
    <w:lvl w:ilvl="0">
      <w:lvlJc w:val="left"/>
      <w:lvlText w:val="•"/>
      <w:numFmt w:val="bullet"/>
      <w:start w:val="1"/>
    </w:lvl>
  </w:abstractNum>
  <w:abstractNum w:abstractNumId="30">
    <w:nsid w:val="3FCFAED9"/>
    <w:multiLevelType w:val="hybridMultilevel"/>
    <w:lvl w:ilvl="0">
      <w:lvlJc w:val="left"/>
      <w:lvlText w:val="•"/>
      <w:numFmt w:val="bullet"/>
      <w:start w:val="1"/>
    </w:lvl>
  </w:abstractNum>
  <w:abstractNum w:abstractNumId="31">
    <w:nsid w:val="F856867"/>
    <w:multiLevelType w:val="hybridMultilevel"/>
    <w:lvl w:ilvl="0">
      <w:lvlJc w:val="left"/>
      <w:lvlText w:val="(%1)"/>
      <w:numFmt w:val="lowerRoman"/>
      <w:start w:val="2"/>
    </w:lvl>
  </w:abstractNum>
  <w:abstractNum w:abstractNumId="32">
    <w:nsid w:val="11B1CC33"/>
    <w:multiLevelType w:val="hybridMultilevel"/>
    <w:lvl w:ilvl="0">
      <w:lvlJc w:val="left"/>
      <w:lvlText w:val="•"/>
      <w:numFmt w:val="bullet"/>
      <w:start w:val="1"/>
    </w:lvl>
  </w:abstractNum>
  <w:abstractNum w:abstractNumId="33">
    <w:nsid w:val="2E22FBB7"/>
    <w:multiLevelType w:val="hybridMultilevel"/>
    <w:lvl w:ilvl="0">
      <w:lvlJc w:val="left"/>
      <w:lvlText w:val="•"/>
      <w:numFmt w:val="bullet"/>
      <w:start w:val="1"/>
    </w:lvl>
  </w:abstractNum>
  <w:abstractNum w:abstractNumId="34">
    <w:nsid w:val="29934699"/>
    <w:multiLevelType w:val="hybridMultilevel"/>
    <w:lvl w:ilvl="0">
      <w:lvlJc w:val="left"/>
      <w:lvlText w:val="•"/>
      <w:numFmt w:val="bullet"/>
      <w:start w:val="1"/>
    </w:lvl>
  </w:abstractNum>
  <w:abstractNum w:abstractNumId="35">
    <w:nsid w:val="77485850"/>
    <w:multiLevelType w:val="hybridMultilevel"/>
    <w:lvl w:ilvl="0">
      <w:lvlJc w:val="left"/>
      <w:lvlText w:val="•"/>
      <w:numFmt w:val="bullet"/>
      <w:start w:val="1"/>
    </w:lvl>
  </w:abstractNum>
  <w:abstractNum w:abstractNumId="36">
    <w:nsid w:val="744939A3"/>
    <w:multiLevelType w:val="hybridMultilevel"/>
    <w:lvl w:ilvl="0">
      <w:lvlJc w:val="left"/>
      <w:lvlText w:val="•"/>
      <w:numFmt w:val="bullet"/>
      <w:start w:val="1"/>
    </w:lvl>
  </w:abstractNum>
  <w:abstractNum w:abstractNumId="37">
    <w:nsid w:val="4FA0D2E3"/>
    <w:multiLevelType w:val="hybridMultilevel"/>
    <w:lvl w:ilvl="0">
      <w:lvlJc w:val="left"/>
      <w:lvlText w:val="•"/>
      <w:numFmt w:val="bullet"/>
      <w:start w:val="1"/>
    </w:lvl>
  </w:abstractNum>
  <w:abstractNum w:abstractNumId="38">
    <w:nsid w:val="6B1D2C14"/>
    <w:multiLevelType w:val="hybridMultilevel"/>
    <w:lvl w:ilvl="0">
      <w:lvlJc w:val="left"/>
      <w:lvlText w:val="%1"/>
      <w:numFmt w:val="upperLetter"/>
      <w:start w:val="30"/>
    </w:lvl>
  </w:abstractNum>
  <w:abstractNum w:abstractNumId="39">
    <w:nsid w:val="68B867D3"/>
    <w:multiLevelType w:val="hybridMultilevel"/>
    <w:lvl w:ilvl="0">
      <w:lvlJc w:val="left"/>
      <w:lvlText w:val="•"/>
      <w:numFmt w:val="bullet"/>
      <w:start w:val="1"/>
    </w:lvl>
  </w:abstractNum>
  <w:abstractNum w:abstractNumId="40">
    <w:nsid w:val="3F7F5DD9"/>
    <w:multiLevelType w:val="hybridMultilevel"/>
    <w:lvl w:ilvl="0">
      <w:lvlJc w:val="left"/>
      <w:lvlText w:val="•"/>
      <w:numFmt w:val="bullet"/>
      <w:start w:val="1"/>
    </w:lvl>
  </w:abstractNum>
  <w:abstractNum w:abstractNumId="41">
    <w:nsid w:val="2AE05A34"/>
    <w:multiLevelType w:val="hybridMultilevel"/>
    <w:lvl w:ilvl="0">
      <w:lvlJc w:val="left"/>
      <w:lvlText w:val="•"/>
      <w:numFmt w:val="bullet"/>
      <w:start w:val="1"/>
    </w:lvl>
  </w:abstractNum>
  <w:abstractNum w:abstractNumId="42">
    <w:nsid w:val="32794FF7"/>
    <w:multiLevelType w:val="hybridMultilevel"/>
    <w:lvl w:ilvl="0">
      <w:lvlJc w:val="left"/>
      <w:lvlText w:val="D"/>
      <w:numFmt w:val="bullet"/>
      <w:start w:val="1"/>
    </w:lvl>
  </w:abstractNum>
  <w:abstractNum w:abstractNumId="43">
    <w:nsid w:val="5454945E"/>
    <w:multiLevelType w:val="hybridMultilevel"/>
    <w:lvl w:ilvl="0">
      <w:lvlJc w:val="left"/>
      <w:lvlText w:val="•"/>
      <w:numFmt w:val="bullet"/>
      <w:start w:val="1"/>
    </w:lvl>
  </w:abstractNum>
  <w:abstractNum w:abstractNumId="44">
    <w:nsid w:val="4DEFDFA0"/>
    <w:multiLevelType w:val="hybridMultilevel"/>
    <w:lvl w:ilvl="0">
      <w:lvlJc w:val="left"/>
      <w:lvlText w:val="%1."/>
      <w:numFmt w:val="decimal"/>
      <w:start w:val="97"/>
    </w:lvl>
  </w:abstractNum>
  <w:abstractNum w:abstractNumId="45">
    <w:nsid w:val="2123D5F2"/>
    <w:multiLevelType w:val="hybridMultilevel"/>
    <w:lvl w:ilvl="0">
      <w:lvlJc w:val="left"/>
      <w:lvlText w:val="•"/>
      <w:numFmt w:val="bullet"/>
      <w:start w:val="1"/>
    </w:lvl>
  </w:abstractNum>
  <w:abstractNum w:abstractNumId="46">
    <w:nsid w:val="135B8110"/>
    <w:multiLevelType w:val="hybridMultilevel"/>
    <w:lvl w:ilvl="0">
      <w:lvlJc w:val="left"/>
      <w:lvlText w:val="•"/>
      <w:numFmt w:val="bullet"/>
      <w:start w:val="1"/>
    </w:lvl>
  </w:abstractNum>
  <w:abstractNum w:abstractNumId="47">
    <w:nsid w:val="94927A8"/>
    <w:multiLevelType w:val="hybridMultilevel"/>
    <w:lvl w:ilvl="0">
      <w:lvlJc w:val="left"/>
      <w:lvlText w:val="•"/>
      <w:numFmt w:val="bullet"/>
      <w:start w:val="1"/>
    </w:lvl>
  </w:abstractNum>
  <w:abstractNum w:abstractNumId="48">
    <w:nsid w:val="DCDF8F6"/>
    <w:multiLevelType w:val="hybridMultilevel"/>
    <w:lvl w:ilvl="0">
      <w:lvlJc w:val="left"/>
      <w:lvlText w:val="$"/>
      <w:numFmt w:val="bullet"/>
      <w:start w:val="1"/>
    </w:lvl>
  </w:abstractNum>
  <w:abstractNum w:abstractNumId="49">
    <w:nsid w:val="52D7B105"/>
    <w:multiLevelType w:val="hybridMultilevel"/>
    <w:lvl w:ilvl="0">
      <w:lvlJc w:val="left"/>
      <w:lvlText w:val="$"/>
      <w:numFmt w:val="bullet"/>
      <w:start w:val="1"/>
    </w:lvl>
  </w:abstractNum>
  <w:abstractNum w:abstractNumId="50">
    <w:nsid w:val="2E8A6394"/>
    <w:multiLevelType w:val="hybridMultilevel"/>
    <w:lvl w:ilvl="0">
      <w:lvlJc w:val="left"/>
      <w:lvlText w:val="$"/>
      <w:numFmt w:val="bullet"/>
      <w:start w:val="1"/>
    </w:lvl>
  </w:abstractNum>
  <w:abstractNum w:abstractNumId="51">
    <w:nsid w:val="24E60401"/>
    <w:multiLevelType w:val="hybridMultilevel"/>
    <w:lvl w:ilvl="0">
      <w:lvlJc w:val="left"/>
      <w:lvlText w:val="$"/>
      <w:numFmt w:val="bullet"/>
      <w:start w:val="1"/>
    </w:lvl>
  </w:abstractNum>
  <w:abstractNum w:abstractNumId="52">
    <w:nsid w:val="2A6AD9BE"/>
    <w:multiLevelType w:val="hybridMultilevel"/>
    <w:lvl w:ilvl="0">
      <w:lvlJc w:val="left"/>
      <w:lvlText w:val="$"/>
      <w:numFmt w:val="bullet"/>
      <w:start w:val="1"/>
    </w:lvl>
  </w:abstractNum>
  <w:abstractNum w:abstractNumId="53">
    <w:nsid w:val="BAAC1B4"/>
    <w:multiLevelType w:val="hybridMultilevel"/>
    <w:lvl w:ilvl="0">
      <w:lvlJc w:val="left"/>
      <w:lvlText w:val="$"/>
      <w:numFmt w:val="bullet"/>
      <w:start w:val="1"/>
    </w:lvl>
  </w:abstractNum>
  <w:abstractNum w:abstractNumId="54">
    <w:nsid w:val="36B2ACBC"/>
    <w:multiLevelType w:val="hybridMultilevel"/>
    <w:lvl w:ilvl="0">
      <w:lvlJc w:val="left"/>
      <w:lvlText w:val="$"/>
      <w:numFmt w:val="bullet"/>
      <w:start w:val="1"/>
    </w:lvl>
  </w:abstractNum>
  <w:abstractNum w:abstractNumId="55">
    <w:nsid w:val="779D8544"/>
    <w:multiLevelType w:val="hybridMultilevel"/>
    <w:lvl w:ilvl="0">
      <w:lvlJc w:val="left"/>
      <w:lvlText w:val="$"/>
      <w:numFmt w:val="bullet"/>
      <w:start w:val="1"/>
    </w:lvl>
  </w:abstractNum>
  <w:abstractNum w:abstractNumId="56">
    <w:nsid w:val="4AB26E78"/>
    <w:multiLevelType w:val="hybridMultilevel"/>
    <w:lvl w:ilvl="0">
      <w:lvlJc w:val="left"/>
      <w:lvlText w:val="$"/>
      <w:numFmt w:val="bullet"/>
      <w:start w:val="1"/>
    </w:lvl>
  </w:abstractNum>
  <w:abstractNum w:abstractNumId="57">
    <w:nsid w:val="21FAA2FA"/>
    <w:multiLevelType w:val="hybridMultilevel"/>
    <w:lvl w:ilvl="0">
      <w:lvlJc w:val="left"/>
      <w:lvlText w:val="$"/>
      <w:numFmt w:val="bullet"/>
      <w:start w:val="1"/>
    </w:lvl>
  </w:abstractNum>
  <w:abstractNum w:abstractNumId="58">
    <w:nsid w:val="5451CF49"/>
    <w:multiLevelType w:val="hybridMultilevel"/>
    <w:lvl w:ilvl="0">
      <w:lvlJc w:val="left"/>
      <w:lvlText w:val="$"/>
      <w:numFmt w:val="bullet"/>
      <w:start w:val="1"/>
    </w:lvl>
  </w:abstractNum>
  <w:abstractNum w:abstractNumId="59">
    <w:nsid w:val="6181EF69"/>
    <w:multiLevelType w:val="hybridMultilevel"/>
    <w:lvl w:ilvl="0">
      <w:lvlJc w:val="left"/>
      <w:lvlText w:val="$"/>
      <w:numFmt w:val="bullet"/>
      <w:start w:val="1"/>
    </w:lvl>
  </w:abstractNum>
  <w:abstractNum w:abstractNumId="60">
    <w:nsid w:val="3E6400E6"/>
    <w:multiLevelType w:val="hybridMultilevel"/>
    <w:lvl w:ilvl="0">
      <w:lvlJc w:val="left"/>
      <w:lvlText w:val="$"/>
      <w:numFmt w:val="bullet"/>
      <w:start w:val="1"/>
    </w:lvl>
  </w:abstractNum>
  <w:abstractNum w:abstractNumId="61">
    <w:nsid w:val="14217E23"/>
    <w:multiLevelType w:val="hybridMultilevel"/>
    <w:lvl w:ilvl="0">
      <w:lvlJc w:val="left"/>
      <w:lvlText w:val="$"/>
      <w:numFmt w:val="bullet"/>
      <w:start w:val="1"/>
    </w:lvl>
  </w:abstractNum>
  <w:abstractNum w:abstractNumId="62">
    <w:nsid w:val="710757D0"/>
    <w:multiLevelType w:val="hybridMultilevel"/>
    <w:lvl w:ilvl="0">
      <w:lvlJc w:val="left"/>
      <w:lvlText w:val="$"/>
      <w:numFmt w:val="bullet"/>
      <w:start w:val="1"/>
    </w:lvl>
  </w:abstractNum>
  <w:abstractNum w:abstractNumId="63">
    <w:nsid w:val="5015CD1A"/>
    <w:multiLevelType w:val="hybridMultilevel"/>
    <w:lvl w:ilvl="0">
      <w:lvlJc w:val="left"/>
      <w:lvlText w:val="$"/>
      <w:numFmt w:val="bullet"/>
      <w:start w:val="1"/>
    </w:lvl>
  </w:abstractNum>
  <w:abstractNum w:abstractNumId="64">
    <w:nsid w:val="424479DA"/>
    <w:multiLevelType w:val="hybridMultilevel"/>
    <w:lvl w:ilvl="0">
      <w:lvlJc w:val="left"/>
      <w:lvlText w:val="$"/>
      <w:numFmt w:val="bullet"/>
      <w:start w:val="1"/>
    </w:lvl>
  </w:abstractNum>
  <w:abstractNum w:abstractNumId="65">
    <w:nsid w:val="1A9A9E69"/>
    <w:multiLevelType w:val="hybridMultilevel"/>
    <w:lvl w:ilvl="0">
      <w:lvlJc w:val="left"/>
      <w:lvlText w:val="$"/>
      <w:numFmt w:val="bullet"/>
      <w:start w:val="1"/>
    </w:lvl>
  </w:abstractNum>
  <w:abstractNum w:abstractNumId="66">
    <w:nsid w:val="475E256A"/>
    <w:multiLevelType w:val="hybridMultilevel"/>
    <w:lvl w:ilvl="0">
      <w:lvlJc w:val="left"/>
      <w:lvlText w:val="*"/>
      <w:numFmt w:val="bullet"/>
      <w:start w:val="1"/>
    </w:lvl>
  </w:abstractNum>
  <w:abstractNum w:abstractNumId="67">
    <w:nsid w:val="368DB37E"/>
    <w:multiLevelType w:val="hybridMultilevel"/>
    <w:lvl w:ilvl="0">
      <w:lvlJc w:val="left"/>
      <w:lvlText w:val="•"/>
      <w:numFmt w:val="bullet"/>
      <w:start w:val="1"/>
    </w:lvl>
  </w:abstractNum>
  <w:abstractNum w:abstractNumId="68">
    <w:nsid w:val="6A3B714C"/>
    <w:multiLevelType w:val="hybridMultilevel"/>
    <w:lvl w:ilvl="0">
      <w:lvlJc w:val="left"/>
      <w:lvlText w:val="•"/>
      <w:numFmt w:val="bullet"/>
      <w:start w:val="1"/>
    </w:lvl>
  </w:abstractNum>
  <w:abstractNum w:abstractNumId="69">
    <w:nsid w:val="327B517E"/>
    <w:multiLevelType w:val="hybridMultilevel"/>
    <w:lvl w:ilvl="0">
      <w:lvlJc w:val="left"/>
      <w:lvlText w:val="•"/>
      <w:numFmt w:val="bullet"/>
      <w:start w:val="1"/>
    </w:lvl>
  </w:abstractNum>
  <w:abstractNum w:abstractNumId="70">
    <w:nsid w:val="1F461B51"/>
    <w:multiLevelType w:val="hybridMultilevel"/>
    <w:lvl w:ilvl="0">
      <w:lvlJc w:val="left"/>
      <w:lvlText w:val="•"/>
      <w:numFmt w:val="bullet"/>
      <w:start w:val="1"/>
    </w:lvl>
  </w:abstractNum>
  <w:abstractNum w:abstractNumId="71">
    <w:nsid w:val="29BACF25"/>
    <w:multiLevelType w:val="hybridMultilevel"/>
    <w:lvl w:ilvl="0">
      <w:lvlJc w:val="left"/>
      <w:lvlText w:val="•"/>
      <w:numFmt w:val="bullet"/>
      <w:start w:val="1"/>
    </w:lvl>
  </w:abstractNum>
  <w:abstractNum w:abstractNumId="72">
    <w:nsid w:val="5D5BABB3"/>
    <w:multiLevelType w:val="hybridMultilevel"/>
    <w:lvl w:ilvl="0">
      <w:lvlJc w:val="left"/>
      <w:lvlText w:val="(%1)"/>
      <w:numFmt w:val="lowerRoman"/>
      <w:start w:val="2"/>
    </w:lvl>
  </w:abstractNum>
  <w:abstractNum w:abstractNumId="73">
    <w:nsid w:val="51BF6B48"/>
    <w:multiLevelType w:val="hybridMultilevel"/>
    <w:lvl w:ilvl="0">
      <w:lvlJc w:val="left"/>
      <w:lvlText w:val="•"/>
      <w:numFmt w:val="bullet"/>
      <w:start w:val="1"/>
    </w:lvl>
  </w:abstractNum>
  <w:abstractNum w:abstractNumId="74">
    <w:nsid w:val="7E0F6384"/>
    <w:multiLevelType w:val="hybridMultilevel"/>
    <w:lvl w:ilvl="0">
      <w:lvlJc w:val="left"/>
      <w:lvlText w:val="•"/>
      <w:numFmt w:val="bullet"/>
      <w:start w:val="1"/>
    </w:lvl>
  </w:abstractNum>
  <w:abstractNum w:abstractNumId="75">
    <w:nsid w:val="2B4B8B53"/>
    <w:multiLevelType w:val="hybridMultilevel"/>
    <w:lvl w:ilvl="0">
      <w:lvlJc w:val="left"/>
      <w:lvlText w:val="•"/>
      <w:numFmt w:val="bullet"/>
      <w:start w:val="1"/>
    </w:lvl>
    <w:lvl w:ilvl="1">
      <w:lvlJc w:val="left"/>
      <w:lvlText w:val="(%2)"/>
      <w:numFmt w:val="decimal"/>
      <w:start w:val="30"/>
    </w:lvl>
  </w:abstractNum>
  <w:abstractNum w:abstractNumId="76">
    <w:nsid w:val="72E3413A"/>
    <w:multiLevelType w:val="hybridMultilevel"/>
    <w:lvl w:ilvl="0">
      <w:lvlJc w:val="left"/>
      <w:lvlText w:val="•"/>
      <w:numFmt w:val="bullet"/>
      <w:start w:val="1"/>
    </w:lvl>
  </w:abstractNum>
  <w:abstractNum w:abstractNumId="77">
    <w:nsid w:val="116AE494"/>
    <w:multiLevelType w:val="hybridMultilevel"/>
    <w:lvl w:ilvl="0">
      <w:lvlJc w:val="left"/>
      <w:lvlText w:val="•"/>
      <w:numFmt w:val="bullet"/>
      <w:start w:val="1"/>
    </w:lvl>
  </w:abstractNum>
  <w:abstractNum w:abstractNumId="78">
    <w:nsid w:val="3494B2FB"/>
    <w:multiLevelType w:val="hybridMultilevel"/>
    <w:lvl w:ilvl="0">
      <w:lvlJc w:val="left"/>
      <w:lvlText w:val="(%1)"/>
      <w:numFmt w:val="lowerLetter"/>
      <w:start w:val="25"/>
    </w:lvl>
  </w:abstractNum>
  <w:abstractNum w:abstractNumId="79">
    <w:nsid w:val="B13A31"/>
    <w:multiLevelType w:val="hybridMultilevel"/>
    <w:lvl w:ilvl="0">
      <w:lvlJc w:val="left"/>
      <w:lvlText w:val="(%1)"/>
      <w:numFmt w:val="lowerLetter"/>
      <w:start w:val="3"/>
    </w:lvl>
  </w:abstractNum>
  <w:abstractNum w:abstractNumId="80">
    <w:nsid w:val="64429599"/>
    <w:multiLevelType w:val="hybridMultilevel"/>
    <w:lvl w:ilvl="0">
      <w:lvlJc w:val="left"/>
      <w:lvlText w:val="(%1)"/>
      <w:numFmt w:val="lowerLetter"/>
      <w:start w:val="25"/>
    </w:lvl>
  </w:abstractNum>
  <w:abstractNum w:abstractNumId="81">
    <w:nsid w:val="631F1690"/>
    <w:multiLevelType w:val="hybridMultilevel"/>
    <w:lvl w:ilvl="0">
      <w:lvlJc w:val="left"/>
      <w:lvlText w:val="(%1)"/>
      <w:numFmt w:val="lowerRoman"/>
      <w:start w:val="2"/>
    </w:lvl>
  </w:abstractNum>
  <w:abstractNum w:abstractNumId="82">
    <w:nsid w:val="25973E32"/>
    <w:multiLevelType w:val="hybridMultilevel"/>
    <w:lvl w:ilvl="0">
      <w:lvlJc w:val="left"/>
      <w:lvlText w:val="(%1)"/>
      <w:numFmt w:val="lowerRoman"/>
      <w:start w:val="4"/>
    </w:lvl>
  </w:abstractNum>
  <w:abstractNum w:abstractNumId="83">
    <w:nsid w:val="EAD6F57"/>
    <w:multiLevelType w:val="hybridMultilevel"/>
    <w:lvl w:ilvl="0">
      <w:lvlJc w:val="left"/>
      <w:lvlText w:val="(%1)"/>
      <w:numFmt w:val="lowerRoman"/>
      <w:start w:val="2"/>
    </w:lvl>
  </w:abstractNum>
  <w:abstractNum w:abstractNumId="84">
    <w:nsid w:val="6EC9D844"/>
    <w:multiLevelType w:val="hybridMultilevel"/>
    <w:lvl w:ilvl="0">
      <w:lvlJc w:val="left"/>
      <w:lvlText w:val="•"/>
      <w:numFmt w:val="bullet"/>
      <w:start w:val="1"/>
    </w:lvl>
  </w:abstractNum>
  <w:abstractNum w:abstractNumId="85">
    <w:nsid w:val="5C49EAEE"/>
    <w:multiLevelType w:val="hybridMultilevel"/>
    <w:lvl w:ilvl="0">
      <w:lvlJc w:val="left"/>
      <w:lvlText w:val="•"/>
      <w:numFmt w:val="bullet"/>
      <w:start w:val="1"/>
    </w:lvl>
  </w:abstractNum>
  <w:abstractNum w:abstractNumId="86">
    <w:nsid w:val="64AF49B"/>
    <w:multiLevelType w:val="hybridMultilevel"/>
    <w:lvl w:ilvl="0">
      <w:lvlJc w:val="left"/>
      <w:lvlText w:val="•"/>
      <w:numFmt w:val="bullet"/>
      <w:start w:val="1"/>
    </w:lvl>
  </w:abstractNum>
  <w:abstractNum w:abstractNumId="87">
    <w:nsid w:val="397C46BC"/>
    <w:multiLevelType w:val="hybridMultilevel"/>
    <w:lvl w:ilvl="0">
      <w:lvlJc w:val="left"/>
      <w:lvlText w:val="•"/>
      <w:numFmt w:val="bullet"/>
      <w:start w:val="1"/>
    </w:lvl>
  </w:abstractNum>
  <w:abstractNum w:abstractNumId="88">
    <w:nsid w:val="7E448DE9"/>
    <w:multiLevelType w:val="hybridMultilevel"/>
    <w:lvl w:ilvl="0">
      <w:lvlJc w:val="left"/>
      <w:lvlText w:val="*"/>
      <w:numFmt w:val="bullet"/>
      <w:start w:val="1"/>
    </w:lvl>
  </w:abstractNum>
  <w:abstractNum w:abstractNumId="89">
    <w:nsid w:val="5A9CC3E5"/>
    <w:multiLevelType w:val="hybridMultilevel"/>
    <w:lvl w:ilvl="0">
      <w:lvlJc w:val="left"/>
      <w:lvlText w:val="(%1)"/>
      <w:numFmt w:val="decimal"/>
      <w:start w:val="1"/>
    </w:lvl>
  </w:abstractNum>
  <w:abstractNum w:abstractNumId="90">
    <w:nsid w:val="1AFE3625"/>
    <w:multiLevelType w:val="hybridMultilevel"/>
    <w:lvl w:ilvl="0">
      <w:lvlJc w:val="left"/>
      <w:lvlText w:val="(%1)"/>
      <w:numFmt w:val="decimal"/>
      <w:start w:val="3"/>
    </w:lvl>
  </w:abstractNum>
  <w:abstractNum w:abstractNumId="91">
    <w:nsid w:val="3CA88ECF"/>
    <w:multiLevelType w:val="hybridMultilevel"/>
    <w:lvl w:ilvl="0">
      <w:lvlJc w:val="left"/>
      <w:lvlText w:val="*"/>
      <w:numFmt w:val="bullet"/>
      <w:start w:val="1"/>
    </w:lvl>
  </w:abstractNum>
  <w:abstractNum w:abstractNumId="92">
    <w:nsid w:val="6EBE4208"/>
    <w:multiLevelType w:val="hybridMultilevel"/>
    <w:lvl w:ilvl="0">
      <w:lvlJc w:val="left"/>
      <w:lvlText w:val="**"/>
      <w:numFmt w:val="bullet"/>
      <w:start w:val="1"/>
    </w:lvl>
  </w:abstractNum>
  <w:abstractNum w:abstractNumId="93">
    <w:nsid w:val="C058DF5"/>
    <w:multiLevelType w:val="hybridMultilevel"/>
    <w:lvl w:ilvl="0">
      <w:lvlJc w:val="left"/>
      <w:lvlText w:val="(%1)"/>
      <w:numFmt w:val="decimal"/>
      <w:start w:val="1"/>
    </w:lvl>
  </w:abstractNum>
  <w:abstractNum w:abstractNumId="94">
    <w:nsid w:val="CBE5BE9"/>
    <w:multiLevelType w:val="hybridMultilevel"/>
    <w:lvl w:ilvl="0">
      <w:lvlJc w:val="left"/>
      <w:lvlText w:val="(%1)"/>
      <w:numFmt w:val="decimal"/>
      <w:start w:val="6"/>
    </w:lvl>
  </w:abstractNum>
  <w:abstractNum w:abstractNumId="95">
    <w:nsid w:val="3102BBE2"/>
    <w:multiLevelType w:val="hybridMultilevel"/>
    <w:lvl w:ilvl="0">
      <w:lvlJc w:val="left"/>
      <w:lvlText w:val="(%1)"/>
      <w:numFmt w:val="decimal"/>
      <w:start w:val="26"/>
    </w:lvl>
  </w:abstractNum>
  <w:abstractNum w:abstractNumId="96">
    <w:nsid w:val="26A02C5E"/>
    <w:multiLevelType w:val="hybridMultilevel"/>
    <w:lvl w:ilvl="0">
      <w:lvlJc w:val="left"/>
      <w:lvlText w:val="(%1)"/>
      <w:numFmt w:val="decimal"/>
      <w:start w:val="48"/>
    </w:lvl>
  </w:abstractNum>
  <w:abstractNum w:abstractNumId="97">
    <w:nsid w:val="541C8153"/>
    <w:multiLevelType w:val="hybridMultilevel"/>
    <w:lvl w:ilvl="0">
      <w:lvlJc w:val="left"/>
      <w:lvlText w:val="•"/>
      <w:numFmt w:val="bullet"/>
      <w:start w:val="1"/>
    </w:lvl>
  </w:abstractNum>
  <w:abstractNum w:abstractNumId="98">
    <w:nsid w:val="67906F60"/>
    <w:multiLevelType w:val="hybridMultilevel"/>
    <w:lvl w:ilvl="0">
      <w:lvlJc w:val="left"/>
      <w:lvlText w:val="•"/>
      <w:numFmt w:val="bullet"/>
      <w:start w:val="1"/>
    </w:lvl>
  </w:abstractNum>
  <w:abstractNum w:abstractNumId="99">
    <w:nsid w:val="10DB9DAA"/>
    <w:multiLevelType w:val="hybridMultilevel"/>
    <w:lvl w:ilvl="0">
      <w:lvlJc w:val="left"/>
      <w:lvlText w:val="(%1)"/>
      <w:numFmt w:val="decimal"/>
      <w:start w:val="1"/>
    </w:lvl>
  </w:abstractNum>
  <w:abstractNum w:abstractNumId="100">
    <w:nsid w:val="697D2D2"/>
    <w:multiLevelType w:val="hybridMultilevel"/>
    <w:lvl w:ilvl="0">
      <w:lvlJc w:val="left"/>
      <w:lvlText w:val="(%1)"/>
      <w:numFmt w:val="decimal"/>
      <w:start w:val="1"/>
    </w:lvl>
  </w:abstractNum>
  <w:abstractNum w:abstractNumId="101">
    <w:nsid w:val="6D68AB2"/>
    <w:multiLevelType w:val="hybridMultilevel"/>
    <w:lvl w:ilvl="0">
      <w:lvlJc w:val="left"/>
      <w:lvlText w:val="(%1)"/>
      <w:numFmt w:val="lowerLetter"/>
      <w:start w:val="25"/>
    </w:lvl>
  </w:abstractNum>
  <w:abstractNum w:abstractNumId="102">
    <w:nsid w:val="3A966CD0"/>
    <w:multiLevelType w:val="hybridMultilevel"/>
    <w:lvl w:ilvl="0">
      <w:lvlJc w:val="left"/>
      <w:lvlText w:val="(%1)"/>
      <w:numFmt w:val="lowerRoman"/>
      <w:start w:val="2"/>
    </w:lvl>
  </w:abstractNum>
  <w:abstractNum w:abstractNumId="103">
    <w:nsid w:val="63F37E85"/>
    <w:multiLevelType w:val="hybridMultilevel"/>
    <w:lvl w:ilvl="0">
      <w:lvlJc w:val="left"/>
      <w:lvlText w:val="(%1)"/>
      <w:numFmt w:val="lowerRoman"/>
      <w:start w:val="1"/>
    </w:lvl>
  </w:abstractNum>
  <w:abstractNum w:abstractNumId="104">
    <w:nsid w:val="5895F5FA"/>
    <w:multiLevelType w:val="hybridMultilevel"/>
    <w:lvl w:ilvl="0">
      <w:lvlJc w:val="left"/>
      <w:lvlText w:val="(%1)"/>
      <w:numFmt w:val="lowerLetter"/>
      <w:start w:val="26"/>
    </w:lvl>
  </w:abstractNum>
  <w:abstractNum w:abstractNumId="105">
    <w:nsid w:val="38A5D054"/>
    <w:multiLevelType w:val="hybridMultilevel"/>
    <w:lvl w:ilvl="0">
      <w:lvlJc w:val="left"/>
      <w:lvlText w:val="•"/>
      <w:numFmt w:val="bullet"/>
      <w:start w:val="1"/>
    </w:lvl>
  </w:abstractNum>
  <w:abstractNum w:abstractNumId="106">
    <w:nsid w:val="F3F09D8"/>
    <w:multiLevelType w:val="hybridMultilevel"/>
    <w:lvl w:ilvl="0">
      <w:lvlJc w:val="left"/>
      <w:lvlText w:val="(%1)"/>
      <w:numFmt w:val="decimal"/>
      <w:start w:val="1"/>
    </w:lvl>
  </w:abstractNum>
  <w:abstractNum w:abstractNumId="107">
    <w:nsid w:val="4B793735"/>
    <w:multiLevelType w:val="hybridMultilevel"/>
    <w:lvl w:ilvl="0">
      <w:lvlJc w:val="left"/>
      <w:lvlText w:val="(%1)"/>
      <w:numFmt w:val="decimal"/>
      <w:start w:val="1"/>
    </w:lvl>
  </w:abstractNum>
  <w:abstractNum w:abstractNumId="108">
    <w:nsid w:val="4A10B4E8"/>
    <w:multiLevelType w:val="hybridMultilevel"/>
    <w:lvl w:ilvl="0">
      <w:lvlJc w:val="left"/>
      <w:lvlText w:val="(%1)"/>
      <w:numFmt w:val="lowerRoman"/>
      <w:start w:val="1"/>
    </w:lvl>
  </w:abstractNum>
  <w:abstractNum w:abstractNumId="109">
    <w:nsid w:val="43D3BCD4"/>
    <w:multiLevelType w:val="hybridMultilevel"/>
    <w:lvl w:ilvl="0">
      <w:lvlJc w:val="left"/>
      <w:lvlText w:val="(%1)"/>
      <w:numFmt w:val="lowerRoman"/>
      <w:start w:val="1"/>
    </w:lvl>
  </w:abstractNum>
  <w:abstractNum w:abstractNumId="110">
    <w:nsid w:val="4C2A7166"/>
    <w:multiLevelType w:val="hybridMultilevel"/>
    <w:lvl w:ilvl="0">
      <w:lvlJc w:val="left"/>
      <w:lvlText w:val="(%1)"/>
      <w:numFmt w:val="lowerRoman"/>
      <w:start w:val="3"/>
    </w:lvl>
  </w:abstractNum>
  <w:abstractNum w:abstractNumId="111">
    <w:nsid w:val="2E534A82"/>
    <w:multiLevelType w:val="hybridMultilevel"/>
    <w:lvl w:ilvl="0">
      <w:lvlJc w:val="left"/>
      <w:lvlText w:val="(%1)"/>
      <w:numFmt w:val="lowerRoman"/>
      <w:start w:val="3"/>
    </w:lvl>
  </w:abstractNum>
  <w:abstractNum w:abstractNumId="112">
    <w:nsid w:val="26F2D364"/>
    <w:multiLevelType w:val="hybridMultilevel"/>
    <w:lvl w:ilvl="0">
      <w:lvlJc w:val="left"/>
      <w:lvlText w:val="•"/>
      <w:numFmt w:val="bullet"/>
      <w:start w:val="1"/>
    </w:lvl>
  </w:abstractNum>
  <w:abstractNum w:abstractNumId="113">
    <w:nsid w:val="71C1AF98"/>
    <w:multiLevelType w:val="hybridMultilevel"/>
    <w:lvl w:ilvl="0">
      <w:lvlJc w:val="left"/>
      <w:lvlText w:val="•"/>
      <w:numFmt w:val="bullet"/>
      <w:start w:val="1"/>
    </w:lvl>
  </w:abstractNum>
  <w:abstractNum w:abstractNumId="114">
    <w:nsid w:val="3D00B9D9"/>
    <w:multiLevelType w:val="hybridMultilevel"/>
    <w:lvl w:ilvl="0">
      <w:lvlJc w:val="left"/>
      <w:lvlText w:val="•"/>
      <w:numFmt w:val="bullet"/>
      <w:start w:val="1"/>
    </w:lvl>
  </w:abstractNum>
  <w:abstractNum w:abstractNumId="115">
    <w:nsid w:val="15BCABA8"/>
    <w:multiLevelType w:val="hybridMultilevel"/>
    <w:lvl w:ilvl="0">
      <w:lvlJc w:val="left"/>
      <w:lvlText w:val="•"/>
      <w:numFmt w:val="bullet"/>
      <w:start w:val="1"/>
    </w:lvl>
  </w:abstractNum>
  <w:abstractNum w:abstractNumId="116">
    <w:nsid w:val="4E0B9A87"/>
    <w:multiLevelType w:val="hybridMultilevel"/>
    <w:lvl w:ilvl="0">
      <w:lvlJc w:val="left"/>
      <w:lvlText w:val="•"/>
      <w:numFmt w:val="bullet"/>
      <w:start w:val="1"/>
    </w:lvl>
  </w:abstractNum>
  <w:abstractNum w:abstractNumId="117">
    <w:nsid w:val="434BAE75"/>
    <w:multiLevelType w:val="hybridMultilevel"/>
    <w:lvl w:ilvl="0">
      <w:lvlJc w:val="left"/>
      <w:lvlText w:val="•"/>
      <w:numFmt w:val="bullet"/>
      <w:start w:val="1"/>
    </w:lvl>
  </w:abstractNum>
  <w:abstractNum w:abstractNumId="118">
    <w:nsid w:val="4F38F265"/>
    <w:multiLevelType w:val="hybridMultilevel"/>
    <w:lvl w:ilvl="0">
      <w:lvlJc w:val="left"/>
      <w:lvlText w:val="•"/>
      <w:numFmt w:val="bullet"/>
      <w:start w:val="1"/>
    </w:lvl>
  </w:abstractNum>
  <w:abstractNum w:abstractNumId="119">
    <w:nsid w:val="4C502870"/>
    <w:multiLevelType w:val="hybridMultilevel"/>
    <w:lvl w:ilvl="0">
      <w:lvlJc w:val="left"/>
      <w:lvlText w:val="%1."/>
      <w:numFmt w:val="decimal"/>
      <w:start w:val="1"/>
    </w:lvl>
  </w:abstractNum>
  <w:abstractNum w:abstractNumId="120">
    <w:nsid w:val="1DE8725A"/>
    <w:multiLevelType w:val="hybridMultilevel"/>
    <w:lvl w:ilvl="0">
      <w:lvlJc w:val="left"/>
      <w:lvlText w:val="•"/>
      <w:numFmt w:val="bullet"/>
      <w:start w:val="1"/>
    </w:lvl>
  </w:abstractNum>
  <w:abstractNum w:abstractNumId="121">
    <w:nsid w:val="6A37288A"/>
    <w:multiLevelType w:val="hybridMultilevel"/>
    <w:lvl w:ilvl="0">
      <w:lvlJc w:val="left"/>
      <w:lvlText w:val="%1."/>
      <w:numFmt w:val="upperLetter"/>
      <w:start w:val="35"/>
    </w:lvl>
  </w:abstractNum>
  <w:abstractNum w:abstractNumId="122">
    <w:nsid w:val="8F8B73F"/>
    <w:multiLevelType w:val="hybridMultilevel"/>
    <w:lvl w:ilvl="0">
      <w:lvlJc w:val="left"/>
      <w:lvlText w:val="%1."/>
      <w:numFmt w:val="upperLetter"/>
      <w:start w:val="61"/>
    </w:lvl>
  </w:abstractNum>
  <w:abstractNum w:abstractNumId="123">
    <w:nsid w:val="CA6B462"/>
    <w:multiLevelType w:val="hybridMultilevel"/>
    <w:lvl w:ilvl="0">
      <w:lvlJc w:val="left"/>
      <w:lvlText w:val="•"/>
      <w:numFmt w:val="bullet"/>
      <w:start w:val="1"/>
    </w:lvl>
  </w:abstractNum>
  <w:abstractNum w:abstractNumId="124">
    <w:nsid w:val="763CB680"/>
    <w:multiLevelType w:val="hybridMultilevel"/>
    <w:lvl w:ilvl="0">
      <w:lvlJc w:val="left"/>
      <w:lvlText w:val="(%1)"/>
      <w:numFmt w:val="decimal"/>
      <w:start w:val="1"/>
    </w:lvl>
  </w:abstractNum>
  <w:abstractNum w:abstractNumId="125">
    <w:nsid w:val="15B71329"/>
    <w:multiLevelType w:val="hybridMultilevel"/>
    <w:lvl w:ilvl="0">
      <w:lvlJc w:val="left"/>
      <w:lvlText w:val="(%1)"/>
      <w:numFmt w:val="lowerRoman"/>
      <w:start w:val="1"/>
    </w:lvl>
  </w:abstractNum>
  <w:abstractNum w:abstractNumId="126">
    <w:nsid w:val="3DA97044"/>
    <w:multiLevelType w:val="hybridMultilevel"/>
    <w:lvl w:ilvl="0">
      <w:lvlJc w:val="left"/>
      <w:lvlText w:val="•"/>
      <w:numFmt w:val="bullet"/>
      <w:start w:val="1"/>
    </w:lvl>
  </w:abstractNum>
  <w:abstractNum w:abstractNumId="127">
    <w:nsid w:val="1CDCE2DE"/>
    <w:multiLevelType w:val="hybridMultilevel"/>
    <w:lvl w:ilvl="0">
      <w:lvlJc w:val="left"/>
      <w:lvlText w:val="(%1)"/>
      <w:numFmt w:val="lowerRoman"/>
      <w:start w:val="1"/>
    </w:lvl>
  </w:abstractNum>
  <w:abstractNum w:abstractNumId="128">
    <w:nsid w:val="69D3947C"/>
    <w:multiLevelType w:val="hybridMultilevel"/>
    <w:lvl w:ilvl="0">
      <w:lvlJc w:val="left"/>
      <w:lvlText w:val="(%1)"/>
      <w:numFmt w:val="lowerRoman"/>
      <w:start w:val="6"/>
    </w:lvl>
  </w:abstractNum>
  <w:abstractNum w:abstractNumId="129">
    <w:nsid w:val="2539DFA5"/>
    <w:multiLevelType w:val="hybridMultilevel"/>
    <w:lvl w:ilvl="0">
      <w:lvlJc w:val="left"/>
      <w:lvlText w:val="•"/>
      <w:numFmt w:val="bullet"/>
      <w:start w:val="1"/>
    </w:lvl>
  </w:abstractNum>
  <w:abstractNum w:abstractNumId="130">
    <w:nsid w:val="2DB88089"/>
    <w:multiLevelType w:val="hybridMultilevel"/>
    <w:lvl w:ilvl="0">
      <w:lvlJc w:val="left"/>
      <w:lvlText w:val="(%1)"/>
      <w:numFmt w:val="lowerRoman"/>
      <w:start w:val="1"/>
    </w:lvl>
  </w:abstractNum>
  <w:abstractNum w:abstractNumId="131">
    <w:nsid w:val="706B674E"/>
    <w:multiLevelType w:val="hybridMultilevel"/>
    <w:lvl w:ilvl="0">
      <w:lvlJc w:val="left"/>
      <w:lvlText w:val="•"/>
      <w:numFmt w:val="bullet"/>
      <w:start w:val="1"/>
    </w:lvl>
  </w:abstractNum>
  <w:abstractNum w:abstractNumId="132">
    <w:nsid w:val="2C106A57"/>
    <w:multiLevelType w:val="hybridMultilevel"/>
    <w:lvl w:ilvl="0">
      <w:lvlJc w:val="left"/>
      <w:lvlText w:val="•"/>
      <w:numFmt w:val="bullet"/>
      <w:start w:val="1"/>
    </w:lvl>
  </w:abstractNum>
  <w:abstractNum w:abstractNumId="133">
    <w:nsid w:val="684EED59"/>
    <w:multiLevelType w:val="hybridMultilevel"/>
    <w:lvl w:ilvl="0">
      <w:lvlJc w:val="left"/>
      <w:lvlText w:val="%1."/>
      <w:numFmt w:val="decimal"/>
      <w:start w:val="2"/>
    </w:lvl>
    <w:lvl w:ilvl="1">
      <w:lvlJc w:val="left"/>
      <w:lvlText w:val="•"/>
      <w:numFmt w:val="bullet"/>
      <w:start w:val="1"/>
    </w:lvl>
  </w:abstractNum>
  <w:abstractNum w:abstractNumId="134">
    <w:nsid w:val="545EE5D3"/>
    <w:multiLevelType w:val="hybridMultilevel"/>
    <w:lvl w:ilvl="0">
      <w:lvlJc w:val="left"/>
      <w:lvlText w:val="(%1)"/>
      <w:numFmt w:val="decimal"/>
      <w:start w:val="1"/>
    </w:lvl>
  </w:abstractNum>
  <w:abstractNum w:abstractNumId="135">
    <w:nsid w:val="4A66051"/>
    <w:multiLevelType w:val="hybridMultilevel"/>
    <w:lvl w:ilvl="0">
      <w:lvlJc w:val="left"/>
      <w:lvlText w:val="(%1)"/>
      <w:numFmt w:val="decimal"/>
      <w:start w:val="1"/>
    </w:lvl>
  </w:abstractNum>
  <w:abstractNum w:abstractNumId="136">
    <w:nsid w:val="20F4BDAD"/>
    <w:multiLevelType w:val="hybridMultilevel"/>
    <w:lvl w:ilvl="0">
      <w:lvlJc w:val="left"/>
      <w:lvlText w:val="•"/>
      <w:numFmt w:val="bullet"/>
      <w:start w:val="1"/>
    </w:lvl>
  </w:abstractNum>
  <w:abstractNum w:abstractNumId="137">
    <w:nsid w:val="639DEFAC"/>
    <w:multiLevelType w:val="hybridMultilevel"/>
    <w:lvl w:ilvl="0">
      <w:lvlJc w:val="left"/>
      <w:lvlText w:val="•"/>
      <w:numFmt w:val="bullet"/>
      <w:start w:val="1"/>
    </w:lvl>
  </w:abstractNum>
  <w:abstractNum w:abstractNumId="138">
    <w:nsid w:val="501F9786"/>
    <w:multiLevelType w:val="hybridMultilevel"/>
    <w:lvl w:ilvl="0">
      <w:lvlJc w:val="left"/>
      <w:lvlText w:val="%1."/>
      <w:numFmt w:val="decimal"/>
      <w:start w:val="1"/>
    </w:lvl>
  </w:abstractNum>
  <w:abstractNum w:abstractNumId="139">
    <w:nsid w:val="6B057295"/>
    <w:multiLevelType w:val="hybridMultilevel"/>
    <w:lvl w:ilvl="0">
      <w:lvlJc w:val="left"/>
      <w:lvlText w:val="%1."/>
      <w:numFmt w:val="decimal"/>
      <w:start w:val="2"/>
    </w:lvl>
  </w:abstractNum>
  <w:abstractNum w:abstractNumId="140">
    <w:nsid w:val="2771AC80"/>
    <w:multiLevelType w:val="hybridMultilevel"/>
    <w:lvl w:ilvl="0">
      <w:lvlJc w:val="left"/>
      <w:lvlText w:val="%1."/>
      <w:numFmt w:val="decimal"/>
      <w:start w:val="7"/>
    </w:lvl>
  </w:abstractNum>
  <w:abstractNum w:abstractNumId="141">
    <w:nsid w:val="1C4A08EC"/>
    <w:multiLevelType w:val="hybridMultilevel"/>
    <w:lvl w:ilvl="0">
      <w:lvlJc w:val="left"/>
      <w:lvlText w:val="%1."/>
      <w:numFmt w:val="decimal"/>
      <w:start w:val="8"/>
    </w:lvl>
  </w:abstractNum>
  <w:abstractNum w:abstractNumId="142">
    <w:nsid w:val="1958BD17"/>
    <w:multiLevelType w:val="hybridMultilevel"/>
    <w:lvl w:ilvl="0">
      <w:lvlJc w:val="left"/>
      <w:lvlText w:val="%1."/>
      <w:numFmt w:val="decimal"/>
      <w:start w:val="9"/>
    </w:lvl>
  </w:abstractNum>
  <w:abstractNum w:abstractNumId="143">
    <w:nsid w:val="4E647FE4"/>
    <w:multiLevelType w:val="hybridMultilevel"/>
    <w:lvl w:ilvl="0">
      <w:lvlJc w:val="left"/>
      <w:lvlText w:val="•"/>
      <w:numFmt w:val="bullet"/>
      <w:start w:val="1"/>
    </w:lvl>
  </w:abstractNum>
  <w:abstractNum w:abstractNumId="144">
    <w:nsid w:val="E0BB885"/>
    <w:multiLevelType w:val="hybridMultilevel"/>
    <w:lvl w:ilvl="0">
      <w:lvlJc w:val="left"/>
      <w:lvlText w:val="%1."/>
      <w:numFmt w:val="decimal"/>
      <w:start w:val="1"/>
    </w:lvl>
  </w:abstractNum>
  <w:abstractNum w:abstractNumId="145">
    <w:nsid w:val="565976F1"/>
    <w:multiLevelType w:val="hybridMultilevel"/>
    <w:lvl w:ilvl="0">
      <w:lvlJc w:val="left"/>
      <w:lvlText w:val="%1."/>
      <w:numFmt w:val="decimal"/>
      <w:start w:val="1"/>
    </w:lvl>
  </w:abstractNum>
  <w:abstractNum w:abstractNumId="146">
    <w:nsid w:val="64212B8C"/>
    <w:multiLevelType w:val="hybridMultilevel"/>
    <w:lvl w:ilvl="0">
      <w:lvlJc w:val="left"/>
      <w:lvlText w:val="%1."/>
      <w:numFmt w:val="decimal"/>
      <w:start w:val="2"/>
    </w:lvl>
  </w:abstractNum>
  <w:abstractNum w:abstractNumId="147">
    <w:nsid w:val="5C17530C"/>
    <w:multiLevelType w:val="hybridMultilevel"/>
    <w:lvl w:ilvl="0">
      <w:lvlJc w:val="left"/>
      <w:lvlText w:val="%1."/>
      <w:numFmt w:val="decimal"/>
      <w:start w:val="2"/>
    </w:lvl>
  </w:abstractNum>
  <w:abstractNum w:abstractNumId="148">
    <w:nsid w:val="19A52566"/>
    <w:multiLevelType w:val="hybridMultilevel"/>
    <w:lvl w:ilvl="0">
      <w:lvlJc w:val="left"/>
      <w:lvlText w:val="%1."/>
      <w:numFmt w:val="lowerRoman"/>
      <w:start w:val="1"/>
    </w:lvl>
  </w:abstractNum>
  <w:abstractNum w:abstractNumId="149">
    <w:nsid w:val="335A1DF1"/>
    <w:multiLevelType w:val="hybridMultilevel"/>
    <w:lvl w:ilvl="0">
      <w:lvlJc w:val="left"/>
      <w:lvlText w:val="%1."/>
      <w:numFmt w:val="decimal"/>
      <w:start w:val="3"/>
    </w:lvl>
  </w:abstractNum>
  <w:abstractNum w:abstractNumId="150">
    <w:nsid w:val="28677B7C"/>
    <w:multiLevelType w:val="hybridMultilevel"/>
    <w:lvl w:ilvl="0">
      <w:lvlJc w:val="left"/>
      <w:lvlText w:val="(%1)"/>
      <w:numFmt w:val="decimal"/>
      <w:start w:val="1"/>
    </w:lvl>
  </w:abstractNum>
  <w:abstractNum w:abstractNumId="151">
    <w:nsid w:val="378D97C0"/>
    <w:multiLevelType w:val="hybridMultilevel"/>
    <w:lvl w:ilvl="0">
      <w:lvlJc w:val="left"/>
      <w:lvlText w:val="%1."/>
      <w:numFmt w:val="decimal"/>
      <w:start w:val="4"/>
    </w:lvl>
  </w:abstractNum>
  <w:abstractNum w:abstractNumId="152">
    <w:nsid w:val="1D91467C"/>
    <w:multiLevelType w:val="hybridMultilevel"/>
    <w:lvl w:ilvl="0">
      <w:lvlJc w:val="left"/>
      <w:lvlText w:val="%1."/>
      <w:numFmt w:val="decimal"/>
      <w:start w:val="4"/>
    </w:lvl>
  </w:abstractNum>
  <w:abstractNum w:abstractNumId="153">
    <w:nsid w:val="316032BB"/>
    <w:multiLevelType w:val="hybridMultilevel"/>
    <w:lvl w:ilvl="0">
      <w:lvlJc w:val="left"/>
      <w:lvlText w:val="%1."/>
      <w:numFmt w:val="decimal"/>
      <w:start w:val="4"/>
    </w:lvl>
  </w:abstractNum>
  <w:abstractNum w:abstractNumId="154">
    <w:nsid w:val="44344C22"/>
    <w:multiLevelType w:val="hybridMultilevel"/>
    <w:lvl w:ilvl="0">
      <w:lvlJc w:val="left"/>
      <w:lvlText w:val="(%1)"/>
      <w:numFmt w:val="decimal"/>
      <w:start w:val="1"/>
    </w:lvl>
  </w:abstractNum>
  <w:abstractNum w:abstractNumId="155">
    <w:nsid w:val="13CDFCFC"/>
    <w:multiLevelType w:val="hybridMultilevel"/>
    <w:lvl w:ilvl="0">
      <w:lvlJc w:val="left"/>
      <w:lvlText w:val="%1."/>
      <w:numFmt w:val="decimal"/>
      <w:start w:val="4"/>
    </w:lvl>
  </w:abstractNum>
  <w:abstractNum w:abstractNumId="156">
    <w:nsid w:val="471745E4"/>
    <w:multiLevelType w:val="hybridMultilevel"/>
    <w:lvl w:ilvl="0">
      <w:lvlJc w:val="left"/>
      <w:lvlText w:val="•"/>
      <w:numFmt w:val="bullet"/>
      <w:start w:val="1"/>
    </w:lvl>
  </w:abstractNum>
  <w:abstractNum w:abstractNumId="157">
    <w:nsid w:val="1DDBC66"/>
    <w:multiLevelType w:val="hybridMultilevel"/>
    <w:lvl w:ilvl="0">
      <w:lvlJc w:val="left"/>
      <w:lvlText w:val="•"/>
      <w:numFmt w:val="bullet"/>
      <w:start w:val="1"/>
    </w:lvl>
  </w:abstractNum>
  <w:abstractNum w:abstractNumId="158">
    <w:nsid w:val="30AADFDA"/>
    <w:multiLevelType w:val="hybridMultilevel"/>
    <w:lvl w:ilvl="0">
      <w:lvlJc w:val="left"/>
      <w:lvlText w:val="%1."/>
      <w:numFmt w:val="decimal"/>
      <w:start w:val="4"/>
    </w:lvl>
  </w:abstractNum>
  <w:abstractNum w:abstractNumId="159">
    <w:nsid w:val="30EADA61"/>
    <w:multiLevelType w:val="hybridMultilevel"/>
    <w:lvl w:ilvl="0">
      <w:lvlJc w:val="left"/>
      <w:lvlText w:val="•"/>
      <w:numFmt w:val="bullet"/>
      <w:start w:val="1"/>
    </w:lvl>
  </w:abstractNum>
  <w:abstractNum w:abstractNumId="160">
    <w:nsid w:val="27179C0B"/>
    <w:multiLevelType w:val="hybridMultilevel"/>
    <w:lvl w:ilvl="0">
      <w:lvlJc w:val="left"/>
      <w:lvlText w:val="%1."/>
      <w:numFmt w:val="decimal"/>
      <w:start w:val="5"/>
    </w:lvl>
  </w:abstractNum>
  <w:abstractNum w:abstractNumId="161">
    <w:nsid w:val="5E636063"/>
    <w:multiLevelType w:val="hybridMultilevel"/>
    <w:lvl w:ilvl="0">
      <w:lvlJc w:val="left"/>
      <w:lvlText w:val="%1."/>
      <w:numFmt w:val="decimal"/>
      <w:start w:val="6"/>
    </w:lvl>
  </w:abstractNum>
  <w:abstractNum w:abstractNumId="162">
    <w:nsid w:val="215641AF"/>
    <w:multiLevelType w:val="hybridMultilevel"/>
    <w:lvl w:ilvl="0">
      <w:lvlJc w:val="left"/>
      <w:lvlText w:val="%1."/>
      <w:numFmt w:val="decimal"/>
      <w:start w:val="6"/>
    </w:lvl>
  </w:abstractNum>
  <w:abstractNum w:abstractNumId="163">
    <w:nsid w:val="53280662"/>
    <w:multiLevelType w:val="hybridMultilevel"/>
    <w:lvl w:ilvl="0">
      <w:lvlJc w:val="left"/>
      <w:lvlText w:val="%1."/>
      <w:numFmt w:val="decimal"/>
      <w:start w:val="7"/>
    </w:lvl>
  </w:abstractNum>
  <w:abstractNum w:abstractNumId="164">
    <w:nsid w:val="46B24DBC"/>
    <w:multiLevelType w:val="hybridMultilevel"/>
    <w:lvl w:ilvl="0">
      <w:lvlJc w:val="left"/>
      <w:lvlText w:val="%1."/>
      <w:numFmt w:val="decimal"/>
      <w:start w:val="7"/>
    </w:lvl>
  </w:abstractNum>
  <w:abstractNum w:abstractNumId="165">
    <w:nsid w:val="75B52783"/>
    <w:multiLevelType w:val="hybridMultilevel"/>
    <w:lvl w:ilvl="0">
      <w:lvlJc w:val="left"/>
      <w:lvlText w:val="(%1)"/>
      <w:numFmt w:val="decimal"/>
      <w:start w:val="1"/>
    </w:lvl>
  </w:abstractNum>
  <w:abstractNum w:abstractNumId="166">
    <w:nsid w:val="57CE66B4"/>
    <w:multiLevelType w:val="hybridMultilevel"/>
    <w:lvl w:ilvl="0">
      <w:lvlJc w:val="left"/>
      <w:lvlText w:val="%1."/>
      <w:numFmt w:val="decimal"/>
      <w:start w:val="7"/>
    </w:lvl>
  </w:abstractNum>
  <w:abstractNum w:abstractNumId="167">
    <w:nsid w:val="67A70B69"/>
    <w:multiLevelType w:val="hybridMultilevel"/>
    <w:lvl w:ilvl="0">
      <w:lvlJc w:val="left"/>
      <w:lvlText w:val="%1."/>
      <w:numFmt w:val="decimal"/>
      <w:start w:val="7"/>
    </w:lvl>
  </w:abstractNum>
  <w:abstractNum w:abstractNumId="168">
    <w:nsid w:val="5953172F"/>
    <w:multiLevelType w:val="hybridMultilevel"/>
    <w:lvl w:ilvl="0">
      <w:lvlJc w:val="left"/>
      <w:lvlText w:val="%1."/>
      <w:numFmt w:val="decimal"/>
      <w:start w:val="8"/>
    </w:lvl>
  </w:abstractNum>
  <w:abstractNum w:abstractNumId="169">
    <w:nsid w:val="27EDFE3A"/>
    <w:multiLevelType w:val="hybridMultilevel"/>
    <w:lvl w:ilvl="0">
      <w:lvlJc w:val="left"/>
      <w:lvlText w:val="%1."/>
      <w:numFmt w:val="decimal"/>
      <w:start w:val="9"/>
    </w:lvl>
  </w:abstractNum>
  <w:abstractNum w:abstractNumId="170">
    <w:nsid w:val="52AC7DFF"/>
    <w:multiLevelType w:val="hybridMultilevel"/>
    <w:lvl w:ilvl="0">
      <w:lvlJc w:val="left"/>
      <w:lvlText w:val="%1."/>
      <w:numFmt w:val="decimal"/>
      <w:start w:val="9"/>
    </w:lvl>
  </w:abstractNum>
  <w:abstractNum w:abstractNumId="171">
    <w:nsid w:val="C4C3AF"/>
    <w:multiLevelType w:val="hybridMultilevel"/>
    <w:lvl w:ilvl="0">
      <w:lvlJc w:val="left"/>
      <w:lvlText w:val="%1."/>
      <w:numFmt w:val="decimal"/>
      <w:start w:val="11"/>
    </w:lvl>
  </w:abstractNum>
  <w:abstractNum w:abstractNumId="172">
    <w:nsid w:val="44380727"/>
    <w:multiLevelType w:val="hybridMultilevel"/>
    <w:lvl w:ilvl="0">
      <w:lvlJc w:val="left"/>
      <w:lvlText w:val="*"/>
      <w:numFmt w:val="bullet"/>
      <w:start w:val="1"/>
    </w:lvl>
  </w:abstractNum>
  <w:abstractNum w:abstractNumId="173">
    <w:nsid w:val="6C053B16"/>
    <w:multiLevelType w:val="hybridMultilevel"/>
    <w:lvl w:ilvl="0">
      <w:lvlJc w:val="left"/>
      <w:lvlText w:val="(%1)"/>
      <w:numFmt w:val="lowerRoman"/>
      <w:start w:val="2"/>
    </w:lvl>
  </w:abstractNum>
  <w:abstractNum w:abstractNumId="174">
    <w:nsid w:val="4F294393"/>
    <w:multiLevelType w:val="hybridMultilevel"/>
    <w:lvl w:ilvl="0">
      <w:lvlJc w:val="left"/>
      <w:lvlText w:val="(%1)"/>
      <w:numFmt w:val="lowerLetter"/>
      <w:start w:val="1"/>
    </w:lvl>
  </w:abstractNum>
  <w:abstractNum w:abstractNumId="175">
    <w:nsid w:val="5243BFAC"/>
    <w:multiLevelType w:val="hybridMultilevel"/>
    <w:lvl w:ilvl="0">
      <w:lvlJc w:val="left"/>
      <w:lvlText w:val="†"/>
      <w:numFmt w:val="bullet"/>
      <w:start w:val="1"/>
    </w:lvl>
  </w:abstractNum>
  <w:abstractNum w:abstractNumId="176">
    <w:nsid w:val="425EB207"/>
    <w:multiLevelType w:val="hybridMultilevel"/>
    <w:lvl w:ilvl="0">
      <w:lvlJc w:val="left"/>
      <w:lvlText w:val="††"/>
      <w:numFmt w:val="bullet"/>
      <w:start w:val="1"/>
    </w:lvl>
  </w:abstractNum>
  <w:abstractNum w:abstractNumId="177">
    <w:nsid w:val="334A6F1F"/>
    <w:multiLevelType w:val="hybridMultilevel"/>
    <w:lvl w:ilvl="0">
      <w:lvlJc w:val="left"/>
      <w:lvlText w:val="+"/>
      <w:numFmt w:val="bullet"/>
      <w:start w:val="1"/>
    </w:lvl>
  </w:abstractNum>
  <w:abstractNum w:abstractNumId="178">
    <w:nsid w:val="2E5B12B8"/>
    <w:multiLevelType w:val="hybridMultilevel"/>
    <w:lvl w:ilvl="0">
      <w:lvlJc w:val="left"/>
      <w:lvlText w:val="(%1)"/>
      <w:numFmt w:val="decimal"/>
      <w:start w:val="1"/>
    </w:lvl>
    <w:lvl w:ilvl="1">
      <w:lvlJc w:val="left"/>
      <w:lvlText w:val="(%2)"/>
      <w:numFmt w:val="lowerRoman"/>
      <w:start w:val="1"/>
    </w:lvl>
  </w:abstractNum>
  <w:abstractNum w:abstractNumId="179">
    <w:nsid w:val="5C03D76D"/>
    <w:multiLevelType w:val="hybridMultilevel"/>
    <w:lvl w:ilvl="0">
      <w:lvlJc w:val="left"/>
      <w:lvlText w:val="(%1)"/>
      <w:numFmt w:val="lowerRoman"/>
      <w:start w:val="3"/>
    </w:lvl>
  </w:abstractNum>
  <w:abstractNum w:abstractNumId="180">
    <w:nsid w:val="66A48D11"/>
    <w:multiLevelType w:val="hybridMultilevel"/>
    <w:lvl w:ilvl="0">
      <w:lvlJc w:val="left"/>
      <w:lvlText w:val="(%1)"/>
      <w:numFmt w:val="decimal"/>
      <w:start w:val="2"/>
    </w:lvl>
    <w:lvl w:ilvl="1">
      <w:lvlJc w:val="left"/>
      <w:lvlText w:val="(%2)"/>
      <w:numFmt w:val="lowerRoman"/>
      <w:start w:val="1"/>
    </w:lvl>
  </w:abstractNum>
  <w:abstractNum w:abstractNumId="181">
    <w:nsid w:val="56C28E34"/>
    <w:multiLevelType w:val="hybridMultilevel"/>
    <w:lvl w:ilvl="0">
      <w:lvlJc w:val="left"/>
      <w:lvlText w:val="(%1)"/>
      <w:numFmt w:val="lowerRoman"/>
      <w:start w:val="1"/>
    </w:lvl>
  </w:abstractNum>
  <w:abstractNum w:abstractNumId="182">
    <w:nsid w:val="13916F2D"/>
    <w:multiLevelType w:val="hybridMultilevel"/>
    <w:lvl w:ilvl="0">
      <w:lvlJc w:val="left"/>
      <w:lvlText w:val="(%1)"/>
      <w:numFmt w:val="lowerRoman"/>
      <w:start w:val="1"/>
    </w:lvl>
  </w:abstractNum>
  <w:abstractNum w:abstractNumId="183">
    <w:nsid w:val="435D38D"/>
    <w:multiLevelType w:val="hybridMultilevel"/>
    <w:lvl w:ilvl="0">
      <w:lvlJc w:val="left"/>
      <w:lvlText w:val="(%1)"/>
      <w:numFmt w:val="lowerRoman"/>
      <w:start w:val="2"/>
    </w:lvl>
  </w:abstractNum>
  <w:abstractNum w:abstractNumId="184">
    <w:nsid w:val="822C0EF"/>
    <w:multiLevelType w:val="hybridMultilevel"/>
    <w:lvl w:ilvl="0">
      <w:lvlJc w:val="left"/>
      <w:lvlText w:val="%1."/>
      <w:numFmt w:val="upperLetter"/>
      <w:start w:val="1"/>
    </w:lvl>
  </w:abstractNum>
  <w:abstractNum w:abstractNumId="185">
    <w:nsid w:val="57C5BB4F"/>
    <w:multiLevelType w:val="hybridMultilevel"/>
    <w:lvl w:ilvl="0">
      <w:lvlJc w:val="left"/>
      <w:lvlText w:val="%1."/>
      <w:numFmt w:val="decimal"/>
      <w:start w:val="1"/>
    </w:lvl>
  </w:abstractNum>
  <w:abstractNum w:abstractNumId="186">
    <w:nsid w:val="1803D089"/>
    <w:multiLevelType w:val="hybridMultilevel"/>
    <w:lvl w:ilvl="0">
      <w:lvlJc w:val="left"/>
      <w:lvlText w:val="%1."/>
      <w:numFmt w:val="decimal"/>
      <w:start w:val="1"/>
    </w:lvl>
  </w:abstractNum>
  <w:abstractNum w:abstractNumId="187">
    <w:nsid w:val="4F3A06D4"/>
    <w:multiLevelType w:val="hybridMultilevel"/>
    <w:lvl w:ilvl="0">
      <w:lvlJc w:val="left"/>
      <w:lvlText w:val="%1."/>
      <w:numFmt w:val="decimal"/>
      <w:start w:val="1"/>
    </w:lvl>
  </w:abstractNum>
  <w:abstractNum w:abstractNumId="188">
    <w:nsid w:val="59A377B6"/>
    <w:multiLevelType w:val="hybridMultilevel"/>
    <w:lvl w:ilvl="0">
      <w:lvlJc w:val="left"/>
      <w:lvlText w:val="%1."/>
      <w:numFmt w:val="upperLetter"/>
      <w:start w:val="2"/>
    </w:lvl>
  </w:abstractNum>
  <w:abstractNum w:abstractNumId="189">
    <w:nsid w:val="48AEB063"/>
    <w:multiLevelType w:val="hybridMultilevel"/>
    <w:lvl w:ilvl="0">
      <w:lvlJc w:val="left"/>
      <w:lvlText w:val="%1."/>
      <w:numFmt w:val="upperLetter"/>
      <w:start w:val="3"/>
    </w:lvl>
  </w:abstractNum>
  <w:abstractNum w:abstractNumId="190">
    <w:nsid w:val="24E135"/>
    <w:multiLevelType w:val="hybridMultilevel"/>
    <w:lvl w:ilvl="0">
      <w:lvlJc w:val="left"/>
      <w:lvlText w:val="%1."/>
      <w:numFmt w:val="decimal"/>
      <w:start w:val="1"/>
    </w:lvl>
  </w:abstractNum>
  <w:abstractNum w:abstractNumId="191">
    <w:nsid w:val="BB13C1"/>
    <w:multiLevelType w:val="hybridMultilevel"/>
    <w:lvl w:ilvl="0">
      <w:lvlJc w:val="left"/>
      <w:lvlText w:val="%1"/>
      <w:numFmt w:val="upperLetter"/>
      <w:start w:val="1"/>
    </w:lvl>
    <w:lvl w:ilvl="1">
      <w:lvlJc w:val="left"/>
      <w:lvlText w:val="%2."/>
      <w:numFmt w:val="decimal"/>
      <w:start w:val="8"/>
    </w:lvl>
  </w:abstractNum>
  <w:abstractNum w:abstractNumId="192">
    <w:nsid w:val="271210C7"/>
    <w:multiLevelType w:val="hybridMultilevel"/>
    <w:lvl w:ilvl="0">
      <w:lvlJc w:val="left"/>
      <w:lvlText w:val="%1."/>
      <w:numFmt w:val="upperLetter"/>
      <w:start w:val="4"/>
    </w:lvl>
    <w:lvl w:ilvl="1">
      <w:lvlJc w:val="left"/>
      <w:lvlText w:val="%2"/>
      <w:numFmt w:val="decimal"/>
      <w:start w:val="1"/>
    </w:lvl>
  </w:abstractNum>
  <w:abstractNum w:abstractNumId="193">
    <w:nsid w:val="217B22E4"/>
    <w:multiLevelType w:val="hybridMultilevel"/>
    <w:lvl w:ilvl="0">
      <w:lvlJc w:val="left"/>
      <w:lvlText w:val="%1."/>
      <w:numFmt w:val="upperLetter"/>
      <w:start w:val="5"/>
    </w:lvl>
  </w:abstractNum>
  <w:abstractNum w:abstractNumId="194">
    <w:nsid w:val="53E31A24"/>
    <w:multiLevelType w:val="hybridMultilevel"/>
    <w:lvl w:ilvl="0">
      <w:lvlJc w:val="left"/>
      <w:lvlText w:val="%1."/>
      <w:numFmt w:val="decimal"/>
      <w:start w:val="1"/>
    </w:lvl>
  </w:abstractNum>
  <w:abstractNum w:abstractNumId="195">
    <w:nsid w:val="6DC45E83"/>
    <w:multiLevelType w:val="hybridMultilevel"/>
    <w:lvl w:ilvl="0">
      <w:lvlJc w:val="left"/>
      <w:lvlText w:val="%1"/>
      <w:numFmt w:val="upperLetter"/>
      <w:start w:val="1"/>
    </w:lvl>
    <w:lvl w:ilvl="1">
      <w:lvlJc w:val="left"/>
      <w:lvlText w:val="%2."/>
      <w:numFmt w:val="decimal"/>
      <w:start w:val="2"/>
    </w:lvl>
  </w:abstractNum>
  <w:abstractNum w:abstractNumId="196">
    <w:nsid w:val="17304A67"/>
    <w:multiLevelType w:val="hybridMultilevel"/>
    <w:lvl w:ilvl="0">
      <w:lvlJc w:val="left"/>
      <w:lvlText w:val="%1."/>
      <w:numFmt w:val="upperLetter"/>
      <w:start w:val="6"/>
    </w:lvl>
    <w:lvl w:ilvl="1">
      <w:lvlJc w:val="left"/>
      <w:lvlText w:val="%2"/>
      <w:numFmt w:val="decimal"/>
      <w:start w:val="1"/>
    </w:lvl>
  </w:abstractNum>
  <w:abstractNum w:abstractNumId="197">
    <w:nsid w:val="2BB180D8"/>
    <w:multiLevelType w:val="hybridMultilevel"/>
    <w:lvl w:ilvl="0">
      <w:lvlJc w:val="left"/>
      <w:lvlText w:val="G"/>
      <w:numFmt w:val="bullet"/>
      <w:start w:val="1"/>
    </w:lvl>
  </w:abstractNum>
  <w:abstractNum w:abstractNumId="198">
    <w:nsid w:val="556B69ED"/>
    <w:multiLevelType w:val="hybridMultilevel"/>
    <w:lvl w:ilvl="0">
      <w:lvlJc w:val="left"/>
      <w:lvlText w:val="H"/>
      <w:numFmt w:val="bullet"/>
      <w:start w:val="1"/>
    </w:lvl>
  </w:abstractNum>
  <w:abstractNum w:abstractNumId="199">
    <w:nsid w:val="70836196"/>
    <w:multiLevelType w:val="hybridMultilevel"/>
    <w:lvl w:ilvl="0">
      <w:lvlJc w:val="left"/>
      <w:lvlText w:val="I"/>
      <w:numFmt w:val="bullet"/>
      <w:start w:val="1"/>
    </w:lvl>
  </w:abstractNum>
  <w:abstractNum w:abstractNumId="200">
    <w:nsid w:val="539F7F12"/>
    <w:multiLevelType w:val="hybridMultilevel"/>
    <w:lvl w:ilvl="0">
      <w:lvlJc w:val="left"/>
      <w:lvlText w:val="J"/>
      <w:numFmt w:val="bullet"/>
      <w:start w:val="1"/>
    </w:lvl>
  </w:abstractNum>
  <w:abstractNum w:abstractNumId="201">
    <w:nsid w:val="2817E7EC"/>
    <w:multiLevelType w:val="hybridMultilevel"/>
    <w:lvl w:ilvl="0">
      <w:lvlJc w:val="left"/>
      <w:lvlText w:val="%1."/>
      <w:numFmt w:val="decimal"/>
      <w:start w:val="1"/>
    </w:lvl>
  </w:abstractNum>
  <w:abstractNum w:abstractNumId="202">
    <w:nsid w:val="71482545"/>
    <w:multiLevelType w:val="hybridMultilevel"/>
    <w:lvl w:ilvl="0">
      <w:lvlJc w:val="left"/>
      <w:lvlText w:val="(%1)"/>
      <w:numFmt w:val="lowerLetter"/>
      <w:start w:val="1"/>
    </w:lvl>
  </w:abstractNum>
  <w:abstractNum w:abstractNumId="203">
    <w:nsid w:val="17D78639"/>
    <w:multiLevelType w:val="hybridMultilevel"/>
    <w:lvl w:ilvl="0">
      <w:lvlJc w:val="left"/>
      <w:lvlText w:val="%1."/>
      <w:numFmt w:val="decimal"/>
      <w:start w:val="2"/>
    </w:lvl>
  </w:abstractNum>
  <w:abstractNum w:abstractNumId="204">
    <w:nsid w:val="141D2302"/>
    <w:multiLevelType w:val="hybridMultilevel"/>
    <w:lvl w:ilvl="0">
      <w:lvlJc w:val="left"/>
      <w:lvlText w:val="(%1)"/>
      <w:numFmt w:val="lowerLetter"/>
      <w:start w:val="1"/>
    </w:lvl>
  </w:abstractNum>
  <w:abstractNum w:abstractNumId="205">
    <w:nsid w:val="407168D8"/>
    <w:multiLevelType w:val="hybridMultilevel"/>
    <w:lvl w:ilvl="0">
      <w:lvlJc w:val="left"/>
      <w:lvlText w:val="(%1)"/>
      <w:numFmt w:val="lowerRoman"/>
      <w:start w:val="1"/>
    </w:lvl>
  </w:abstractNum>
  <w:abstractNum w:abstractNumId="206">
    <w:nsid w:val="6A1B45E5"/>
    <w:multiLevelType w:val="hybridMultilevel"/>
    <w:lvl w:ilvl="0">
      <w:lvlJc w:val="left"/>
      <w:lvlText w:val="%1."/>
      <w:numFmt w:val="decimal"/>
      <w:start w:val="3"/>
    </w:lvl>
  </w:abstractNum>
  <w:abstractNum w:abstractNumId="207">
    <w:nsid w:val="567BD50A"/>
    <w:multiLevelType w:val="hybridMultilevel"/>
    <w:lvl w:ilvl="0">
      <w:lvlJc w:val="left"/>
      <w:lvlText w:val="(%1)"/>
      <w:numFmt w:val="lowerLetter"/>
      <w:start w:val="1"/>
    </w:lvl>
  </w:abstractNum>
  <w:abstractNum w:abstractNumId="208">
    <w:nsid w:val="73BBD7F8"/>
    <w:multiLevelType w:val="hybridMultilevel"/>
    <w:lvl w:ilvl="0">
      <w:lvlJc w:val="left"/>
      <w:lvlText w:val="%1."/>
      <w:numFmt w:val="decimal"/>
      <w:start w:val="4"/>
    </w:lvl>
  </w:abstractNum>
  <w:abstractNum w:abstractNumId="209">
    <w:nsid w:val="1876589D"/>
    <w:multiLevelType w:val="hybridMultilevel"/>
    <w:lvl w:ilvl="0">
      <w:lvlJc w:val="left"/>
      <w:lvlText w:val="%1."/>
      <w:numFmt w:val="decimal"/>
      <w:start w:val="5"/>
    </w:lvl>
  </w:abstractNum>
  <w:abstractNum w:abstractNumId="210">
    <w:nsid w:val="327FAC77"/>
    <w:multiLevelType w:val="hybridMultilevel"/>
    <w:lvl w:ilvl="0">
      <w:lvlJc w:val="left"/>
      <w:lvlText w:val="(%1)"/>
      <w:numFmt w:val="lowerRoman"/>
      <w:start w:val="1"/>
    </w:lvl>
  </w:abstractNum>
  <w:abstractNum w:abstractNumId="211">
    <w:nsid w:val="5A606509"/>
    <w:multiLevelType w:val="hybridMultilevel"/>
    <w:lvl w:ilvl="0">
      <w:lvlJc w:val="left"/>
      <w:lvlText w:val="%1."/>
      <w:numFmt w:val="decimal"/>
      <w:start w:val="6"/>
    </w:lvl>
  </w:abstractNum>
  <w:abstractNum w:abstractNumId="212">
    <w:nsid w:val="6F38E6D1"/>
    <w:multiLevelType w:val="hybridMultilevel"/>
    <w:lvl w:ilvl="0">
      <w:lvlJc w:val="left"/>
      <w:lvlText w:val="(%1)"/>
      <w:numFmt w:val="lowerLetter"/>
      <w:start w:val="1"/>
    </w:lvl>
  </w:abstractNum>
  <w:abstractNum w:abstractNumId="213">
    <w:nsid w:val="46111BA5"/>
    <w:multiLevelType w:val="hybridMultilevel"/>
    <w:lvl w:ilvl="0">
      <w:lvlJc w:val="left"/>
      <w:lvlText w:val="%1."/>
      <w:numFmt w:val="decimal"/>
      <w:start w:val="7"/>
    </w:lvl>
  </w:abstractNum>
  <w:abstractNum w:abstractNumId="214">
    <w:nsid w:val="5E963896"/>
    <w:multiLevelType w:val="hybridMultilevel"/>
    <w:lvl w:ilvl="0">
      <w:lvlJc w:val="left"/>
      <w:lvlText w:val="(%1)"/>
      <w:numFmt w:val="lowerLetter"/>
      <w:start w:val="1"/>
    </w:lvl>
    <w:lvl w:ilvl="1">
      <w:lvlJc w:val="left"/>
      <w:lvlText w:val="(%2)"/>
      <w:numFmt w:val="lowerRoman"/>
      <w:start w:val="1"/>
    </w:lvl>
  </w:abstractNum>
  <w:abstractNum w:abstractNumId="215">
    <w:nsid w:val="775BA7C1"/>
    <w:multiLevelType w:val="hybridMultilevel"/>
    <w:lvl w:ilvl="0">
      <w:lvlJc w:val="left"/>
      <w:lvlText w:val="(%1)"/>
      <w:numFmt w:val="lowerRoman"/>
      <w:start w:val="1"/>
    </w:lvl>
  </w:abstractNum>
  <w:abstractNum w:abstractNumId="216">
    <w:nsid w:val="1DD6D6F4"/>
    <w:multiLevelType w:val="hybridMultilevel"/>
    <w:lvl w:ilvl="0">
      <w:lvlJc w:val="left"/>
      <w:lvlText w:val="(%1)"/>
      <w:numFmt w:val="lowerRoman"/>
      <w:start w:val="1"/>
    </w:lvl>
  </w:abstractNum>
  <w:abstractNum w:abstractNumId="217">
    <w:nsid w:val="769A091F"/>
    <w:multiLevelType w:val="hybridMultilevel"/>
    <w:lvl w:ilvl="0">
      <w:lvlJc w:val="left"/>
      <w:lvlText w:val="(%1)"/>
      <w:numFmt w:val="lowerLetter"/>
      <w:start w:val="1"/>
    </w:lvl>
  </w:abstractNum>
  <w:abstractNum w:abstractNumId="218">
    <w:nsid w:val="4695AE95"/>
    <w:multiLevelType w:val="hybridMultilevel"/>
    <w:lvl w:ilvl="0">
      <w:lvlJc w:val="left"/>
      <w:lvlText w:val="%1."/>
      <w:numFmt w:val="decimal"/>
      <w:start w:val="9"/>
    </w:lvl>
  </w:abstractNum>
  <w:abstractNum w:abstractNumId="219">
    <w:nsid w:val="777A4EAA"/>
    <w:multiLevelType w:val="hybridMultilevel"/>
    <w:lvl w:ilvl="0">
      <w:lvlJc w:val="left"/>
      <w:lvlText w:val="(%1)"/>
      <w:numFmt w:val="lowerLetter"/>
      <w:start w:val="1"/>
    </w:lvl>
  </w:abstractNum>
  <w:abstractNum w:abstractNumId="220">
    <w:nsid w:val="3F48B982"/>
    <w:multiLevelType w:val="hybridMultilevel"/>
    <w:lvl w:ilvl="0">
      <w:lvlJc w:val="left"/>
      <w:lvlText w:val="%1."/>
      <w:numFmt w:val="decimal"/>
      <w:start w:val="10"/>
    </w:lvl>
  </w:abstractNum>
  <w:abstractNum w:abstractNumId="221">
    <w:nsid w:val="46BA8FCA"/>
    <w:multiLevelType w:val="hybridMultilevel"/>
    <w:lvl w:ilvl="0">
      <w:lvlJc w:val="left"/>
      <w:lvlText w:val="(%1)"/>
      <w:numFmt w:val="lowerLetter"/>
      <w:start w:val="1"/>
    </w:lvl>
  </w:abstractNum>
  <w:abstractNum w:abstractNumId="222">
    <w:nsid w:val="7835626C"/>
    <w:multiLevelType w:val="hybridMultilevel"/>
    <w:lvl w:ilvl="0">
      <w:lvlJc w:val="left"/>
      <w:lvlText w:val="(%1)"/>
      <w:numFmt w:val="lowerLetter"/>
      <w:start w:val="2"/>
    </w:lvl>
  </w:abstractNum>
  <w:abstractNum w:abstractNumId="223">
    <w:nsid w:val="665ACA49"/>
    <w:multiLevelType w:val="hybridMultilevel"/>
    <w:lvl w:ilvl="0">
      <w:lvlJc w:val="left"/>
      <w:lvlText w:val="%1."/>
      <w:numFmt w:val="decimal"/>
      <w:start w:val="11"/>
    </w:lvl>
  </w:abstractNum>
  <w:abstractNum w:abstractNumId="224">
    <w:nsid w:val="6835B2AE"/>
    <w:multiLevelType w:val="hybridMultilevel"/>
    <w:lvl w:ilvl="0">
      <w:lvlJc w:val="left"/>
      <w:lvlText w:val="(%1)"/>
      <w:numFmt w:val="lowerLetter"/>
      <w:start w:val="1"/>
    </w:lvl>
    <w:lvl w:ilvl="1">
      <w:lvlJc w:val="left"/>
      <w:lvlText w:val="(%2)"/>
      <w:numFmt w:val="lowerRoman"/>
      <w:start w:val="1"/>
    </w:lvl>
  </w:abstractNum>
  <w:abstractNum w:abstractNumId="225">
    <w:nsid w:val="4C187C90"/>
    <w:multiLevelType w:val="hybridMultilevel"/>
    <w:lvl w:ilvl="0">
      <w:lvlJc w:val="left"/>
      <w:lvlText w:val="(%1)"/>
      <w:numFmt w:val="lowerLetter"/>
      <w:start w:val="3"/>
    </w:lvl>
  </w:abstractNum>
  <w:abstractNum w:abstractNumId="226">
    <w:nsid w:val="541F28CD"/>
    <w:multiLevelType w:val="hybridMultilevel"/>
    <w:lvl w:ilvl="0">
      <w:lvlJc w:val="left"/>
      <w:lvlText w:val="(%1)"/>
      <w:numFmt w:val="lowerLetter"/>
      <w:start w:val="4"/>
    </w:lvl>
  </w:abstractNum>
  <w:abstractNum w:abstractNumId="227">
    <w:nsid w:val="7F65FD16"/>
    <w:multiLevelType w:val="hybridMultilevel"/>
    <w:lvl w:ilvl="0">
      <w:lvlJc w:val="left"/>
      <w:lvlText w:val="%1."/>
      <w:numFmt w:val="decimal"/>
      <w:start w:val="12"/>
    </w:lvl>
  </w:abstractNum>
  <w:abstractNum w:abstractNumId="228">
    <w:nsid w:val="77C9FD68"/>
    <w:multiLevelType w:val="hybridMultilevel"/>
    <w:lvl w:ilvl="0">
      <w:lvlJc w:val="left"/>
      <w:lvlText w:val="(%1)"/>
      <w:numFmt w:val="lowerLetter"/>
      <w:start w:val="1"/>
    </w:lvl>
  </w:abstractNum>
  <w:abstractNum w:abstractNumId="229">
    <w:nsid w:val="298A92BA"/>
    <w:multiLevelType w:val="hybridMultilevel"/>
    <w:lvl w:ilvl="0">
      <w:lvlJc w:val="left"/>
      <w:lvlText w:val="%1."/>
      <w:numFmt w:val="decimal"/>
      <w:start w:val="13"/>
    </w:lvl>
  </w:abstractNum>
  <w:abstractNum w:abstractNumId="230">
    <w:nsid w:val="6FE95EAC"/>
    <w:multiLevelType w:val="hybridMultilevel"/>
    <w:lvl w:ilvl="0">
      <w:lvlJc w:val="left"/>
      <w:lvlText w:val="(%1)"/>
      <w:numFmt w:val="lowerRoman"/>
      <w:start w:val="1"/>
    </w:lvl>
  </w:abstractNum>
  <w:abstractNum w:abstractNumId="231">
    <w:nsid w:val="4B697C7A"/>
    <w:multiLevelType w:val="hybridMultilevel"/>
    <w:lvl w:ilvl="0">
      <w:lvlJc w:val="left"/>
      <w:lvlText w:val="%1."/>
      <w:numFmt w:val="decimal"/>
      <w:start w:val="14"/>
    </w:lvl>
  </w:abstractNum>
  <w:abstractNum w:abstractNumId="232">
    <w:nsid w:val="51A27AA6"/>
    <w:multiLevelType w:val="hybridMultilevel"/>
    <w:lvl w:ilvl="0">
      <w:lvlJc w:val="left"/>
      <w:lvlText w:val="(%1)"/>
      <w:numFmt w:val="lowerLetter"/>
      <w:start w:val="1"/>
    </w:lvl>
  </w:abstractNum>
  <w:abstractNum w:abstractNumId="233">
    <w:nsid w:val="613183F2"/>
    <w:multiLevelType w:val="hybridMultilevel"/>
    <w:lvl w:ilvl="0">
      <w:lvlJc w:val="left"/>
      <w:lvlText w:val="(%1)"/>
      <w:numFmt w:val="lowerLetter"/>
      <w:start w:val="1"/>
    </w:lvl>
    <w:lvl w:ilvl="1">
      <w:lvlJc w:val="left"/>
      <w:lvlText w:val="(%2)"/>
      <w:numFmt w:val="lowerRoman"/>
      <w:start w:val="1"/>
    </w:lvl>
  </w:abstractNum>
  <w:abstractNum w:abstractNumId="234">
    <w:nsid w:val="634102B4"/>
    <w:multiLevelType w:val="hybridMultilevel"/>
    <w:lvl w:ilvl="0">
      <w:lvlJc w:val="left"/>
      <w:lvlText w:val="%1."/>
      <w:numFmt w:val="decimal"/>
      <w:start w:val="15"/>
    </w:lvl>
  </w:abstractNum>
  <w:abstractNum w:abstractNumId="235">
    <w:nsid w:val="65BF9DA8"/>
    <w:multiLevelType w:val="hybridMultilevel"/>
    <w:lvl w:ilvl="0">
      <w:lvlJc w:val="left"/>
      <w:lvlText w:val="(%1)"/>
      <w:numFmt w:val="lowerLetter"/>
      <w:start w:val="1"/>
    </w:lvl>
  </w:abstractNum>
  <w:abstractNum w:abstractNumId="236">
    <w:nsid w:val="21A2ECC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7">
    <w:nsid w:val="4D5C4899"/>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238">
    <w:nsid w:val="3C3B72B2"/>
    <w:multiLevelType w:val="hybridMultilevel"/>
    <w:lvl w:ilvl="0">
      <w:lvlJc w:val="left"/>
      <w:lvlText w:val="(%1)"/>
      <w:numFmt w:val="lowerLetter"/>
      <w:start w:val="1"/>
    </w:lvl>
  </w:abstractNum>
  <w:abstractNum w:abstractNumId="239">
    <w:nsid w:val="155EC4C2"/>
    <w:multiLevelType w:val="hybridMultilevel"/>
    <w:lvl w:ilvl="0">
      <w:lvlJc w:val="left"/>
      <w:lvlText w:val="%1."/>
      <w:numFmt w:val="decimal"/>
      <w:start w:val="18"/>
    </w:lvl>
  </w:abstractNum>
  <w:abstractNum w:abstractNumId="240">
    <w:nsid w:val="65D2A137"/>
    <w:multiLevelType w:val="hybridMultilevel"/>
    <w:lvl w:ilvl="0">
      <w:lvlJc w:val="left"/>
      <w:lvlText w:val="%1."/>
      <w:numFmt w:val="decimal"/>
      <w:start w:val="19"/>
    </w:lvl>
  </w:abstractNum>
  <w:abstractNum w:abstractNumId="241">
    <w:nsid w:val="6EBB1F2A"/>
    <w:multiLevelType w:val="hybridMultilevel"/>
    <w:lvl w:ilvl="0">
      <w:lvlJc w:val="left"/>
      <w:lvlText w:val="(%1)"/>
      <w:numFmt w:val="lowerLetter"/>
      <w:start w:val="1"/>
    </w:lvl>
  </w:abstractNum>
  <w:abstractNum w:abstractNumId="242">
    <w:nsid w:val="6FBF29CB"/>
    <w:multiLevelType w:val="hybridMultilevel"/>
    <w:lvl w:ilvl="0">
      <w:lvlJc w:val="left"/>
      <w:lvlText w:val="(%1)"/>
      <w:numFmt w:val="lowerLetter"/>
      <w:start w:val="1"/>
    </w:lvl>
  </w:abstractNum>
  <w:abstractNum w:abstractNumId="243">
    <w:nsid w:val="550B8808"/>
    <w:multiLevelType w:val="hybridMultilevel"/>
    <w:lvl w:ilvl="0">
      <w:lvlJc w:val="left"/>
      <w:lvlText w:val="%1."/>
      <w:numFmt w:val="decimal"/>
      <w:start w:val="20"/>
    </w:lvl>
  </w:abstractNum>
  <w:abstractNum w:abstractNumId="244">
    <w:nsid w:val="34CC3ACF"/>
    <w:multiLevelType w:val="hybridMultilevel"/>
    <w:lvl w:ilvl="0">
      <w:lvlJc w:val="left"/>
      <w:lvlText w:val="(%1)"/>
      <w:numFmt w:val="lowerLetter"/>
      <w:start w:val="1"/>
    </w:lvl>
    <w:lvl w:ilvl="1">
      <w:lvlJc w:val="left"/>
      <w:lvlText w:val="(%2)"/>
      <w:numFmt w:val="lowerRoman"/>
      <w:start w:val="1"/>
    </w:lvl>
  </w:abstractNum>
  <w:abstractNum w:abstractNumId="245">
    <w:nsid w:val="4E556261"/>
    <w:multiLevelType w:val="hybridMultilevel"/>
    <w:lvl w:ilvl="0">
      <w:lvlJc w:val="left"/>
      <w:lvlText w:val="(%1)"/>
      <w:numFmt w:val="lowerLetter"/>
      <w:start w:val="3"/>
    </w:lvl>
    <w:lvl w:ilvl="1">
      <w:lvlJc w:val="left"/>
      <w:lvlText w:val="(%2)"/>
      <w:numFmt w:val="lowerRoman"/>
      <w:start w:val="1"/>
    </w:lvl>
  </w:abstractNum>
  <w:abstractNum w:abstractNumId="246">
    <w:nsid w:val="4C672FC9"/>
    <w:multiLevelType w:val="hybridMultilevel"/>
    <w:lvl w:ilvl="0">
      <w:lvlJc w:val="left"/>
      <w:lvlText w:val="(%1)"/>
      <w:numFmt w:val="lowerLetter"/>
      <w:start w:val="1"/>
    </w:lvl>
    <w:lvl w:ilvl="1">
      <w:lvlJc w:val="left"/>
      <w:lvlText w:val="(%2)"/>
      <w:numFmt w:val="lowerLetter"/>
      <w:start w:val="9"/>
    </w:lvl>
  </w:abstractNum>
  <w:abstractNum w:abstractNumId="247">
    <w:nsid w:val="52A311C3"/>
    <w:multiLevelType w:val="hybridMultilevel"/>
    <w:lvl w:ilvl="0">
      <w:lvlJc w:val="left"/>
      <w:lvlText w:val="(%1)"/>
      <w:numFmt w:val="lowerRoman"/>
      <w:start w:val="1"/>
    </w:lvl>
  </w:abstractNum>
  <w:abstractNum w:abstractNumId="248">
    <w:nsid w:val="44EF6B80"/>
    <w:multiLevelType w:val="hybridMultilevel"/>
    <w:lvl w:ilvl="0">
      <w:lvlJc w:val="left"/>
      <w:lvlText w:val="%1"/>
      <w:numFmt w:val="lowerLetter"/>
      <w:start w:val="1"/>
    </w:lvl>
    <w:lvl w:ilvl="1">
      <w:lvlJc w:val="left"/>
      <w:lvlText w:val="(%2)"/>
      <w:numFmt w:val="lowerLetter"/>
      <w:start w:val="61"/>
    </w:lvl>
  </w:abstractNum>
  <w:abstractNum w:abstractNumId="249">
    <w:nsid w:val="12FCDE5E"/>
    <w:multiLevelType w:val="hybridMultilevel"/>
    <w:lvl w:ilvl="0">
      <w:lvlJc w:val="left"/>
      <w:lvlText w:val="(%1)"/>
      <w:numFmt w:val="lowerLetter"/>
      <w:start w:val="3"/>
    </w:lvl>
    <w:lvl w:ilvl="1">
      <w:lvlJc w:val="left"/>
      <w:lvlText w:val="%2"/>
      <w:numFmt w:val="lowerLetter"/>
      <w:start w:val="1"/>
    </w:lvl>
  </w:abstractNum>
  <w:abstractNum w:abstractNumId="250">
    <w:nsid w:val="4A1D606E"/>
    <w:multiLevelType w:val="hybridMultilevel"/>
    <w:lvl w:ilvl="0">
      <w:lvlJc w:val="left"/>
      <w:lvlText w:val="%1."/>
      <w:numFmt w:val="decimal"/>
      <w:start w:val="21"/>
    </w:lvl>
  </w:abstractNum>
  <w:abstractNum w:abstractNumId="251">
    <w:nsid w:val="4382503"/>
    <w:multiLevelType w:val="hybridMultilevel"/>
    <w:lvl w:ilvl="0">
      <w:lvlJc w:val="left"/>
      <w:lvlText w:val="(%1)"/>
      <w:numFmt w:val="lowerLetter"/>
      <w:start w:val="1"/>
    </w:lvl>
  </w:abstractNum>
  <w:abstractNum w:abstractNumId="252">
    <w:nsid w:val="59B76E28"/>
    <w:multiLevelType w:val="hybridMultilevel"/>
    <w:lvl w:ilvl="0">
      <w:lvlJc w:val="left"/>
      <w:lvlText w:val="(%1)"/>
      <w:numFmt w:val="lowerLetter"/>
      <w:start w:val="1"/>
    </w:lvl>
  </w:abstractNum>
  <w:abstractNum w:abstractNumId="253">
    <w:nsid w:val="4252C2DA"/>
    <w:multiLevelType w:val="hybridMultilevel"/>
    <w:lvl w:ilvl="0">
      <w:lvlJc w:val="left"/>
      <w:lvlText w:val="(%1)"/>
      <w:numFmt w:val="lowerLetter"/>
      <w:start w:val="1"/>
    </w:lvl>
  </w:abstractNum>
  <w:abstractNum w:abstractNumId="254">
    <w:nsid w:val="6A92EF4C"/>
    <w:multiLevelType w:val="hybridMultilevel"/>
    <w:lvl w:ilvl="0">
      <w:lvlJc w:val="left"/>
      <w:lvlText w:val="%1."/>
      <w:numFmt w:val="decimal"/>
      <w:start w:val="22"/>
    </w:lvl>
  </w:abstractNum>
  <w:abstractNum w:abstractNumId="255">
    <w:nsid w:val="41ED20D7"/>
    <w:multiLevelType w:val="hybridMultilevel"/>
    <w:lvl w:ilvl="0">
      <w:lvlJc w:val="left"/>
      <w:lvlText w:val="(%1)"/>
      <w:numFmt w:val="lowerLetter"/>
      <w:start w:val="1"/>
    </w:lvl>
  </w:abstractNum>
  <w:abstractNum w:abstractNumId="256">
    <w:nsid w:val="E6B3F6A"/>
    <w:multiLevelType w:val="hybridMultilevel"/>
    <w:lvl w:ilvl="0">
      <w:lvlJc w:val="left"/>
      <w:lvlText w:val="(%1)"/>
      <w:numFmt w:val="lowerLetter"/>
      <w:start w:val="1"/>
    </w:lvl>
  </w:abstractNum>
  <w:abstractNum w:abstractNumId="257">
    <w:nsid w:val="3EB21819"/>
    <w:multiLevelType w:val="hybridMultilevel"/>
    <w:lvl w:ilvl="0">
      <w:lvlJc w:val="left"/>
      <w:lvlText w:val="%1."/>
      <w:numFmt w:val="decimal"/>
      <w:start w:val="23"/>
    </w:lvl>
  </w:abstractNum>
  <w:abstractNum w:abstractNumId="258">
    <w:nsid w:val="41531DED"/>
    <w:multiLevelType w:val="hybridMultilevel"/>
    <w:lvl w:ilvl="0">
      <w:lvlJc w:val="left"/>
      <w:lvlText w:val="%1"/>
      <w:numFmt w:val="decimal"/>
      <w:start w:val="1"/>
    </w:lvl>
    <w:lvl w:ilvl="1">
      <w:lvlJc w:val="left"/>
      <w:lvlText w:val="(%2)"/>
      <w:numFmt w:val="lowerLetter"/>
      <w:start w:val="1"/>
    </w:lvl>
  </w:abstractNum>
  <w:abstractNum w:abstractNumId="259">
    <w:nsid w:val="6353CD2"/>
    <w:multiLevelType w:val="hybridMultilevel"/>
    <w:lvl w:ilvl="0">
      <w:lvlJc w:val="left"/>
      <w:lvlText w:val="%1."/>
      <w:numFmt w:val="decimal"/>
      <w:start w:val="24"/>
    </w:lvl>
    <w:lvl w:ilvl="1">
      <w:lvlJc w:val="left"/>
      <w:lvlText w:val="%2"/>
      <w:numFmt w:val="lowerLetter"/>
      <w:start w:val="1"/>
    </w:lvl>
  </w:abstractNum>
  <w:abstractNum w:abstractNumId="260">
    <w:nsid w:val="683CAAD3"/>
    <w:multiLevelType w:val="hybridMultilevel"/>
    <w:lvl w:ilvl="0">
      <w:lvlJc w:val="left"/>
      <w:lvlText w:val="%1."/>
      <w:numFmt w:val="decimal"/>
      <w:start w:val="26"/>
    </w:lvl>
  </w:abstractNum>
  <w:abstractNum w:abstractNumId="261">
    <w:nsid w:val="313C7C99"/>
    <w:multiLevelType w:val="hybridMultilevel"/>
    <w:lvl w:ilvl="0">
      <w:lvlJc w:val="left"/>
      <w:lvlText w:val="%1."/>
      <w:numFmt w:val="decimal"/>
      <w:start w:val="27"/>
    </w:lvl>
    <w:lvl w:ilvl="1">
      <w:lvlJc w:val="left"/>
      <w:lvlText w:val="(%2)"/>
      <w:numFmt w:val="lowerLetter"/>
      <w:start w:val="1"/>
    </w:lvl>
    <w:lvl w:ilvl="2">
      <w:lvlJc w:val="left"/>
      <w:lvlText w:val="(%3)"/>
      <w:numFmt w:val="lowerLetter"/>
      <w:start w:val="9"/>
    </w:lvl>
  </w:abstractNum>
  <w:abstractNum w:abstractNumId="262">
    <w:nsid w:val="519EB94C"/>
    <w:multiLevelType w:val="hybridMultilevel"/>
    <w:lvl w:ilvl="0">
      <w:lvlJc w:val="left"/>
      <w:lvlText w:val="(%1)"/>
      <w:numFmt w:val="lowerRoman"/>
      <w:start w:val="2"/>
    </w:lvl>
  </w:abstractNum>
  <w:abstractNum w:abstractNumId="263">
    <w:nsid w:val="39DF2579"/>
    <w:multiLevelType w:val="hybridMultilevel"/>
    <w:lvl w:ilvl="0">
      <w:lvlJc w:val="left"/>
      <w:lvlText w:val="(%1)"/>
      <w:numFmt w:val="lowerLetter"/>
      <w:start w:val="3"/>
    </w:lvl>
  </w:abstractNum>
  <w:abstractNum w:abstractNumId="264">
    <w:nsid w:val="126E008B"/>
    <w:multiLevelType w:val="hybridMultilevel"/>
    <w:lvl w:ilvl="0">
      <w:lvlJc w:val="left"/>
      <w:lvlText w:val="%1."/>
      <w:numFmt w:val="decimal"/>
      <w:start w:val="28"/>
    </w:lvl>
  </w:abstractNum>
  <w:abstractNum w:abstractNumId="265">
    <w:nsid w:val="34DFBC00"/>
    <w:multiLevelType w:val="hybridMultilevel"/>
    <w:lvl w:ilvl="0">
      <w:lvlJc w:val="left"/>
      <w:lvlText w:val="(%1)"/>
      <w:numFmt w:val="lowerLetter"/>
      <w:start w:val="1"/>
    </w:lvl>
  </w:abstractNum>
  <w:abstractNum w:abstractNumId="266">
    <w:nsid w:val="1F9EC322"/>
    <w:multiLevelType w:val="hybridMultilevel"/>
    <w:lvl w:ilvl="0">
      <w:lvlJc w:val="left"/>
      <w:lvlText w:val="(%1)"/>
      <w:numFmt w:val="lowerLetter"/>
      <w:start w:val="1"/>
    </w:lvl>
  </w:abstractNum>
  <w:abstractNum w:abstractNumId="267">
    <w:nsid w:val="3410ED56"/>
    <w:multiLevelType w:val="hybridMultilevel"/>
    <w:lvl w:ilvl="0">
      <w:lvlJc w:val="left"/>
      <w:lvlText w:val="%1."/>
      <w:numFmt w:val="decimal"/>
      <w:start w:val="30"/>
    </w:lvl>
    <w:lvl w:ilvl="1">
      <w:lvlJc w:val="left"/>
      <w:lvlText w:val="(%2)"/>
      <w:numFmt w:val="lowerLetter"/>
      <w:start w:val="1"/>
    </w:lvl>
  </w:abstractNum>
  <w:abstractNum w:abstractNumId="268">
    <w:nsid w:val="23C049A"/>
    <w:multiLevelType w:val="hybridMultilevel"/>
    <w:lvl w:ilvl="0">
      <w:lvlJc w:val="left"/>
      <w:lvlText w:val="%1."/>
      <w:numFmt w:val="decimal"/>
      <w:start w:val="36"/>
    </w:lvl>
    <w:lvl w:ilvl="1">
      <w:lvlJc w:val="left"/>
      <w:lvlText w:val="(%2)"/>
      <w:numFmt w:val="lowerLetter"/>
      <w:start w:val="1"/>
    </w:lvl>
  </w:abstractNum>
  <w:abstractNum w:abstractNumId="269">
    <w:nsid w:val="5BDA35D4"/>
    <w:multiLevelType w:val="hybridMultilevel"/>
    <w:lvl w:ilvl="0">
      <w:lvlJc w:val="left"/>
      <w:lvlText w:val="(%1)"/>
      <w:numFmt w:val="lowerLetter"/>
      <w:start w:val="1"/>
    </w:lvl>
  </w:abstractNum>
  <w:abstractNum w:abstractNumId="270">
    <w:nsid w:val="496FB218"/>
    <w:multiLevelType w:val="hybridMultilevel"/>
    <w:lvl w:ilvl="0">
      <w:lvlJc w:val="left"/>
      <w:lvlText w:val="(%1)"/>
      <w:numFmt w:val="lowerLetter"/>
      <w:start w:val="1"/>
    </w:lvl>
  </w:abstractNum>
  <w:abstractNum w:abstractNumId="271">
    <w:nsid w:val="680EA5D1"/>
    <w:multiLevelType w:val="hybridMultilevel"/>
    <w:lvl w:ilvl="0">
      <w:lvlJc w:val="left"/>
      <w:lvlText w:val="(%1)"/>
      <w:numFmt w:val="lowerLetter"/>
      <w:start w:val="5"/>
    </w:lvl>
  </w:abstractNum>
  <w:abstractNum w:abstractNumId="272">
    <w:nsid w:val="4A9554FE"/>
    <w:multiLevelType w:val="hybridMultilevel"/>
    <w:lvl w:ilvl="0">
      <w:lvlJc w:val="left"/>
      <w:lvlText w:val="(%1)"/>
      <w:numFmt w:val="lowerLetter"/>
      <w:start w:val="1"/>
    </w:lvl>
  </w:abstractNum>
  <w:abstractNum w:abstractNumId="273">
    <w:nsid w:val="392EDBE4"/>
    <w:multiLevelType w:val="hybridMultilevel"/>
    <w:lvl w:ilvl="0">
      <w:lvlJc w:val="left"/>
      <w:lvlText w:val="(%1)"/>
      <w:numFmt w:val="lowerLetter"/>
      <w:start w:val="1"/>
    </w:lvl>
  </w:abstractNum>
  <w:abstractNum w:abstractNumId="274">
    <w:nsid w:val="3D1A2DD9"/>
    <w:multiLevelType w:val="hybridMultilevel"/>
    <w:lvl w:ilvl="0">
      <w:lvlJc w:val="left"/>
      <w:lvlText w:val="(%1)"/>
      <w:numFmt w:val="lowerLetter"/>
      <w:start w:val="1"/>
    </w:lvl>
  </w:abstractNum>
  <w:abstractNum w:abstractNumId="275">
    <w:nsid w:val="7F618FCD"/>
    <w:multiLevelType w:val="hybridMultilevel"/>
    <w:lvl w:ilvl="0">
      <w:lvlJc w:val="left"/>
      <w:lvlText w:val="(%1)"/>
      <w:numFmt w:val="lowerLetter"/>
      <w:start w:val="1"/>
    </w:lvl>
  </w:abstractNum>
  <w:abstractNum w:abstractNumId="276">
    <w:nsid w:val="7843E45"/>
    <w:multiLevelType w:val="hybridMultilevel"/>
    <w:lvl w:ilvl="0">
      <w:lvlJc w:val="left"/>
      <w:lvlText w:val="(%1)"/>
      <w:numFmt w:val="decimal"/>
      <w:start w:val="1"/>
    </w:lvl>
  </w:abstractNum>
  <w:abstractNum w:abstractNumId="277">
    <w:nsid w:val="9815DA3"/>
    <w:multiLevelType w:val="hybridMultilevel"/>
    <w:lvl w:ilvl="0">
      <w:lvlJc w:val="left"/>
      <w:lvlText w:val="(%1)"/>
      <w:numFmt w:val="lowerLetter"/>
      <w:start w:val="2"/>
    </w:lvl>
  </w:abstractNum>
  <w:abstractNum w:abstractNumId="278">
    <w:nsid w:val="5204A191"/>
    <w:multiLevelType w:val="hybridMultilevel"/>
    <w:lvl w:ilvl="0">
      <w:lvlJc w:val="left"/>
      <w:lvlText w:val="(%1)"/>
      <w:numFmt w:val="lowerLetter"/>
      <w:start w:val="1"/>
    </w:lvl>
  </w:abstractNum>
  <w:abstractNum w:abstractNumId="279">
    <w:nsid w:val="4C73A9C6"/>
    <w:multiLevelType w:val="hybridMultilevel"/>
    <w:lvl w:ilvl="0">
      <w:lvlJc w:val="left"/>
      <w:lvlText w:val="(%1)"/>
      <w:numFmt w:val="lowerLetter"/>
      <w:start w:val="3"/>
    </w:lvl>
  </w:abstractNum>
  <w:abstractNum w:abstractNumId="280">
    <w:nsid w:val="1C7E3C01"/>
    <w:multiLevelType w:val="hybridMultilevel"/>
    <w:lvl w:ilvl="0">
      <w:lvlJc w:val="left"/>
      <w:lvlText w:val="●"/>
      <w:numFmt w:val="bullet"/>
      <w:start w:val="1"/>
    </w:lvl>
  </w:abstractNum>
  <w:abstractNum w:abstractNumId="281">
    <w:nsid w:val="1C2201FF"/>
    <w:multiLevelType w:val="hybridMultilevel"/>
    <w:lvl w:ilvl="0">
      <w:lvlJc w:val="left"/>
      <w:lvlText w:val="●"/>
      <w:numFmt w:val="bullet"/>
      <w:start w:val="1"/>
    </w:lvl>
  </w:abstractNum>
  <w:abstractNum w:abstractNumId="282">
    <w:nsid w:val="50ABCEC9"/>
    <w:multiLevelType w:val="hybridMultilevel"/>
    <w:lvl w:ilvl="0">
      <w:lvlJc w:val="left"/>
      <w:lvlText w:val="●"/>
      <w:numFmt w:val="bullet"/>
      <w:start w:val="1"/>
    </w:lvl>
  </w:abstractNum>
  <w:abstractNum w:abstractNumId="283">
    <w:nsid w:val="7635AA2A"/>
    <w:multiLevelType w:val="hybridMultilevel"/>
    <w:lvl w:ilvl="0">
      <w:lvlJc w:val="left"/>
      <w:lvlText w:val="●"/>
      <w:numFmt w:val="bullet"/>
      <w:start w:val="1"/>
    </w:lvl>
  </w:abstractNum>
  <w:abstractNum w:abstractNumId="284">
    <w:nsid w:val="5E74C4D9"/>
    <w:multiLevelType w:val="hybridMultilevel"/>
    <w:lvl w:ilvl="0">
      <w:lvlJc w:val="left"/>
      <w:lvlText w:val="●"/>
      <w:numFmt w:val="bullet"/>
      <w:start w:val="1"/>
    </w:lvl>
  </w:abstractNum>
  <w:abstractNum w:abstractNumId="285">
    <w:nsid w:val="3B3EBE15"/>
    <w:multiLevelType w:val="hybridMultilevel"/>
    <w:lvl w:ilvl="0">
      <w:lvlJc w:val="left"/>
      <w:lvlText w:val="●"/>
      <w:numFmt w:val="bullet"/>
      <w:start w:val="1"/>
    </w:lvl>
  </w:abstractNum>
  <w:abstractNum w:abstractNumId="286">
    <w:nsid w:val="3822CB01"/>
    <w:multiLevelType w:val="hybridMultilevel"/>
    <w:lvl w:ilvl="0">
      <w:lvlJc w:val="left"/>
      <w:lvlText w:val="●"/>
      <w:numFmt w:val="bullet"/>
      <w:start w:val="1"/>
    </w:lvl>
  </w:abstractNum>
  <w:abstractNum w:abstractNumId="287">
    <w:nsid w:val="6CE00443"/>
    <w:multiLevelType w:val="hybridMultilevel"/>
    <w:lvl w:ilvl="0">
      <w:lvlJc w:val="left"/>
      <w:lvlText w:val="●"/>
      <w:numFmt w:val="bullet"/>
      <w:start w:val="1"/>
    </w:lvl>
  </w:abstractNum>
  <w:abstractNum w:abstractNumId="288">
    <w:nsid w:val="79F0D62F"/>
    <w:multiLevelType w:val="hybridMultilevel"/>
    <w:lvl w:ilvl="0">
      <w:lvlJc w:val="left"/>
      <w:lvlText w:val="●"/>
      <w:numFmt w:val="bullet"/>
      <w:start w:val="1"/>
    </w:lvl>
  </w:abstractNum>
  <w:abstractNum w:abstractNumId="289">
    <w:nsid w:val="7975E8EE"/>
    <w:multiLevelType w:val="hybridMultilevel"/>
    <w:lvl w:ilvl="0">
      <w:lvlJc w:val="left"/>
      <w:lvlText w:val="●"/>
      <w:numFmt w:val="bullet"/>
      <w:start w:val="1"/>
    </w:lvl>
  </w:abstractNum>
  <w:abstractNum w:abstractNumId="290">
    <w:nsid w:val="73154115"/>
    <w:multiLevelType w:val="hybridMultilevel"/>
    <w:lvl w:ilvl="0">
      <w:lvlJc w:val="left"/>
      <w:lvlText w:val="●"/>
      <w:numFmt w:val="bullet"/>
      <w:start w:val="1"/>
    </w:lvl>
  </w:abstractNum>
  <w:abstractNum w:abstractNumId="291">
    <w:nsid w:val="622D8102"/>
    <w:multiLevelType w:val="hybridMultilevel"/>
    <w:lvl w:ilvl="0">
      <w:lvlJc w:val="left"/>
      <w:lvlText w:val="●"/>
      <w:numFmt w:val="bullet"/>
      <w:start w:val="1"/>
    </w:lvl>
  </w:abstractNum>
  <w:abstractNum w:abstractNumId="292">
    <w:nsid w:val="2AB26587"/>
    <w:multiLevelType w:val="hybridMultilevel"/>
    <w:lvl w:ilvl="0">
      <w:lvlJc w:val="left"/>
      <w:lvlText w:val="●"/>
      <w:numFmt w:val="bullet"/>
      <w:start w:val="1"/>
    </w:lvl>
  </w:abstractNum>
  <w:abstractNum w:abstractNumId="293">
    <w:nsid w:val="44B3FA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53" Type="http://schemas.openxmlformats.org/officeDocument/2006/relationships/image" Target="media/image337.png"/><Relationship Id="rId365" Type="http://schemas.openxmlformats.org/officeDocument/2006/relationships/image" Target="media/image338.png"/><Relationship Id="rId379" Type="http://schemas.openxmlformats.org/officeDocument/2006/relationships/image" Target="media/image339.png"/><Relationship Id="rId382" Type="http://schemas.openxmlformats.org/officeDocument/2006/relationships/image" Target="media/image340.png"/><Relationship Id="rId383" Type="http://schemas.openxmlformats.org/officeDocument/2006/relationships/image" Target="media/image341.png"/><Relationship Id="rId384" Type="http://schemas.openxmlformats.org/officeDocument/2006/relationships/image" Target="media/image342.png"/><Relationship Id="rId385" Type="http://schemas.openxmlformats.org/officeDocument/2006/relationships/image" Target="media/image343.png"/><Relationship Id="rId386" Type="http://schemas.openxmlformats.org/officeDocument/2006/relationships/image" Target="media/image344.jpeg"/><Relationship Id="rId387" Type="http://schemas.openxmlformats.org/officeDocument/2006/relationships/image" Target="media/image345.png"/><Relationship Id="rId388" Type="http://schemas.openxmlformats.org/officeDocument/2006/relationships/image" Target="media/image346.jpeg"/><Relationship Id="rId389" Type="http://schemas.openxmlformats.org/officeDocument/2006/relationships/image" Target="media/image347.png"/><Relationship Id="rId390" Type="http://schemas.openxmlformats.org/officeDocument/2006/relationships/image" Target="media/image348.jpeg"/><Relationship Id="rId391" Type="http://schemas.openxmlformats.org/officeDocument/2006/relationships/image" Target="media/image349.png"/><Relationship Id="rId392" Type="http://schemas.openxmlformats.org/officeDocument/2006/relationships/image" Target="media/image350.jpeg"/><Relationship Id="rId393" Type="http://schemas.openxmlformats.org/officeDocument/2006/relationships/image" Target="media/image351.png"/><Relationship Id="rId394" Type="http://schemas.openxmlformats.org/officeDocument/2006/relationships/image" Target="media/image352.jpeg"/><Relationship Id="rId395" Type="http://schemas.openxmlformats.org/officeDocument/2006/relationships/image" Target="media/image353.png"/><Relationship Id="rId396" Type="http://schemas.openxmlformats.org/officeDocument/2006/relationships/image" Target="media/image354.jpeg"/><Relationship Id="rId397" Type="http://schemas.openxmlformats.org/officeDocument/2006/relationships/image" Target="media/image355.png"/><Relationship Id="rId398" Type="http://schemas.openxmlformats.org/officeDocument/2006/relationships/image" Target="media/image356.jpeg"/><Relationship Id="rId399" Type="http://schemas.openxmlformats.org/officeDocument/2006/relationships/image" Target="media/image357.png"/><Relationship Id="rId400" Type="http://schemas.openxmlformats.org/officeDocument/2006/relationships/image" Target="media/image358.png"/><Relationship Id="rId401" Type="http://schemas.openxmlformats.org/officeDocument/2006/relationships/image" Target="media/image359.jpeg"/><Relationship Id="rId402" Type="http://schemas.openxmlformats.org/officeDocument/2006/relationships/image" Target="media/image360.png"/><Relationship Id="rId403" Type="http://schemas.openxmlformats.org/officeDocument/2006/relationships/image" Target="media/image361.png"/><Relationship Id="rId404" Type="http://schemas.openxmlformats.org/officeDocument/2006/relationships/image" Target="media/image362.png"/><Relationship Id="rId405" Type="http://schemas.openxmlformats.org/officeDocument/2006/relationships/image" Target="media/image363.png"/><Relationship Id="rId406" Type="http://schemas.openxmlformats.org/officeDocument/2006/relationships/image" Target="media/image364.png"/><Relationship Id="rId407" Type="http://schemas.openxmlformats.org/officeDocument/2006/relationships/image" Target="media/image365.png"/><Relationship Id="rId408" Type="http://schemas.openxmlformats.org/officeDocument/2006/relationships/image" Target="media/image366.png"/><Relationship Id="rId409" Type="http://schemas.openxmlformats.org/officeDocument/2006/relationships/image" Target="media/image367.png"/><Relationship Id="rId410" Type="http://schemas.openxmlformats.org/officeDocument/2006/relationships/image" Target="media/image368.png"/><Relationship Id="rId411" Type="http://schemas.openxmlformats.org/officeDocument/2006/relationships/image" Target="media/image369.png"/><Relationship Id="rId412" Type="http://schemas.openxmlformats.org/officeDocument/2006/relationships/image" Target="media/image370.png"/><Relationship Id="rId413" Type="http://schemas.openxmlformats.org/officeDocument/2006/relationships/image" Target="media/image371.png"/><Relationship Id="rId414" Type="http://schemas.openxmlformats.org/officeDocument/2006/relationships/image" Target="media/image372.png"/><Relationship Id="rId415" Type="http://schemas.openxmlformats.org/officeDocument/2006/relationships/image" Target="media/image373.png"/><Relationship Id="rId416" Type="http://schemas.openxmlformats.org/officeDocument/2006/relationships/image" Target="media/image374.png"/><Relationship Id="rId417" Type="http://schemas.openxmlformats.org/officeDocument/2006/relationships/image" Target="media/image375.png"/><Relationship Id="rId418" Type="http://schemas.openxmlformats.org/officeDocument/2006/relationships/image" Target="media/image376.png"/><Relationship Id="rId419" Type="http://schemas.openxmlformats.org/officeDocument/2006/relationships/image" Target="media/image377.png"/><Relationship Id="rId420" Type="http://schemas.openxmlformats.org/officeDocument/2006/relationships/image" Target="media/image378.png"/><Relationship Id="rId421" Type="http://schemas.openxmlformats.org/officeDocument/2006/relationships/image" Target="media/image379.png"/><Relationship Id="rId422" Type="http://schemas.openxmlformats.org/officeDocument/2006/relationships/image" Target="media/image380.png"/><Relationship Id="rId423" Type="http://schemas.openxmlformats.org/officeDocument/2006/relationships/image" Target="media/image381.png"/><Relationship Id="rId424" Type="http://schemas.openxmlformats.org/officeDocument/2006/relationships/image" Target="media/image382.png"/><Relationship Id="rId425" Type="http://schemas.openxmlformats.org/officeDocument/2006/relationships/image" Target="media/image383.png"/><Relationship Id="rId426" Type="http://schemas.openxmlformats.org/officeDocument/2006/relationships/image" Target="media/image384.png"/><Relationship Id="rId427" Type="http://schemas.openxmlformats.org/officeDocument/2006/relationships/image" Target="media/image385.png"/><Relationship Id="rId428" Type="http://schemas.openxmlformats.org/officeDocument/2006/relationships/image" Target="media/image386.png"/><Relationship Id="rId429" Type="http://schemas.openxmlformats.org/officeDocument/2006/relationships/image" Target="media/image387.png"/><Relationship Id="rId430" Type="http://schemas.openxmlformats.org/officeDocument/2006/relationships/image" Target="media/image388.png"/><Relationship Id="rId431" Type="http://schemas.openxmlformats.org/officeDocument/2006/relationships/image" Target="media/image389.png"/><Relationship Id="rId432" Type="http://schemas.openxmlformats.org/officeDocument/2006/relationships/image" Target="media/image390.png"/><Relationship Id="rId433" Type="http://schemas.openxmlformats.org/officeDocument/2006/relationships/image" Target="media/image391.png"/><Relationship Id="rId434" Type="http://schemas.openxmlformats.org/officeDocument/2006/relationships/image" Target="media/image392.png"/><Relationship Id="rId435" Type="http://schemas.openxmlformats.org/officeDocument/2006/relationships/image" Target="media/image393.png"/><Relationship Id="rId436" Type="http://schemas.openxmlformats.org/officeDocument/2006/relationships/image" Target="media/image394.png"/><Relationship Id="rId437" Type="http://schemas.openxmlformats.org/officeDocument/2006/relationships/image" Target="media/image395.png"/><Relationship Id="rId438" Type="http://schemas.openxmlformats.org/officeDocument/2006/relationships/image" Target="media/image396.png"/><Relationship Id="rId439" Type="http://schemas.openxmlformats.org/officeDocument/2006/relationships/image" Target="media/image397.png"/><Relationship Id="rId440" Type="http://schemas.openxmlformats.org/officeDocument/2006/relationships/image" Target="media/image398.png"/><Relationship Id="rId441" Type="http://schemas.openxmlformats.org/officeDocument/2006/relationships/image" Target="media/image399.png"/><Relationship Id="rId442" Type="http://schemas.openxmlformats.org/officeDocument/2006/relationships/image" Target="media/image400.png"/><Relationship Id="rId443" Type="http://schemas.openxmlformats.org/officeDocument/2006/relationships/image" Target="media/image401.png"/><Relationship Id="rId444" Type="http://schemas.openxmlformats.org/officeDocument/2006/relationships/image" Target="media/image402.png"/><Relationship Id="rId445" Type="http://schemas.openxmlformats.org/officeDocument/2006/relationships/image" Target="media/image403.png"/><Relationship Id="rId446" Type="http://schemas.openxmlformats.org/officeDocument/2006/relationships/image" Target="media/image404.png"/><Relationship Id="rId447" Type="http://schemas.openxmlformats.org/officeDocument/2006/relationships/image" Target="media/image405.png"/><Relationship Id="rId448" Type="http://schemas.openxmlformats.org/officeDocument/2006/relationships/image" Target="media/image406.png"/><Relationship Id="rId449" Type="http://schemas.openxmlformats.org/officeDocument/2006/relationships/image" Target="media/image407.png"/><Relationship Id="rId450" Type="http://schemas.openxmlformats.org/officeDocument/2006/relationships/image" Target="media/image408.png"/><Relationship Id="rId451" Type="http://schemas.openxmlformats.org/officeDocument/2006/relationships/image" Target="media/image409.png"/><Relationship Id="rId452" Type="http://schemas.openxmlformats.org/officeDocument/2006/relationships/image" Target="media/image410.png"/><Relationship Id="rId453" Type="http://schemas.openxmlformats.org/officeDocument/2006/relationships/image" Target="media/image411.png"/><Relationship Id="rId454" Type="http://schemas.openxmlformats.org/officeDocument/2006/relationships/image" Target="media/image412.png"/><Relationship Id="rId455" Type="http://schemas.openxmlformats.org/officeDocument/2006/relationships/image" Target="media/image413.png"/><Relationship Id="rId456" Type="http://schemas.openxmlformats.org/officeDocument/2006/relationships/image" Target="media/image414.png"/><Relationship Id="rId457" Type="http://schemas.openxmlformats.org/officeDocument/2006/relationships/image" Target="media/image415.png"/><Relationship Id="rId458" Type="http://schemas.openxmlformats.org/officeDocument/2006/relationships/image" Target="media/image416.png"/><Relationship Id="rId459" Type="http://schemas.openxmlformats.org/officeDocument/2006/relationships/image" Target="media/image417.png"/><Relationship Id="rId460" Type="http://schemas.openxmlformats.org/officeDocument/2006/relationships/image" Target="media/image418.png"/><Relationship Id="rId461" Type="http://schemas.openxmlformats.org/officeDocument/2006/relationships/image" Target="media/image419.png"/><Relationship Id="rId462" Type="http://schemas.openxmlformats.org/officeDocument/2006/relationships/image" Target="media/image420.png"/><Relationship Id="rId463" Type="http://schemas.openxmlformats.org/officeDocument/2006/relationships/image" Target="media/image421.png"/><Relationship Id="rId464" Type="http://schemas.openxmlformats.org/officeDocument/2006/relationships/image" Target="media/image422.png"/><Relationship Id="rId465" Type="http://schemas.openxmlformats.org/officeDocument/2006/relationships/image" Target="media/image423.png"/><Relationship Id="rId466" Type="http://schemas.openxmlformats.org/officeDocument/2006/relationships/image" Target="media/image424.png"/><Relationship Id="rId467" Type="http://schemas.openxmlformats.org/officeDocument/2006/relationships/image" Target="media/image425.png"/><Relationship Id="rId468" Type="http://schemas.openxmlformats.org/officeDocument/2006/relationships/image" Target="media/image426.png"/><Relationship Id="rId469" Type="http://schemas.openxmlformats.org/officeDocument/2006/relationships/image" Target="media/image427.png"/><Relationship Id="rId470" Type="http://schemas.openxmlformats.org/officeDocument/2006/relationships/image" Target="media/image428.png"/><Relationship Id="rId471" Type="http://schemas.openxmlformats.org/officeDocument/2006/relationships/image" Target="media/image429.png"/><Relationship Id="rId472" Type="http://schemas.openxmlformats.org/officeDocument/2006/relationships/image" Target="media/image430.png"/><Relationship Id="rId473" Type="http://schemas.openxmlformats.org/officeDocument/2006/relationships/image" Target="media/image431.png"/><Relationship Id="rId474" Type="http://schemas.openxmlformats.org/officeDocument/2006/relationships/image" Target="media/image432.png"/><Relationship Id="rId475" Type="http://schemas.openxmlformats.org/officeDocument/2006/relationships/image" Target="media/image433.png"/><Relationship Id="rId476" Type="http://schemas.openxmlformats.org/officeDocument/2006/relationships/image" Target="media/image434.png"/><Relationship Id="rId477" Type="http://schemas.openxmlformats.org/officeDocument/2006/relationships/image" Target="media/image435.png"/><Relationship Id="rId478" Type="http://schemas.openxmlformats.org/officeDocument/2006/relationships/image" Target="media/image436.png"/><Relationship Id="rId479" Type="http://schemas.openxmlformats.org/officeDocument/2006/relationships/image" Target="media/image437.png"/><Relationship Id="rId480" Type="http://schemas.openxmlformats.org/officeDocument/2006/relationships/image" Target="media/image438.png"/><Relationship Id="rId481" Type="http://schemas.openxmlformats.org/officeDocument/2006/relationships/image" Target="media/image439.png"/><Relationship Id="rId482" Type="http://schemas.openxmlformats.org/officeDocument/2006/relationships/image" Target="media/image440.png"/><Relationship Id="rId483" Type="http://schemas.openxmlformats.org/officeDocument/2006/relationships/image" Target="media/image441.png"/><Relationship Id="rId484" Type="http://schemas.openxmlformats.org/officeDocument/2006/relationships/image" Target="media/image442.png"/><Relationship Id="rId485" Type="http://schemas.openxmlformats.org/officeDocument/2006/relationships/image" Target="media/image443.png"/><Relationship Id="rId486" Type="http://schemas.openxmlformats.org/officeDocument/2006/relationships/image" Target="media/image444.png"/><Relationship Id="rId487" Type="http://schemas.openxmlformats.org/officeDocument/2006/relationships/image" Target="media/image445.png"/><Relationship Id="rId488" Type="http://schemas.openxmlformats.org/officeDocument/2006/relationships/image" Target="media/image446.png"/><Relationship Id="rId489" Type="http://schemas.openxmlformats.org/officeDocument/2006/relationships/image" Target="media/image447.png"/><Relationship Id="rId490" Type="http://schemas.openxmlformats.org/officeDocument/2006/relationships/image" Target="media/image448.png"/><Relationship Id="rId491" Type="http://schemas.openxmlformats.org/officeDocument/2006/relationships/image" Target="media/image449.png"/><Relationship Id="rId492" Type="http://schemas.openxmlformats.org/officeDocument/2006/relationships/image" Target="media/image450.png"/><Relationship Id="rId493" Type="http://schemas.openxmlformats.org/officeDocument/2006/relationships/image" Target="media/image451.png"/><Relationship Id="rId494" Type="http://schemas.openxmlformats.org/officeDocument/2006/relationships/image" Target="media/image452.png"/><Relationship Id="rId495" Type="http://schemas.openxmlformats.org/officeDocument/2006/relationships/image" Target="media/image453.png"/><Relationship Id="rId496" Type="http://schemas.openxmlformats.org/officeDocument/2006/relationships/image" Target="media/image454.png"/><Relationship Id="rId497" Type="http://schemas.openxmlformats.org/officeDocument/2006/relationships/image" Target="media/image455.png"/><Relationship Id="rId498" Type="http://schemas.openxmlformats.org/officeDocument/2006/relationships/image" Target="media/image456.png"/><Relationship Id="rId499" Type="http://schemas.openxmlformats.org/officeDocument/2006/relationships/image" Target="media/image457.png"/><Relationship Id="rId500" Type="http://schemas.openxmlformats.org/officeDocument/2006/relationships/image" Target="media/image458.png"/><Relationship Id="rId501" Type="http://schemas.openxmlformats.org/officeDocument/2006/relationships/image" Target="media/image459.png"/><Relationship Id="rId502" Type="http://schemas.openxmlformats.org/officeDocument/2006/relationships/image" Target="media/image460.png"/><Relationship Id="rId503" Type="http://schemas.openxmlformats.org/officeDocument/2006/relationships/image" Target="media/image461.png"/><Relationship Id="rId504" Type="http://schemas.openxmlformats.org/officeDocument/2006/relationships/image" Target="media/image462.png"/><Relationship Id="rId505" Type="http://schemas.openxmlformats.org/officeDocument/2006/relationships/image" Target="media/image463.png"/><Relationship Id="rId506" Type="http://schemas.openxmlformats.org/officeDocument/2006/relationships/image" Target="media/image464.png"/><Relationship Id="rId507" Type="http://schemas.openxmlformats.org/officeDocument/2006/relationships/image" Target="media/image465.png"/><Relationship Id="rId508" Type="http://schemas.openxmlformats.org/officeDocument/2006/relationships/image" Target="media/image466.png"/><Relationship Id="rId509" Type="http://schemas.openxmlformats.org/officeDocument/2006/relationships/image" Target="media/image467.png"/><Relationship Id="rId510" Type="http://schemas.openxmlformats.org/officeDocument/2006/relationships/image" Target="media/image468.png"/><Relationship Id="rId511" Type="http://schemas.openxmlformats.org/officeDocument/2006/relationships/image" Target="media/image469.png"/><Relationship Id="rId512" Type="http://schemas.openxmlformats.org/officeDocument/2006/relationships/image" Target="media/image470.png"/><Relationship Id="rId513" Type="http://schemas.openxmlformats.org/officeDocument/2006/relationships/image" Target="media/image471.png"/><Relationship Id="rId514" Type="http://schemas.openxmlformats.org/officeDocument/2006/relationships/image" Target="media/image472.png"/><Relationship Id="rId515" Type="http://schemas.openxmlformats.org/officeDocument/2006/relationships/image" Target="media/image473.png"/><Relationship Id="rId516" Type="http://schemas.openxmlformats.org/officeDocument/2006/relationships/image" Target="media/image474.png"/><Relationship Id="rId344" Type="http://schemas.openxmlformats.org/officeDocument/2006/relationships/hyperlink" Target="http://www.sec.gov/Archives/edgar/data/1798562/000121390021013347/ea137001ex2-1_sustainable.htm" TargetMode="External"/><Relationship Id="rId345" Type="http://schemas.openxmlformats.org/officeDocument/2006/relationships/hyperlink" Target="http://www.sec.gov/Archives/edgar/data/1798562/000121390021048263/ea147369ex3-1_tmcthemet.htm" TargetMode="External"/><Relationship Id="rId346" Type="http://schemas.openxmlformats.org/officeDocument/2006/relationships/hyperlink" Target="http://www.sec.gov/Archives/edgar/data/1798562/000121390021048263/ea147369ex3-2_tmcthemet.htm" TargetMode="External"/><Relationship Id="rId347" Type="http://schemas.openxmlformats.org/officeDocument/2006/relationships/hyperlink" Target="http://www.sec.gov/Archives/edgar/data/1798562/000121390021048263/ea147369ex4-1_tmcthemet.htm" TargetMode="External"/><Relationship Id="rId348" Type="http://schemas.openxmlformats.org/officeDocument/2006/relationships/hyperlink" Target="http://www.sec.gov/Archives/edgar/data/1798562/000121390020011491/ea121545ex4-1_sustainable.htm" TargetMode="External"/><Relationship Id="rId349" Type="http://schemas.openxmlformats.org/officeDocument/2006/relationships/hyperlink" Target="http://www.sec.gov/Archives/edgar/data/1798562/000121390021040480/fs42021a5_sustainableopp.htm#T104" TargetMode="External"/><Relationship Id="rId350" Type="http://schemas.openxmlformats.org/officeDocument/2006/relationships/hyperlink" Target="http://www.sec.gov/Archives/edgar/data/1798562/000121390021040480/fs42021a5_sustainableopp.htm#T105" TargetMode="External"/><Relationship Id="rId351" Type="http://schemas.openxmlformats.org/officeDocument/2006/relationships/hyperlink" Target="http://www.sec.gov/Archives/edgar/data/1798562/000121390021040480/fs42021a5_sustainableopp.htm#T106" TargetMode="External"/><Relationship Id="rId352" Type="http://schemas.openxmlformats.org/officeDocument/2006/relationships/hyperlink" Target="http://www.sec.gov/Archives/edgar/data/1798562/000121390021040480/fs42021a5_sustainableopp.htm#T107" TargetMode="External"/><Relationship Id="rId354" Type="http://schemas.openxmlformats.org/officeDocument/2006/relationships/hyperlink" Target="http://www.sec.gov/Archives/edgar/data/1798562/000121390021040480/fs42021a5_sustainableopp.htm#T108" TargetMode="External"/><Relationship Id="rId355" Type="http://schemas.openxmlformats.org/officeDocument/2006/relationships/hyperlink" Target="http://www.sec.gov/Archives/edgar/data/1798562/000121390021020731/fs42021ex10-7_sustainable.htm" TargetMode="External"/><Relationship Id="rId356" Type="http://schemas.openxmlformats.org/officeDocument/2006/relationships/hyperlink" Target="http://www.sec.gov/Archives/edgar/data/1798562/000121390021020731/fs42021ex10-8_sustainable.htm" TargetMode="External"/><Relationship Id="rId357" Type="http://schemas.openxmlformats.org/officeDocument/2006/relationships/hyperlink" Target="http://www.sec.gov/Archives/edgar/data/1798562/000121390021020731/fs42021ex10-9_sustainable.htm" TargetMode="External"/><Relationship Id="rId358" Type="http://schemas.openxmlformats.org/officeDocument/2006/relationships/hyperlink" Target="http://www.sec.gov/Archives/edgar/data/1798562/000121390021020731/fs42021ex10-10_sustainable.htm" TargetMode="External"/><Relationship Id="rId359" Type="http://schemas.openxmlformats.org/officeDocument/2006/relationships/hyperlink" Target="http://www.sec.gov/Archives/edgar/data/1798562/000121390021020731/fs42021ex10-11_sustainable.htm" TargetMode="External"/><Relationship Id="rId360" Type="http://schemas.openxmlformats.org/officeDocument/2006/relationships/hyperlink" Target="http://www.sec.gov/Archives/edgar/data/1798562/000121390021020731/fs42021ex10-12_sustainable.htm" TargetMode="External"/><Relationship Id="rId361" Type="http://schemas.openxmlformats.org/officeDocument/2006/relationships/hyperlink" Target="http://www.sec.gov/Archives/edgar/data/1798562/000121390021020731/fs42021ex10-13_sustainable.htm" TargetMode="External"/><Relationship Id="rId362" Type="http://schemas.openxmlformats.org/officeDocument/2006/relationships/hyperlink" Target="http://www.sec.gov/Archives/edgar/data/1798562/000121390021020731/fs42021ex10-14_sustainable.htm" TargetMode="External"/><Relationship Id="rId363" Type="http://schemas.openxmlformats.org/officeDocument/2006/relationships/hyperlink" Target="http://www.sec.gov/Archives/edgar/data/1798562/000121390021020731/fs42021ex10-15_sustainable.htm" TargetMode="External"/><Relationship Id="rId364" Type="http://schemas.openxmlformats.org/officeDocument/2006/relationships/hyperlink" Target="http://www.sec.gov/Archives/edgar/data/1798562/000121390021020731/fs42021ex10-16_sustainable.htm" TargetMode="External"/><Relationship Id="rId366" Type="http://schemas.openxmlformats.org/officeDocument/2006/relationships/hyperlink" Target="http://www.sec.gov/Archives/edgar/data/1798562/000121390021036767/fs42021ex10-23_sustainable.htm" TargetMode="External"/><Relationship Id="rId367" Type="http://schemas.openxmlformats.org/officeDocument/2006/relationships/hyperlink" Target="http://www.sec.gov/Archives/edgar/data/1798562/000121390021039153/fs42021a4ex10-24_sustainable.htm" TargetMode="External"/><Relationship Id="rId368" Type="http://schemas.openxmlformats.org/officeDocument/2006/relationships/hyperlink" Target="http://www.sec.gov/Archives/edgar/data/1798562/000121390021048263/ea147369ex10-18_tmcthemet.htm" TargetMode="External"/><Relationship Id="rId369" Type="http://schemas.openxmlformats.org/officeDocument/2006/relationships/hyperlink" Target="http://www.sec.gov/Archives/edgar/data/1798562/000121390021048263/ea147369ex10-19_tmcthemet.htm" TargetMode="External"/><Relationship Id="rId370" Type="http://schemas.openxmlformats.org/officeDocument/2006/relationships/hyperlink" Target="http://www.sec.gov/Archives/edgar/data/1798562/000121390021029413/fs42021a1ex10-17_sustainable.htm" TargetMode="External"/><Relationship Id="rId371" Type="http://schemas.openxmlformats.org/officeDocument/2006/relationships/hyperlink" Target="http://www.sec.gov/Archives/edgar/data/1798562/000121390021029413/fs42021a1ex10-18_sustainable.htm" TargetMode="External"/><Relationship Id="rId372" Type="http://schemas.openxmlformats.org/officeDocument/2006/relationships/hyperlink" Target="http://www.sec.gov/Archives/edgar/data/1798562/000121390021029413/fs42021a1ex10-19_sustainable.htm" TargetMode="External"/><Relationship Id="rId373" Type="http://schemas.openxmlformats.org/officeDocument/2006/relationships/hyperlink" Target="http://www.sec.gov/Archives/edgar/data/1798562/000121390021048263/ea147369ex10-23i_tmcthemet.htm" TargetMode="External"/><Relationship Id="rId374" Type="http://schemas.openxmlformats.org/officeDocument/2006/relationships/hyperlink" Target="http://www.sec.gov/Archives/edgar/data/1798562/000121390021048263/ea147369ex10-23ii_tmcthemet.htm" TargetMode="External"/><Relationship Id="rId375" Type="http://schemas.openxmlformats.org/officeDocument/2006/relationships/hyperlink" Target="http://www.sec.gov/Archives/edgar/data/1798562/000121390021048263/ea147369ex10-23iii_tmcthemet.htm" TargetMode="External"/><Relationship Id="rId376" Type="http://schemas.openxmlformats.org/officeDocument/2006/relationships/hyperlink" Target="http://www.sec.gov/Archives/edgar/data/1798562/000121390021029413/fs42021a1ex10-20_sustainable.htm" TargetMode="External"/><Relationship Id="rId377" Type="http://schemas.openxmlformats.org/officeDocument/2006/relationships/hyperlink" Target="http://www.sec.gov/Archives/edgar/data/1798562/000121390021029413/fs42021a1ex10-21_sustainable.htm" TargetMode="External"/><Relationship Id="rId378" Type="http://schemas.openxmlformats.org/officeDocument/2006/relationships/hyperlink" Target="http://www.sec.gov/Archives/edgar/data/1798562/000121390021048263/ea147369ex16-1_tmcthemet.htm" TargetMode="External"/><Relationship Id="rId380" Type="http://schemas.openxmlformats.org/officeDocument/2006/relationships/hyperlink" Target="http://www.sec.gov/Archives/edgar/data/1798562/000121390021033645/fs42021a2ex96-1_sustainable.htm" TargetMode="External"/><Relationship Id="rId381" Type="http://schemas.openxmlformats.org/officeDocument/2006/relationships/hyperlink" Target="http://www.sec.gov/Archives/edgar/data/1798562/000121390021033645/fs42021a2ex96-2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2021-10-07T16:42:06Z</dcterms:created>
  <dcterms:modified xsi:type="dcterms:W3CDTF">2021-10-07T16:42:06Z</dcterms:modified>
</cp:coreProperties>
</file>