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13D/A</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(Amendment No. 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Metals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Andrei Karkar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323 Marina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94123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Page 2</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700" w:type="dxa"/>
            <w:vAlign w:val="bottom"/>
          </w:tcPr>
          <w:p>
            <w:pPr>
              <w:ind w:left="42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6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w:t>
            </w:r>
          </w:p>
        </w:tc>
        <w:tc>
          <w:tcPr>
            <w:tcW w:w="78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87261Y106</w:t>
            </w:r>
          </w:p>
        </w:tc>
        <w:tc>
          <w:tcPr>
            <w:tcW w:w="6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1</w:t>
            </w:r>
          </w:p>
        </w:tc>
        <w:tc>
          <w:tcPr>
            <w:tcW w:w="480" w:type="dxa"/>
            <w:vAlign w:val="bottom"/>
            <w:tcBorders>
              <w:right w:val="single" w:sz="8" w:color="auto"/>
            </w:tcBorders>
          </w:tcPr>
          <w:p>
            <w:pPr>
              <w:spacing w:after="0"/>
              <w:rPr>
                <w:sz w:val="23"/>
                <w:szCs w:val="23"/>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358"/>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Andrei Karkar</w:t>
            </w: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2</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220" w:type="dxa"/>
            <w:vAlign w:val="bottom"/>
          </w:tcPr>
          <w:p>
            <w:pPr>
              <w:ind w:left="4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220" w:type="dxa"/>
            <w:vAlign w:val="bottom"/>
          </w:tcPr>
          <w:p>
            <w:pPr>
              <w:ind w:left="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6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3</w:t>
            </w:r>
          </w:p>
        </w:tc>
        <w:tc>
          <w:tcPr>
            <w:tcW w:w="480" w:type="dxa"/>
            <w:vAlign w:val="bottom"/>
            <w:tcBorders>
              <w:right w:val="single" w:sz="8" w:color="auto"/>
            </w:tcBorders>
          </w:tcPr>
          <w:p>
            <w:pPr>
              <w:spacing w:after="0"/>
              <w:rPr>
                <w:sz w:val="24"/>
                <w:szCs w:val="24"/>
                <w:color w:val="auto"/>
              </w:rPr>
            </w:pP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17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4</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90"/>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PF</w:t>
            </w: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5</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91"/>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ind w:left="6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6</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0"/>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USA</w:t>
            </w: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84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170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22"/>
                <w:szCs w:val="22"/>
                <w:color w:val="auto"/>
              </w:rPr>
            </w:pPr>
          </w:p>
        </w:tc>
        <w:tc>
          <w:tcPr>
            <w:tcW w:w="1700" w:type="dxa"/>
            <w:vAlign w:val="bottom"/>
          </w:tcPr>
          <w:p>
            <w:pPr>
              <w:ind w:left="100"/>
              <w:spacing w:after="0"/>
              <w:rPr>
                <w:sz w:val="20"/>
                <w:szCs w:val="20"/>
                <w:color w:val="auto"/>
              </w:rPr>
            </w:pPr>
            <w:r>
              <w:rPr>
                <w:rFonts w:ascii="Arial" w:cs="Arial" w:eastAsia="Arial" w:hAnsi="Arial"/>
                <w:sz w:val="18"/>
                <w:szCs w:val="18"/>
                <w:color w:val="auto"/>
              </w:rPr>
              <w:t>47,771,337 *</w:t>
            </w: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360" w:type="dxa"/>
            <w:vAlign w:val="bottom"/>
          </w:tcPr>
          <w:p>
            <w:pPr>
              <w:spacing w:after="0"/>
              <w:rPr>
                <w:sz w:val="3"/>
                <w:szCs w:val="3"/>
                <w:color w:val="auto"/>
              </w:rPr>
            </w:pPr>
          </w:p>
        </w:tc>
        <w:tc>
          <w:tcPr>
            <w:tcW w:w="1700" w:type="dxa"/>
            <w:vAlign w:val="bottom"/>
            <w:tcBorders>
              <w:right w:val="single" w:sz="8" w:color="auto"/>
            </w:tcBorders>
            <w:gridSpan w:val="2"/>
            <w:vMerge w:val="restart"/>
          </w:tcPr>
          <w:p>
            <w:pPr>
              <w:jc w:val="center"/>
              <w:ind w:right="270"/>
              <w:spacing w:after="0"/>
              <w:rPr>
                <w:sz w:val="20"/>
                <w:szCs w:val="20"/>
                <w:color w:val="auto"/>
              </w:rPr>
            </w:pPr>
            <w:r>
              <w:rPr>
                <w:rFonts w:ascii="Arial" w:cs="Arial" w:eastAsia="Arial" w:hAnsi="Arial"/>
                <w:sz w:val="18"/>
                <w:szCs w:val="18"/>
                <w:color w:val="auto"/>
                <w:w w:val="94"/>
              </w:rPr>
              <w:t>SHARES</w:t>
            </w:r>
          </w:p>
        </w:tc>
        <w:tc>
          <w:tcPr>
            <w:tcW w:w="7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60" w:type="dxa"/>
            <w:vAlign w:val="bottom"/>
          </w:tcPr>
          <w:p>
            <w:pPr>
              <w:spacing w:after="0"/>
              <w:rPr>
                <w:sz w:val="14"/>
                <w:szCs w:val="14"/>
                <w:color w:val="auto"/>
              </w:rPr>
            </w:pPr>
          </w:p>
        </w:tc>
        <w:tc>
          <w:tcPr>
            <w:tcW w:w="1700" w:type="dxa"/>
            <w:vAlign w:val="bottom"/>
            <w:tcBorders>
              <w:right w:val="single" w:sz="8" w:color="auto"/>
            </w:tcBorders>
            <w:gridSpan w:val="2"/>
            <w:vMerge w:val="continue"/>
          </w:tcPr>
          <w:p>
            <w:pPr>
              <w:spacing w:after="0"/>
              <w:rPr>
                <w:sz w:val="14"/>
                <w:szCs w:val="14"/>
                <w:color w:val="auto"/>
              </w:rPr>
            </w:pP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8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700" w:type="dxa"/>
            <w:vAlign w:val="bottom"/>
            <w:tcBorders>
              <w:right w:val="single" w:sz="8" w:color="auto"/>
            </w:tcBorders>
            <w:gridSpan w:val="2"/>
            <w:vMerge w:val="restart"/>
          </w:tcPr>
          <w:p>
            <w:pPr>
              <w:jc w:val="center"/>
              <w:ind w:right="270"/>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vMerge w:val="continue"/>
          </w:tcPr>
          <w:p>
            <w:pPr>
              <w:spacing w:after="0"/>
              <w:rPr>
                <w:sz w:val="10"/>
                <w:szCs w:val="10"/>
                <w:color w:val="auto"/>
              </w:rPr>
            </w:pPr>
          </w:p>
        </w:tc>
        <w:tc>
          <w:tcPr>
            <w:tcW w:w="84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170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1700" w:type="dxa"/>
            <w:vAlign w:val="bottom"/>
            <w:tcBorders>
              <w:right w:val="single" w:sz="8" w:color="auto"/>
            </w:tcBorders>
            <w:gridSpan w:val="2"/>
          </w:tcPr>
          <w:p>
            <w:pPr>
              <w:jc w:val="center"/>
              <w:ind w:right="250"/>
              <w:spacing w:after="0" w:line="190" w:lineRule="exact"/>
              <w:rPr>
                <w:sz w:val="20"/>
                <w:szCs w:val="20"/>
                <w:color w:val="auto"/>
              </w:rPr>
            </w:pPr>
            <w:r>
              <w:rPr>
                <w:rFonts w:ascii="Arial" w:cs="Arial" w:eastAsia="Arial" w:hAnsi="Arial"/>
                <w:sz w:val="18"/>
                <w:szCs w:val="18"/>
                <w:color w:val="auto"/>
                <w:w w:val="97"/>
              </w:rPr>
              <w:t>OWNED BY</w:t>
            </w:r>
          </w:p>
        </w:tc>
        <w:tc>
          <w:tcPr>
            <w:tcW w:w="7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6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EACH</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c>
          <w:tcPr>
            <w:tcW w:w="84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Borders>
              <w:right w:val="single" w:sz="8" w:color="auto"/>
            </w:tcBorders>
            <w:gridSpan w:val="2"/>
          </w:tcPr>
          <w:p>
            <w:pPr>
              <w:jc w:val="center"/>
              <w:ind w:right="250"/>
              <w:spacing w:after="0" w:line="201" w:lineRule="exact"/>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7"/>
                <w:szCs w:val="17"/>
                <w:color w:val="auto"/>
              </w:rPr>
            </w:pPr>
          </w:p>
        </w:tc>
        <w:tc>
          <w:tcPr>
            <w:tcW w:w="1700" w:type="dxa"/>
            <w:vAlign w:val="bottom"/>
            <w:vMerge w:val="restart"/>
          </w:tcPr>
          <w:p>
            <w:pPr>
              <w:ind w:left="100"/>
              <w:spacing w:after="0"/>
              <w:rPr>
                <w:sz w:val="20"/>
                <w:szCs w:val="20"/>
                <w:color w:val="auto"/>
              </w:rPr>
            </w:pPr>
            <w:r>
              <w:rPr>
                <w:rFonts w:ascii="Arial" w:cs="Arial" w:eastAsia="Arial" w:hAnsi="Arial"/>
                <w:sz w:val="18"/>
                <w:szCs w:val="18"/>
                <w:color w:val="auto"/>
              </w:rPr>
              <w:t>47,771,337*</w:t>
            </w:r>
          </w:p>
        </w:tc>
        <w:tc>
          <w:tcPr>
            <w:tcW w:w="6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1700" w:type="dxa"/>
            <w:vAlign w:val="bottom"/>
            <w:tcBorders>
              <w:right w:val="single" w:sz="8" w:color="auto"/>
            </w:tcBorders>
            <w:gridSpan w:val="2"/>
            <w:vMerge w:val="restart"/>
          </w:tcPr>
          <w:p>
            <w:pPr>
              <w:jc w:val="center"/>
              <w:ind w:right="270"/>
              <w:spacing w:after="0"/>
              <w:rPr>
                <w:sz w:val="20"/>
                <w:szCs w:val="20"/>
                <w:color w:val="auto"/>
              </w:rPr>
            </w:pPr>
            <w:r>
              <w:rPr>
                <w:rFonts w:ascii="Arial" w:cs="Arial" w:eastAsia="Arial" w:hAnsi="Arial"/>
                <w:sz w:val="18"/>
                <w:szCs w:val="18"/>
                <w:color w:val="auto"/>
                <w:w w:val="92"/>
              </w:rPr>
              <w:t>PERSON</w:t>
            </w:r>
          </w:p>
        </w:tc>
        <w:tc>
          <w:tcPr>
            <w:tcW w:w="7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tcBorders>
            <w:vMerge w:val="continue"/>
          </w:tcPr>
          <w:p>
            <w:pPr>
              <w:spacing w:after="0"/>
              <w:rPr>
                <w:sz w:val="12"/>
                <w:szCs w:val="12"/>
                <w:color w:val="auto"/>
              </w:rPr>
            </w:pPr>
          </w:p>
        </w:tc>
        <w:tc>
          <w:tcPr>
            <w:tcW w:w="6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700" w:type="dxa"/>
            <w:vAlign w:val="bottom"/>
            <w:tcBorders>
              <w:right w:val="single" w:sz="8" w:color="auto"/>
            </w:tcBorders>
            <w:gridSpan w:val="2"/>
            <w:vMerge w:val="continue"/>
          </w:tcPr>
          <w:p>
            <w:pPr>
              <w:spacing w:after="0"/>
              <w:rPr>
                <w:sz w:val="4"/>
                <w:szCs w:val="4"/>
                <w:color w:val="auto"/>
              </w:rPr>
            </w:pP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10</w:t>
            </w:r>
          </w:p>
        </w:tc>
        <w:tc>
          <w:tcPr>
            <w:tcW w:w="1700" w:type="dxa"/>
            <w:vAlign w:val="bottom"/>
          </w:tcPr>
          <w:p>
            <w:pPr>
              <w:spacing w:after="0"/>
              <w:rPr>
                <w:sz w:val="4"/>
                <w:szCs w:val="4"/>
                <w:color w:val="auto"/>
              </w:rPr>
            </w:pPr>
          </w:p>
        </w:tc>
        <w:tc>
          <w:tcPr>
            <w:tcW w:w="6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continue"/>
          </w:tcPr>
          <w:p>
            <w:pPr>
              <w:spacing w:after="0"/>
              <w:rPr>
                <w:sz w:val="20"/>
                <w:szCs w:val="20"/>
                <w:color w:val="auto"/>
              </w:rPr>
            </w:pPr>
          </w:p>
        </w:tc>
        <w:tc>
          <w:tcPr>
            <w:tcW w:w="84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90"/>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w w:val="99"/>
              </w:rPr>
              <w:t>11</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90"/>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47,771,337*</w:t>
            </w: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w w:val="99"/>
              </w:rPr>
              <w:t>12</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90"/>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ind w:left="6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4"/>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w w:val="99"/>
              </w:rPr>
              <w:t>13</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90"/>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20.9% **</w:t>
            </w: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ind w:left="140"/>
              <w:spacing w:after="0"/>
              <w:rPr>
                <w:sz w:val="20"/>
                <w:szCs w:val="20"/>
                <w:color w:val="auto"/>
              </w:rPr>
            </w:pPr>
            <w:r>
              <w:rPr>
                <w:rFonts w:ascii="Arial" w:cs="Arial" w:eastAsia="Arial" w:hAnsi="Arial"/>
                <w:sz w:val="18"/>
                <w:szCs w:val="18"/>
                <w:b w:val="1"/>
                <w:bCs w:val="1"/>
                <w:color w:val="auto"/>
                <w:w w:val="99"/>
              </w:rPr>
              <w:t>14</w:t>
            </w:r>
          </w:p>
        </w:tc>
        <w:tc>
          <w:tcPr>
            <w:tcW w:w="4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90"/>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number consists of 45,705,976 common shares and 1,414,716 common shares warrants owned by Eras Capital LLC; plus 8,032 common shares and 642,613 common shares options owned directly by the Reporting Person. The Reporting Person is the managing member of Eras Capital LLC and shares voting and dispositive power over and may be deemed to beneficially own such securities held by Eras Capital LLC. The Reporting Person disclaims beneficial ownership over any securities owned by Eras Capital LLC other than to the extent of any pecuniary interest he may have therein.</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Calculated based on 226,780,843 Common Shares issued and outstanding as of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TMC “the metals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Andrei Karkar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323 Marina Blvd.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San Francisco, CA 94123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own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Using its own funds, on 3/30/2022 Eras Capital LLC bought in the public markets 460,000 common shares at an average price of $2.205246/share. In addition, using its own funds, on 3/31/2022 Eras Capital LLC bought 1,625,000 common shares at an average price of $2.464958/share.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purchases were for investment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66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39,621,909 common shares (17.3% of the total TMC shares) were received by Eras Capital LLC on 9/9/2021 as result of the merger of Sustainable Opportunities Acquisition Corp. and DeepGreen Metals Inc. Eras Capital LLC bought 2,250,110 common shares (1.0% of the total) on 9/30/2021. Eras Capital LLC bought 748,957 common shares (.3% of the total) on 12/24/2021. Eras Capital LLC bought 1,414,716 common shares underlying warrants (.6% of the total) on 12/24/2021. Eras Capital LLC also bought 1,000,000 common shares on 12/31/21 (.4% of the total). In addition, the Reporting Person received 8,032 common shares (.0% of the total), and 642,613 common shares underlying options (.3% of the total), exercisable within 60 days of 4/1/2022. On 3/30/2022, Eras Capital LLC bought 460,000 shares (.2% of the total TMC shares). On 3/31/2022 Eras Capital LLC bought 1,625,000 common shares (.7% of the total TMC shares).</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paragraph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Reporting Person also holds 126,407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4/1/2022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2022-04-01T16:15:24Z</dcterms:created>
  <dcterms:modified xsi:type="dcterms:W3CDTF">2022-04-01T16:15:24Z</dcterms:modified>
</cp:coreProperties>
</file>