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13D/A</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TMC the metals 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87261Y106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Andrei Karkar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323 Marina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567 0509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Page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1960" w:type="dxa"/>
            <w:vAlign w:val="bottom"/>
            <w:tcBorders>
              <w:top w:val="single" w:sz="8" w:color="auto"/>
              <w:left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CUSIP No.</w:t>
            </w:r>
          </w:p>
        </w:tc>
        <w:tc>
          <w:tcPr>
            <w:tcW w:w="2560" w:type="dxa"/>
            <w:vAlign w:val="bottom"/>
            <w:tcBorders>
              <w:top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8"/>
                <w:szCs w:val="18"/>
                <w:b w:val="1"/>
                <w:bCs w:val="1"/>
                <w:color w:val="auto"/>
              </w:rPr>
              <w:t>87261Y106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786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86120"/>
                    </a:xfrm>
                    <a:prstGeom prst="rect">
                      <a:avLst/>
                    </a:prstGeom>
                    <a:noFill/>
                  </pic:spPr>
                </pic:pic>
              </a:graphicData>
            </a:graphic>
          </wp:anchor>
        </w:drawing>
      </w:r>
    </w:p>
    <w:p>
      <w:pPr>
        <w:spacing w:after="0" w:line="249" w:lineRule="exact"/>
        <w:rPr>
          <w:sz w:val="20"/>
          <w:szCs w:val="20"/>
          <w:color w:val="auto"/>
        </w:rPr>
      </w:pPr>
    </w:p>
    <w:p>
      <w:pPr>
        <w:ind w:left="740" w:hanging="669"/>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740" w:right="4920"/>
        <w:spacing w:after="0" w:line="333" w:lineRule="auto"/>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Andrei Karkar</w:t>
      </w:r>
    </w:p>
    <w:p>
      <w:pPr>
        <w:spacing w:after="0" w:line="5" w:lineRule="exact"/>
        <w:rPr>
          <w:sz w:val="20"/>
          <w:szCs w:val="20"/>
          <w:color w:val="auto"/>
        </w:rPr>
      </w:pPr>
    </w:p>
    <w:p>
      <w:pPr>
        <w:ind w:left="740" w:hanging="669"/>
        <w:spacing w:after="0"/>
        <w:tabs>
          <w:tab w:leader="none" w:pos="7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45" w:lineRule="exact"/>
        <w:rPr>
          <w:rFonts w:ascii="Arial" w:cs="Arial" w:eastAsia="Arial" w:hAnsi="Arial"/>
          <w:sz w:val="18"/>
          <w:szCs w:val="18"/>
          <w:b w:val="1"/>
          <w:bCs w:val="1"/>
          <w:color w:val="auto"/>
        </w:rPr>
      </w:pPr>
    </w:p>
    <w:p>
      <w:pPr>
        <w:ind w:left="1300" w:hanging="246"/>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69" w:lineRule="exact"/>
        <w:rPr>
          <w:rFonts w:ascii="Arial" w:cs="Arial" w:eastAsia="Arial" w:hAnsi="Arial"/>
          <w:sz w:val="18"/>
          <w:szCs w:val="18"/>
          <w:color w:val="auto"/>
        </w:rPr>
      </w:pPr>
    </w:p>
    <w:p>
      <w:pPr>
        <w:ind w:left="1300" w:hanging="246"/>
        <w:spacing w:after="0" w:line="207" w:lineRule="exact"/>
        <w:tabs>
          <w:tab w:leader="none" w:pos="13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8" w:lineRule="exact"/>
        <w:rPr>
          <w:sz w:val="20"/>
          <w:szCs w:val="20"/>
          <w:color w:val="auto"/>
        </w:rPr>
      </w:pPr>
    </w:p>
    <w:p>
      <w:pPr>
        <w:ind w:left="740" w:hanging="669"/>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1" w:lineRule="exact"/>
        <w:rPr>
          <w:sz w:val="20"/>
          <w:szCs w:val="20"/>
          <w:color w:val="auto"/>
        </w:rPr>
      </w:pPr>
    </w:p>
    <w:p>
      <w:pPr>
        <w:ind w:left="740" w:hanging="669"/>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7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PF</w:t>
      </w:r>
    </w:p>
    <w:p>
      <w:pPr>
        <w:spacing w:after="0" w:line="104" w:lineRule="exact"/>
        <w:rPr>
          <w:sz w:val="20"/>
          <w:szCs w:val="20"/>
          <w:color w:val="auto"/>
        </w:rPr>
      </w:pPr>
    </w:p>
    <w:p>
      <w:pPr>
        <w:ind w:left="740" w:hanging="669"/>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CHECK IF DISCLOSURE OF LEGAL PROCEEDINGS IS REQUIRED PURSUANT TO ITEMS 2(D) OR 2(E)</w:t>
      </w:r>
    </w:p>
    <w:p>
      <w:pPr>
        <w:spacing w:after="0" w:line="32" w:lineRule="exact"/>
        <w:rPr>
          <w:sz w:val="20"/>
          <w:szCs w:val="20"/>
          <w:color w:val="auto"/>
        </w:rPr>
      </w:pPr>
    </w:p>
    <w:p>
      <w:pPr>
        <w:ind w:left="11020"/>
        <w:spacing w:after="0" w:line="181" w:lineRule="exact"/>
        <w:rPr>
          <w:sz w:val="20"/>
          <w:szCs w:val="20"/>
          <w:color w:val="auto"/>
        </w:rPr>
      </w:pPr>
      <w:r>
        <w:rPr>
          <w:rFonts w:ascii="MS PGothic" w:cs="MS PGothic" w:eastAsia="MS PGothic" w:hAnsi="MS PGothic"/>
          <w:sz w:val="18"/>
          <w:szCs w:val="18"/>
          <w:color w:val="auto"/>
        </w:rPr>
        <w:t>☐</w:t>
      </w:r>
    </w:p>
    <w:p>
      <w:pPr>
        <w:spacing w:after="0" w:line="189" w:lineRule="exact"/>
        <w:rPr>
          <w:sz w:val="20"/>
          <w:szCs w:val="20"/>
          <w:color w:val="auto"/>
        </w:rPr>
      </w:pPr>
    </w:p>
    <w:p>
      <w:pPr>
        <w:ind w:left="740" w:right="6840" w:hanging="669"/>
        <w:spacing w:after="0" w:line="321" w:lineRule="auto"/>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USA</w:t>
      </w:r>
    </w:p>
    <w:tbl>
      <w:tblPr>
        <w:tblLayout w:type="fixed"/>
        <w:tblInd w:w="0" w:type="dxa"/>
        <w:tblCellMar>
          <w:top w:w="0" w:type="dxa"/>
          <w:left w:w="0" w:type="dxa"/>
          <w:bottom w:w="0" w:type="dxa"/>
          <w:right w:w="0" w:type="dxa"/>
        </w:tblCellMar>
      </w:tblPr>
      <w:tr>
        <w:trPr>
          <w:trHeight w:val="251"/>
        </w:trPr>
        <w:tc>
          <w:tcPr>
            <w:tcW w:w="204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7</w:t>
            </w:r>
          </w:p>
        </w:tc>
        <w:tc>
          <w:tcPr>
            <w:tcW w:w="8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3"/>
        </w:trPr>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NUMBER OF</w:t>
            </w:r>
          </w:p>
        </w:tc>
        <w:tc>
          <w:tcPr>
            <w:tcW w:w="680" w:type="dxa"/>
            <w:vAlign w:val="bottom"/>
            <w:tcBorders>
              <w:right w:val="single" w:sz="8" w:color="auto"/>
            </w:tcBorders>
          </w:tcPr>
          <w:p>
            <w:pPr>
              <w:spacing w:after="0"/>
              <w:rPr>
                <w:sz w:val="24"/>
                <w:szCs w:val="24"/>
                <w:color w:val="auto"/>
              </w:rPr>
            </w:pPr>
          </w:p>
        </w:tc>
        <w:tc>
          <w:tcPr>
            <w:tcW w:w="8520" w:type="dxa"/>
            <w:vAlign w:val="bottom"/>
          </w:tcPr>
          <w:p>
            <w:pPr>
              <w:ind w:left="40"/>
              <w:spacing w:after="0"/>
              <w:rPr>
                <w:sz w:val="20"/>
                <w:szCs w:val="20"/>
                <w:color w:val="auto"/>
              </w:rPr>
            </w:pPr>
            <w:r>
              <w:rPr>
                <w:rFonts w:ascii="Arial" w:cs="Arial" w:eastAsia="Arial" w:hAnsi="Arial"/>
                <w:sz w:val="18"/>
                <w:szCs w:val="18"/>
                <w:color w:val="auto"/>
              </w:rPr>
              <w:t>58,086,883*</w:t>
            </w:r>
          </w:p>
        </w:tc>
        <w:tc>
          <w:tcPr>
            <w:tcW w:w="0" w:type="dxa"/>
            <w:vAlign w:val="bottom"/>
          </w:tcPr>
          <w:p>
            <w:pPr>
              <w:spacing w:after="0"/>
              <w:rPr>
                <w:sz w:val="1"/>
                <w:szCs w:val="1"/>
                <w:color w:val="auto"/>
              </w:rPr>
            </w:pPr>
          </w:p>
        </w:tc>
      </w:tr>
      <w:tr>
        <w:trPr>
          <w:trHeight w:val="48"/>
        </w:trPr>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680" w:type="dxa"/>
            <w:vAlign w:val="bottom"/>
            <w:tcBorders>
              <w:bottom w:val="single" w:sz="8" w:color="auto"/>
              <w:right w:val="single" w:sz="8" w:color="auto"/>
            </w:tcBorders>
          </w:tcPr>
          <w:p>
            <w:pPr>
              <w:spacing w:after="0"/>
              <w:rPr>
                <w:sz w:val="4"/>
                <w:szCs w:val="4"/>
                <w:color w:val="auto"/>
              </w:rPr>
            </w:pPr>
          </w:p>
        </w:tc>
        <w:tc>
          <w:tcPr>
            <w:tcW w:w="8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4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8</w:t>
            </w:r>
          </w:p>
        </w:tc>
        <w:tc>
          <w:tcPr>
            <w:tcW w:w="852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9"/>
                <w:szCs w:val="9"/>
                <w:color w:val="auto"/>
              </w:rPr>
            </w:pPr>
          </w:p>
        </w:tc>
        <w:tc>
          <w:tcPr>
            <w:tcW w:w="8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4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5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9</w:t>
            </w:r>
          </w:p>
        </w:tc>
        <w:tc>
          <w:tcPr>
            <w:tcW w:w="852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2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tcPr>
          <w:p>
            <w:pPr>
              <w:spacing w:after="0"/>
              <w:rPr>
                <w:sz w:val="17"/>
                <w:szCs w:val="17"/>
                <w:color w:val="auto"/>
              </w:rPr>
            </w:pPr>
          </w:p>
        </w:tc>
        <w:tc>
          <w:tcPr>
            <w:tcW w:w="8520" w:type="dxa"/>
            <w:vAlign w:val="bottom"/>
            <w:vMerge w:val="restart"/>
          </w:tcPr>
          <w:p>
            <w:pPr>
              <w:ind w:left="40"/>
              <w:spacing w:after="0"/>
              <w:rPr>
                <w:sz w:val="20"/>
                <w:szCs w:val="20"/>
                <w:color w:val="auto"/>
              </w:rPr>
            </w:pPr>
            <w:r>
              <w:rPr>
                <w:rFonts w:ascii="Arial" w:cs="Arial" w:eastAsia="Arial" w:hAnsi="Arial"/>
                <w:sz w:val="18"/>
                <w:szCs w:val="18"/>
                <w:color w:val="auto"/>
              </w:rPr>
              <w:t>58,086,883*</w:t>
            </w:r>
          </w:p>
        </w:tc>
        <w:tc>
          <w:tcPr>
            <w:tcW w:w="0" w:type="dxa"/>
            <w:vAlign w:val="bottom"/>
          </w:tcPr>
          <w:p>
            <w:pPr>
              <w:spacing w:after="0"/>
              <w:rPr>
                <w:sz w:val="1"/>
                <w:szCs w:val="1"/>
                <w:color w:val="auto"/>
              </w:rPr>
            </w:pPr>
          </w:p>
        </w:tc>
      </w:tr>
      <w:tr>
        <w:trPr>
          <w:trHeight w:val="136"/>
        </w:trPr>
        <w:tc>
          <w:tcPr>
            <w:tcW w:w="2040" w:type="dxa"/>
            <w:vAlign w:val="bottom"/>
            <w:tcBorders>
              <w:right w:val="single" w:sz="8" w:color="auto"/>
            </w:tcBorders>
            <w:vMerge w:val="restart"/>
          </w:tcPr>
          <w:p>
            <w:pPr>
              <w:jc w:val="center"/>
              <w:spacing w:after="0" w:line="157" w:lineRule="exact"/>
              <w:rPr>
                <w:sz w:val="20"/>
                <w:szCs w:val="20"/>
                <w:color w:val="auto"/>
              </w:rPr>
            </w:pPr>
            <w:r>
              <w:rPr>
                <w:rFonts w:ascii="Arial" w:cs="Arial" w:eastAsia="Arial" w:hAnsi="Arial"/>
                <w:sz w:val="18"/>
                <w:szCs w:val="18"/>
                <w:color w:val="auto"/>
                <w:w w:val="92"/>
              </w:rPr>
              <w:t>PERSON</w:t>
            </w:r>
          </w:p>
        </w:tc>
        <w:tc>
          <w:tcPr>
            <w:tcW w:w="680" w:type="dxa"/>
            <w:vAlign w:val="bottom"/>
            <w:tcBorders>
              <w:right w:val="single" w:sz="8" w:color="auto"/>
            </w:tcBorders>
          </w:tcPr>
          <w:p>
            <w:pPr>
              <w:spacing w:after="0"/>
              <w:rPr>
                <w:sz w:val="11"/>
                <w:szCs w:val="11"/>
                <w:color w:val="auto"/>
              </w:rPr>
            </w:pPr>
          </w:p>
        </w:tc>
        <w:tc>
          <w:tcPr>
            <w:tcW w:w="8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40" w:type="dxa"/>
            <w:vAlign w:val="bottom"/>
            <w:tcBorders>
              <w:right w:val="single" w:sz="8" w:color="auto"/>
            </w:tcBorders>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WITH</w:t>
            </w:r>
          </w:p>
        </w:tc>
        <w:tc>
          <w:tcPr>
            <w:tcW w:w="6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10</w:t>
            </w:r>
          </w:p>
        </w:tc>
        <w:tc>
          <w:tcPr>
            <w:tcW w:w="85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97"/>
        </w:trPr>
        <w:tc>
          <w:tcPr>
            <w:tcW w:w="20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852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
        </w:trPr>
        <w:tc>
          <w:tcPr>
            <w:tcW w:w="204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40" w:right="3960" w:hanging="669"/>
        <w:spacing w:after="0" w:line="349" w:lineRule="auto"/>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58,086,883*</w:t>
      </w:r>
    </w:p>
    <w:p>
      <w:pPr>
        <w:spacing w:after="0" w:line="5" w:lineRule="exact"/>
        <w:rPr>
          <w:rFonts w:ascii="Arial" w:cs="Arial" w:eastAsia="Arial" w:hAnsi="Arial"/>
          <w:sz w:val="18"/>
          <w:szCs w:val="18"/>
          <w:b w:val="1"/>
          <w:bCs w:val="1"/>
          <w:color w:val="auto"/>
        </w:rPr>
      </w:pPr>
    </w:p>
    <w:p>
      <w:pPr>
        <w:ind w:left="740" w:right="3380" w:hanging="669"/>
        <w:spacing w:after="0" w:line="295" w:lineRule="auto"/>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(See Instructions)</w:t>
      </w:r>
    </w:p>
    <w:p>
      <w:pPr>
        <w:ind w:left="11020"/>
        <w:spacing w:after="0" w:line="181" w:lineRule="exact"/>
        <w:rPr>
          <w:sz w:val="20"/>
          <w:szCs w:val="20"/>
          <w:color w:val="auto"/>
        </w:rPr>
      </w:pPr>
      <w:r>
        <w:rPr>
          <w:rFonts w:ascii="MS PGothic" w:cs="MS PGothic" w:eastAsia="MS PGothic" w:hAnsi="MS PGothic"/>
          <w:sz w:val="18"/>
          <w:szCs w:val="18"/>
          <w:color w:val="auto"/>
        </w:rPr>
        <w:t>☐</w:t>
      </w:r>
    </w:p>
    <w:p>
      <w:pPr>
        <w:spacing w:after="0" w:line="121" w:lineRule="exact"/>
        <w:rPr>
          <w:sz w:val="20"/>
          <w:szCs w:val="20"/>
          <w:color w:val="auto"/>
        </w:rPr>
      </w:pPr>
    </w:p>
    <w:p>
      <w:pPr>
        <w:ind w:left="740" w:hanging="669"/>
        <w:spacing w:after="0"/>
        <w:tabs>
          <w:tab w:leader="none" w:pos="74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7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20.5% **</w:t>
      </w:r>
    </w:p>
    <w:p>
      <w:pPr>
        <w:spacing w:after="0" w:line="117" w:lineRule="exact"/>
        <w:rPr>
          <w:rFonts w:ascii="Arial" w:cs="Arial" w:eastAsia="Arial" w:hAnsi="Arial"/>
          <w:sz w:val="18"/>
          <w:szCs w:val="18"/>
          <w:b w:val="1"/>
          <w:bCs w:val="1"/>
          <w:color w:val="auto"/>
        </w:rPr>
      </w:pPr>
    </w:p>
    <w:p>
      <w:pPr>
        <w:ind w:left="740" w:hanging="669"/>
        <w:spacing w:after="0"/>
        <w:tabs>
          <w:tab w:leader="none" w:pos="74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7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92" w:lineRule="exact"/>
        <w:rPr>
          <w:rFonts w:ascii="Arial" w:cs="Arial" w:eastAsia="Arial" w:hAnsi="Arial"/>
          <w:sz w:val="18"/>
          <w:szCs w:val="18"/>
          <w:b w:val="1"/>
          <w:bCs w:val="1"/>
          <w:color w:val="auto"/>
        </w:rPr>
      </w:pPr>
    </w:p>
    <w:p>
      <w:pPr>
        <w:ind w:left="340" w:hanging="324"/>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This number consists of 55,953,495 common shares and 1,414,716 common shares warrants owned by Eras Capital LLC; plus 76,059 common shares and 642,613 common shares options owned directly by the Reporting Person. The Reporting Person is the managing member of Eras Capital LLC and shares voting and dispositive power over and may be deemed to beneficially own such securities held by Eras Capital LLC. The Reporting Person disclaims beneficial ownership over any securities owned by Eras Capital LLC other than to the extent of any pecuniary interest he may have therein.</w:t>
      </w:r>
    </w:p>
    <w:p>
      <w:pPr>
        <w:spacing w:after="0" w:line="157" w:lineRule="exact"/>
        <w:rPr>
          <w:rFonts w:ascii="Arial" w:cs="Arial" w:eastAsia="Arial" w:hAnsi="Arial"/>
          <w:sz w:val="18"/>
          <w:szCs w:val="18"/>
          <w:b w:val="1"/>
          <w:bCs w:val="1"/>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Calculation based on 280,618,285 Common Shares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TMC “the metals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595 Howe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Vancouver, British Columbia, Canada V6C 2T5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Andrei Karkar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323 Marina Blvd.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San Francisco, CA 94123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of own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Eras Capital LLC bought 3,997,519 shares at $.75 a share using its own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purchase was for investment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jc w:val="both"/>
        <w:ind w:left="660" w:hanging="328"/>
        <w:spacing w:after="0" w:line="29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39,621,909 common shares were received by Eras Capital LLC on 9/9/2021 as result of the merger of Sustainable Opportunities Acquisition Corp. and DeepGreen Metals Inc. Eras Capital LLC bought 2,250,110 common shares on 9/30/2021. Eras Capital LLC bought 748,957 common shares on 12/24/2021. Eras Capital LLC bought 1,414,716 common shares underlying warrants on 12/24/2021. Eras Capital LLC also bought 1,000,000 common shares on 12/31/21. In addition, the Reporting Person received 76,059 common shares, and 642,613 common shares underlying options, exercisable within 60 days of 6/9/2023. On 3/30/2022, Eras Capital LLC bought 460,000 shares. On 3/31/2022 Eras Capital LLC bought 1,625,000 common shares. Eras Capital LLC bought 6,250,000 shares on 8/15/2022. On 6/9/2023, Eras Capital LLC bought 3,997,519 shares.</w:t>
      </w:r>
    </w:p>
    <w:p>
      <w:pPr>
        <w:spacing w:after="0" w:line="16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paragraph (a)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Reporting Person also holds 126,407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6/9/2023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Andrei Karkar/CEO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Name/Title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lvl w:ilvl="1">
      <w:lvlJc w:val="left"/>
      <w:lvlText w:val="(%2)"/>
      <w:numFmt w:val="lowerLetter"/>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6"/>
      <w:numFmt w:val="bullet"/>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
      <w:numFmt w:val="bullet"/>
      <w:start w:val="1"/>
    </w:lvl>
    <w:lvl w:ilvl="1">
      <w:lvlJc w:val="left"/>
      <w:lvlText w:val="%2"/>
      <w:numFmt w:val="decimal"/>
      <w:start w:val="13"/>
    </w:lvl>
  </w:abstractNum>
  <w:abstractNum w:abstractNumId="9">
    <w:nsid w:val="1F16E9E8"/>
    <w:multiLevelType w:val="hybridMultilevel"/>
    <w:lvl w:ilvl="0">
      <w:lvlJc w:val="left"/>
      <w:lvlText w:val="**"/>
      <w:numFmt w:val="bullet"/>
      <w:start w:val="1"/>
    </w:lvl>
    <w:lvl w:ilvl="1">
      <w:lvlJc w:val="left"/>
      <w:lvlText w:val="%2"/>
      <w:numFmt w:val="decimal"/>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2023-06-09T05:11:11Z</dcterms:created>
  <dcterms:modified xsi:type="dcterms:W3CDTF">2023-06-09T05:11:11Z</dcterms:modified>
</cp:coreProperties>
</file>