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G8598Y109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00" w:firstLine="7"/>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23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961,619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961,619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961,619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3.2%</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557,136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557,136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557,136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1.9%</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557,136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557,136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557,136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1.9%</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1,518,755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1,518,755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1,518,755</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1,518,755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1,518,755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1,518,755</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1,518,755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1,518,755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1,518,755</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3500" w:type="dxa"/>
            <w:vAlign w:val="bottom"/>
          </w:tcPr>
          <w:p>
            <w:pPr>
              <w:ind w:left="218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040" w:hanging="31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Sustainable Opportunities Acquisition Corp., a Cayman Islands exempted company (the "Issuer").</w:t>
      </w:r>
    </w:p>
    <w:p>
      <w:pPr>
        <w:spacing w:after="0" w:line="253" w:lineRule="exact"/>
        <w:rPr>
          <w:rFonts w:ascii="Arial" w:cs="Arial" w:eastAsia="Arial" w:hAnsi="Arial"/>
          <w:sz w:val="18"/>
          <w:szCs w:val="18"/>
          <w:color w:val="auto"/>
        </w:rPr>
      </w:pPr>
    </w:p>
    <w:p>
      <w:pPr>
        <w:ind w:left="1040" w:hanging="31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1601 Bryan Street, Suite 4141</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Dallas, Texas 75201</w:t>
      </w:r>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color w:val="auto"/>
        </w:rPr>
        <w:t xml:space="preserve">(a)  </w:t>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040" w:hanging="317"/>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040" w:hanging="317"/>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040" w:right="448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040" w:right="50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ICS Opportunities, Ltd.</w:t>
      </w:r>
    </w:p>
    <w:p>
      <w:pPr>
        <w:spacing w:after="0" w:line="15" w:lineRule="exact"/>
        <w:rPr>
          <w:rFonts w:ascii="Arial" w:cs="Arial" w:eastAsia="Arial" w:hAnsi="Arial"/>
          <w:sz w:val="18"/>
          <w:szCs w:val="18"/>
          <w:color w:val="auto"/>
        </w:rPr>
      </w:pPr>
    </w:p>
    <w:p>
      <w:pPr>
        <w:ind w:left="1040" w:right="382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040" w:right="50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040" w:right="408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399 Park Avenue</w:t>
      </w:r>
    </w:p>
    <w:p>
      <w:pPr>
        <w:ind w:left="1040" w:right="50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040" w:right="490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040" w:right="50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040" w:right="440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040" w:right="50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040" w:right="464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040" w:right="50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040" w:hanging="317"/>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Class A ordinary shares, par value $0.0001 per share ("Class A Ordinary Shares")</w:t>
      </w:r>
    </w:p>
    <w:p>
      <w:pPr>
        <w:spacing w:after="0" w:line="252" w:lineRule="exact"/>
        <w:rPr>
          <w:rFonts w:ascii="Arial" w:cs="Arial" w:eastAsia="Arial" w:hAnsi="Arial"/>
          <w:sz w:val="18"/>
          <w:szCs w:val="18"/>
          <w:color w:val="auto"/>
        </w:rPr>
      </w:pPr>
    </w:p>
    <w:p>
      <w:pPr>
        <w:ind w:left="1040" w:right="5900" w:hanging="317"/>
        <w:spacing w:after="0" w:line="613"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G8598Y109</w:t>
      </w:r>
    </w:p>
    <w:p>
      <w:pPr>
        <w:spacing w:after="0" w:line="20" w:lineRule="exact"/>
        <w:rPr>
          <w:sz w:val="20"/>
          <w:szCs w:val="20"/>
          <w:color w:val="auto"/>
        </w:rPr>
      </w:pPr>
      <w:r>
        <w:rPr>
          <w:sz w:val="20"/>
          <w:szCs w:val="20"/>
          <w:color w:val="auto"/>
        </w:rPr>
        <w:br w:type="column"/>
      </w:r>
    </w:p>
    <w:p>
      <w:pPr>
        <w:spacing w:after="0"/>
        <w:tabs>
          <w:tab w:leader="none" w:pos="840" w:val="left"/>
          <w:tab w:leader="none" w:pos="1420" w:val="left"/>
          <w:tab w:leader="none" w:pos="2080" w:val="left"/>
        </w:tabs>
        <w:rPr>
          <w:sz w:val="20"/>
          <w:szCs w:val="20"/>
          <w:color w:val="auto"/>
        </w:rPr>
      </w:pPr>
      <w:r>
        <w:rPr>
          <w:rFonts w:ascii="Arial" w:cs="Arial" w:eastAsia="Arial" w:hAnsi="Arial"/>
          <w:sz w:val="18"/>
          <w:szCs w:val="18"/>
          <w:color w:val="auto"/>
        </w:rPr>
        <w:t>Page</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-127635</wp:posOffset>
            </wp:positionV>
            <wp:extent cx="138430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4300" cy="158750"/>
                    </a:xfrm>
                    <a:prstGeom prst="rect">
                      <a:avLst/>
                    </a:prstGeom>
                    <a:noFill/>
                  </pic:spPr>
                </pic:pic>
              </a:graphicData>
            </a:graphic>
          </wp:anchor>
        </w:drawing>
      </w:r>
    </w:p>
    <w:p>
      <w:pPr>
        <w:sectPr>
          <w:pgSz w:w="11900" w:h="16838" w:orient="portrait"/>
          <w:cols w:equalWidth="0" w:num="2">
            <w:col w:w="8100" w:space="500"/>
            <w:col w:w="2280"/>
          </w:cols>
          <w:pgMar w:left="320" w:top="332" w:right="6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54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204" w:lineRule="exact"/>
        <w:rPr>
          <w:sz w:val="20"/>
          <w:szCs w:val="20"/>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the close of business on March 31, 2021:</w:t>
      </w:r>
    </w:p>
    <w:p>
      <w:pPr>
        <w:spacing w:after="0" w:line="185" w:lineRule="exact"/>
        <w:rPr>
          <w:sz w:val="20"/>
          <w:szCs w:val="20"/>
          <w:color w:val="auto"/>
        </w:rPr>
      </w:pPr>
    </w:p>
    <w:p>
      <w:pPr>
        <w:ind w:firstLine="142"/>
        <w:spacing w:after="0" w:line="268" w:lineRule="auto"/>
        <w:tabs>
          <w:tab w:leader="none" w:pos="2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Integrated Core Strategies (US) LLC, a Delaware limited liability company ("Integrated Core Strategies"), beneficially owned 961,619 of the Issuer’s Class A Ordinary Shares; and</w:t>
      </w:r>
    </w:p>
    <w:p>
      <w:pPr>
        <w:spacing w:after="0" w:line="145" w:lineRule="exact"/>
        <w:rPr>
          <w:rFonts w:ascii="Arial" w:cs="Arial" w:eastAsia="Arial" w:hAnsi="Arial"/>
          <w:sz w:val="18"/>
          <w:szCs w:val="18"/>
          <w:color w:val="auto"/>
        </w:rPr>
      </w:pPr>
    </w:p>
    <w:p>
      <w:pPr>
        <w:jc w:val="both"/>
        <w:ind w:firstLine="150"/>
        <w:spacing w:after="0" w:line="306" w:lineRule="auto"/>
        <w:tabs>
          <w:tab w:leader="none" w:pos="3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ICS Opportunities, Ltd., an exempted company organized under the laws of the Cayman Islands ("ICS Opportunities"), beneficially owned 557,136 of the Issuer’s Class A Ordinary Shares, which together with the Issuer’s Class A Ordinary Shares beneficially owned by Integrated Core Strategies represented 1,518,755 of the Issuer’s Class A Ordinary Shares or 5.1% of the Issuer’s Class A Ordinary Shares outstanding.</w:t>
      </w:r>
    </w:p>
    <w:p>
      <w:pPr>
        <w:spacing w:after="0" w:line="120" w:lineRule="exact"/>
        <w:rPr>
          <w:sz w:val="20"/>
          <w:szCs w:val="20"/>
          <w:color w:val="auto"/>
        </w:rPr>
      </w:pPr>
    </w:p>
    <w:p>
      <w:pPr>
        <w:jc w:val="both"/>
        <w:ind w:right="20" w:firstLine="198"/>
        <w:spacing w:after="0" w:line="331" w:lineRule="auto"/>
        <w:rPr>
          <w:sz w:val="20"/>
          <w:szCs w:val="20"/>
          <w:color w:val="auto"/>
        </w:rPr>
      </w:pPr>
      <w:r>
        <w:rPr>
          <w:rFonts w:ascii="Arial" w:cs="Arial" w:eastAsia="Arial" w:hAnsi="Arial"/>
          <w:sz w:val="16"/>
          <w:szCs w:val="16"/>
          <w:color w:val="auto"/>
        </w:rPr>
        <w:t>Millennium International Management LP, a Delaware limited partnership ("Millennium International Management"), is the investment manager to ICS Opportunities and may be deemed to have shared voting control and investment discretion over securities owned by ICS Opportunities.</w:t>
      </w:r>
    </w:p>
    <w:p>
      <w:pPr>
        <w:spacing w:after="0" w:line="100" w:lineRule="exact"/>
        <w:rPr>
          <w:sz w:val="20"/>
          <w:szCs w:val="20"/>
          <w:color w:val="auto"/>
        </w:rPr>
      </w:pPr>
    </w:p>
    <w:p>
      <w:pPr>
        <w:jc w:val="both"/>
        <w:ind w:firstLine="215"/>
        <w:spacing w:after="0" w:line="256" w:lineRule="auto"/>
        <w:rPr>
          <w:sz w:val="20"/>
          <w:szCs w:val="20"/>
          <w:color w:val="auto"/>
        </w:rPr>
      </w:pPr>
      <w:r>
        <w:rPr>
          <w:rFonts w:ascii="Arial" w:cs="Arial" w:eastAsia="Arial" w:hAnsi="Arial"/>
          <w:sz w:val="18"/>
          <w:szCs w:val="18"/>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w:t>
      </w:r>
    </w:p>
    <w:p>
      <w:pPr>
        <w:spacing w:after="0" w:line="156"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w:t>
      </w:r>
    </w:p>
    <w:p>
      <w:pPr>
        <w:spacing w:after="0" w:line="156"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and ICS Opportunities.</w:t>
      </w:r>
    </w:p>
    <w:p>
      <w:pPr>
        <w:spacing w:after="0" w:line="15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or ICS Opportunities, as the case may be.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187"/>
        <w:spacing w:after="0" w:line="256" w:lineRule="auto"/>
        <w:rPr>
          <w:sz w:val="20"/>
          <w:szCs w:val="20"/>
          <w:color w:val="auto"/>
        </w:rPr>
      </w:pPr>
      <w:r>
        <w:rPr>
          <w:rFonts w:ascii="Arial" w:cs="Arial" w:eastAsia="Arial" w:hAnsi="Arial"/>
          <w:sz w:val="18"/>
          <w:szCs w:val="18"/>
          <w:color w:val="auto"/>
        </w:rPr>
        <w:t>As of the close of business on March 31, 2021, Millennium Management, Millennium Group Management and Mr. Englander may be deemed to have beneficially owned 1,518,755 of the Issuer’s Class A Ordinary Shares or 5.1% of the Issuer’s Class A Ordinary Shares outstanding (see Item 4(a) above), which percentage was calculated based on 30,000,000 of the Issuer’s Class A Ordinary Shares outstanding as of March 30, 2021, as reported in the Issuer’s Form 10-K filed on March 30, 2021.</w:t>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164" w:lineRule="exact"/>
        <w:rPr>
          <w:sz w:val="20"/>
          <w:szCs w:val="20"/>
          <w:color w:val="auto"/>
        </w:rPr>
      </w:pPr>
    </w:p>
    <w:p>
      <w:pPr>
        <w:ind w:left="300" w:hanging="248"/>
        <w:spacing w:after="0"/>
        <w:tabs>
          <w:tab w:leader="none" w:pos="300" w:val="left"/>
        </w:tabs>
        <w:numPr>
          <w:ilvl w:val="0"/>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740" w:hanging="132"/>
        <w:spacing w:after="0" w:line="453" w:lineRule="auto"/>
        <w:tabs>
          <w:tab w:leader="none" w:pos="7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800" w:hanging="252"/>
        <w:spacing w:after="0"/>
        <w:tabs>
          <w:tab w:leader="none" w:pos="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1,518,755 (See Item 4(b))</w:t>
      </w:r>
    </w:p>
    <w:p>
      <w:pPr>
        <w:spacing w:after="0" w:line="185" w:lineRule="exact"/>
        <w:rPr>
          <w:sz w:val="20"/>
          <w:szCs w:val="20"/>
          <w:color w:val="auto"/>
        </w:rPr>
      </w:pPr>
    </w:p>
    <w:p>
      <w:pPr>
        <w:ind w:left="900" w:hanging="308"/>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4" w:lineRule="exact"/>
        <w:rPr>
          <w:rFonts w:ascii="Arial" w:cs="Arial" w:eastAsia="Arial" w:hAnsi="Arial"/>
          <w:sz w:val="18"/>
          <w:szCs w:val="18"/>
          <w:color w:val="auto"/>
        </w:rPr>
      </w:pPr>
    </w:p>
    <w:p>
      <w:pPr>
        <w:ind w:left="680" w:right="6600" w:hanging="132"/>
        <w:spacing w:after="0" w:line="453" w:lineRule="auto"/>
        <w:tabs>
          <w:tab w:leader="none" w:pos="8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1,518,755 (See Item 4(b))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 I: Joint Filing Agreement, dated as of March 31, 2021, by and among Integrated Core Strategies (US) LLC, ICS Opportunities, Ltd., Millennium International Management LP,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2021</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3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G8598Y109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14</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will confirm the agreement by and among the undersigned that the Schedule 13G filed with the Securities and Exchange Commission on or about the date hereof with respect to the beneficial ownership by the undersigned of the Class A Ordinary Shares, par value $0.0001 per share, of Sustainable Opportunities Acquisition Corp., a Cayman Islands exempted company,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2021</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2"/>
      <w:numFmt w:val="bullet"/>
      <w:start w:val="1"/>
    </w:lvl>
    <w:lvl w:ilvl="1">
      <w:lvlJc w:val="left"/>
      <w:lvlText w:val="(%2)"/>
      <w:numFmt w:val="lowerLetter"/>
      <w:start w:val="2"/>
    </w:lvl>
  </w:abstractNum>
  <w:abstractNum w:abstractNumId="2">
    <w:nsid w:val="66EF438D"/>
    <w:multiLevelType w:val="hybridMultilevel"/>
    <w:lvl w:ilvl="0">
      <w:lvlJc w:val="left"/>
      <w:lvlText w:val="3"/>
      <w:numFmt w:val="bullet"/>
      <w:start w:val="1"/>
    </w:lvl>
  </w:abstractNum>
  <w:abstractNum w:abstractNumId="3">
    <w:nsid w:val="140E0F76"/>
    <w:multiLevelType w:val="hybridMultilevel"/>
    <w:lvl w:ilvl="0">
      <w:lvlJc w:val="left"/>
      <w:lvlText w:val="2"/>
      <w:numFmt w:val="bullet"/>
      <w:start w:val="1"/>
    </w:lvl>
    <w:lvl w:ilvl="1">
      <w:lvlJc w:val="left"/>
      <w:lvlText w:val="(%2)"/>
      <w:numFmt w:val="lowerLetter"/>
      <w:start w:val="2"/>
    </w:lvl>
  </w:abstractNum>
  <w:abstractNum w:abstractNumId="4">
    <w:nsid w:val="3352255A"/>
    <w:multiLevelType w:val="hybridMultilevel"/>
    <w:lvl w:ilvl="0">
      <w:lvlJc w:val="left"/>
      <w:lvlText w:val="3"/>
      <w:numFmt w:val="bullet"/>
      <w:start w:val="1"/>
    </w:lvl>
  </w:abstractNum>
  <w:abstractNum w:abstractNumId="5">
    <w:nsid w:val="109CF92E"/>
    <w:multiLevelType w:val="hybridMultilevel"/>
    <w:lvl w:ilvl="0">
      <w:lvlJc w:val="left"/>
      <w:lvlText w:val="2"/>
      <w:numFmt w:val="bullet"/>
      <w:start w:val="1"/>
    </w:lvl>
    <w:lvl w:ilvl="1">
      <w:lvlJc w:val="left"/>
      <w:lvlText w:val="(%2)"/>
      <w:numFmt w:val="lowerLetter"/>
      <w:start w:val="2"/>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2"/>
      <w:numFmt w:val="bullet"/>
      <w:start w:val="1"/>
    </w:lvl>
    <w:lvl w:ilvl="1">
      <w:lvlJc w:val="left"/>
      <w:lvlText w:val="(%2)"/>
      <w:numFmt w:val="lowerLetter"/>
      <w:start w:val="2"/>
    </w:lvl>
  </w:abstractNum>
  <w:abstractNum w:abstractNumId="8">
    <w:nsid w:val="1BEFD79F"/>
    <w:multiLevelType w:val="hybridMultilevel"/>
    <w:lvl w:ilvl="0">
      <w:lvlJc w:val="left"/>
      <w:lvlText w:val="3"/>
      <w:numFmt w:val="bullet"/>
      <w:start w:val="1"/>
    </w:lvl>
  </w:abstractNum>
  <w:abstractNum w:abstractNumId="9">
    <w:nsid w:val="41A7C4C9"/>
    <w:multiLevelType w:val="hybridMultilevel"/>
    <w:lvl w:ilvl="0">
      <w:lvlJc w:val="left"/>
      <w:lvlText w:val="2"/>
      <w:numFmt w:val="bullet"/>
      <w:start w:val="1"/>
    </w:lvl>
    <w:lvl w:ilvl="1">
      <w:lvlJc w:val="left"/>
      <w:lvlText w:val="(%2)"/>
      <w:numFmt w:val="lowerLetter"/>
      <w:start w:val="2"/>
    </w:lvl>
  </w:abstractNum>
  <w:abstractNum w:abstractNumId="10">
    <w:nsid w:val="6B68079A"/>
    <w:multiLevelType w:val="hybridMultilevel"/>
    <w:lvl w:ilvl="0">
      <w:lvlJc w:val="left"/>
      <w:lvlText w:val="3"/>
      <w:numFmt w:val="bullet"/>
      <w:start w:val="1"/>
    </w:lvl>
  </w:abstractNum>
  <w:abstractNum w:abstractNumId="11">
    <w:nsid w:val="4E6AFB66"/>
    <w:multiLevelType w:val="hybridMultilevel"/>
    <w:lvl w:ilvl="0">
      <w:lvlJc w:val="left"/>
      <w:lvlText w:val="2"/>
      <w:numFmt w:val="bullet"/>
      <w:start w:val="1"/>
    </w:lvl>
    <w:lvl w:ilvl="1">
      <w:lvlJc w:val="left"/>
      <w:lvlText w:val="(%2)"/>
      <w:numFmt w:val="lowerLetter"/>
      <w:start w:val="2"/>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7"/>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Letter"/>
      <w:start w:val="3"/>
    </w:lvl>
    <w:lvl w:ilvl="1">
      <w:lvlJc w:val="left"/>
      <w:lvlText w:val="(%2)"/>
      <w:numFmt w:val="lowerRoman"/>
      <w:start w:val="1"/>
    </w:lvl>
  </w:abstractNum>
  <w:abstractNum w:abstractNumId="19">
    <w:nsid w:val="436C6125"/>
    <w:multiLevelType w:val="hybridMultilevel"/>
    <w:lvl w:ilvl="0">
      <w:lvlJc w:val="left"/>
      <w:lvlText w:val="%1"/>
      <w:numFmt w:val="lowerRoman"/>
      <w:start w:val="1"/>
    </w:lvl>
    <w:lvl w:ilvl="1">
      <w:lvlJc w:val="left"/>
      <w:lvlText w:val="(%2)"/>
      <w:numFmt w:val="lowerRoman"/>
      <w:start w:val="3"/>
    </w:lvl>
  </w:abstractNum>
  <w:abstractNum w:abstractNumId="20">
    <w:nsid w:val="628C895D"/>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2021-04-01T15:44:52Z</dcterms:created>
  <dcterms:modified xsi:type="dcterms:W3CDTF">2021-04-01T15:44:52Z</dcterms:modified>
</cp:coreProperties>
</file>