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(formerly Sustainable Opportunities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5715</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WITHOUT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87261Y106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220" w:right="9800" w:firstLine="7"/>
        <w:spacing w:after="0" w:line="510" w:lineRule="auto"/>
        <w:tabs>
          <w:tab w:leader="none" w:pos="426"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1" w:lineRule="exact"/>
        <w:rPr>
          <w:rFonts w:ascii="MS PGothic" w:cs="MS PGothic" w:eastAsia="MS PGothic" w:hAnsi="MS PGothic"/>
          <w:sz w:val="16"/>
          <w:szCs w:val="16"/>
          <w:color w:val="auto"/>
        </w:rPr>
      </w:pPr>
    </w:p>
    <w:p>
      <w:pPr>
        <w:spacing w:after="0" w:line="268"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5" w:lineRule="exact"/>
        <w:rPr>
          <w:sz w:val="24"/>
          <w:szCs w:val="24"/>
          <w:color w:val="auto"/>
        </w:rPr>
      </w:pPr>
    </w:p>
    <w:p>
      <w:pPr>
        <w:spacing w:after="0" w:line="331"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20"/>
          </w:cols>
          <w:pgMar w:left="320" w:top="233"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87261Y106</w:t>
            </w:r>
          </w:p>
        </w:tc>
        <w:tc>
          <w:tcPr>
            <w:tcW w:w="454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Core Strategies (US)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196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c>
          <w:tcPr>
            <w:tcW w:w="85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9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5</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76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6</w:t>
            </w:r>
          </w:p>
        </w:tc>
        <w:tc>
          <w:tcPr>
            <w:tcW w:w="85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5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60" w:type="dxa"/>
            <w:vAlign w:val="bottom"/>
            <w:tcBorders>
              <w:right w:val="single" w:sz="8" w:color="auto"/>
            </w:tcBorders>
            <w:vMerge w:val="continue"/>
          </w:tcPr>
          <w:p>
            <w:pPr>
              <w:spacing w:after="0"/>
              <w:rPr>
                <w:sz w:val="8"/>
                <w:szCs w:val="8"/>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31,279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96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760" w:type="dxa"/>
            <w:vAlign w:val="bottom"/>
            <w:tcBorders>
              <w:bottom w:val="single" w:sz="8" w:color="auto"/>
              <w:right w:val="single" w:sz="8" w:color="auto"/>
            </w:tcBorders>
          </w:tcPr>
          <w:p>
            <w:pPr>
              <w:spacing w:after="0"/>
              <w:rPr>
                <w:sz w:val="9"/>
                <w:szCs w:val="9"/>
                <w:color w:val="auto"/>
              </w:rPr>
            </w:pPr>
          </w:p>
        </w:tc>
        <w:tc>
          <w:tcPr>
            <w:tcW w:w="850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7</w:t>
            </w:r>
          </w:p>
        </w:tc>
        <w:tc>
          <w:tcPr>
            <w:tcW w:w="85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9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8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REPORTING</w:t>
            </w:r>
          </w:p>
        </w:tc>
        <w:tc>
          <w:tcPr>
            <w:tcW w:w="760" w:type="dxa"/>
            <w:vAlign w:val="bottom"/>
            <w:tcBorders>
              <w:right w:val="single" w:sz="8" w:color="auto"/>
            </w:tcBorders>
            <w:vMerge w:val="continue"/>
          </w:tcPr>
          <w:p>
            <w:pPr>
              <w:spacing w:after="0"/>
              <w:rPr>
                <w:sz w:val="11"/>
                <w:szCs w:val="11"/>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PERSON WITH</w:t>
            </w:r>
          </w:p>
        </w:tc>
        <w:tc>
          <w:tcPr>
            <w:tcW w:w="760" w:type="dxa"/>
            <w:vAlign w:val="bottom"/>
            <w:tcBorders>
              <w:bottom w:val="single" w:sz="8" w:color="auto"/>
              <w:right w:val="single" w:sz="8" w:color="auto"/>
            </w:tcBorders>
          </w:tcPr>
          <w:p>
            <w:pPr>
              <w:spacing w:after="0"/>
              <w:rPr>
                <w:sz w:val="12"/>
                <w:szCs w:val="12"/>
                <w:color w:val="auto"/>
              </w:rPr>
            </w:pPr>
          </w:p>
        </w:tc>
        <w:tc>
          <w:tcPr>
            <w:tcW w:w="850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9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8</w:t>
            </w: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96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85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31,279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9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850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31,279</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0.0%</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87261Y106</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3</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ICS Opportunities, Ltd.</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450,000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450,000</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0.2%</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w:t>
      </w:r>
    </w:p>
    <w:p>
      <w:pPr>
        <w:sectPr>
          <w:pgSz w:w="11900" w:h="16838" w:orient="portrait"/>
          <w:cols w:equalWidth="0" w:num="1">
            <w:col w:w="11240"/>
          </w:cols>
          <w:pgMar w:left="320" w:top="54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87261Y106</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4</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Assets, Ltd.</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201</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0.0%</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w:t>
      </w:r>
    </w:p>
    <w:p>
      <w:pPr>
        <w:sectPr>
          <w:pgSz w:w="11900" w:h="16838" w:orient="portrait"/>
          <w:cols w:equalWidth="0" w:num="1">
            <w:col w:w="11240"/>
          </w:cols>
          <w:pgMar w:left="320" w:top="54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87261Y106</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5</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International Management LP</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450,201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450,201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450,201</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0.2%</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PN</w:t>
      </w:r>
    </w:p>
    <w:p>
      <w:pPr>
        <w:sectPr>
          <w:pgSz w:w="11900" w:h="16838" w:orient="portrait"/>
          <w:cols w:equalWidth="0" w:num="1">
            <w:col w:w="11240"/>
          </w:cols>
          <w:pgMar w:left="320" w:top="54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87261Y106</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6</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481,480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481,480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481,480</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0.2%</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87261Y106</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7</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Group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481,480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481,480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481,480</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0.2%</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87261Y106</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8</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Israel A. Englander</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United States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481,480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481,480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481,480</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0.2%</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240"/>
          </w:cols>
          <w:pgMar w:left="320" w:top="54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87261Y106</w:t>
            </w:r>
          </w:p>
        </w:tc>
        <w:tc>
          <w:tcPr>
            <w:tcW w:w="458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9</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w:t>
      </w:r>
    </w:p>
    <w:p>
      <w:pPr>
        <w:spacing w:after="0" w:line="15" w:lineRule="exact"/>
        <w:rPr>
          <w:sz w:val="20"/>
          <w:szCs w:val="20"/>
          <w:color w:val="auto"/>
        </w:rPr>
      </w:pPr>
    </w:p>
    <w:p>
      <w:pPr>
        <w:ind w:left="1740" w:hanging="517"/>
        <w:spacing w:after="0"/>
        <w:tabs>
          <w:tab w:leader="none" w:pos="17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Name of Issuer</w:t>
      </w:r>
      <w:r>
        <w:rPr>
          <w:rFonts w:ascii="Arial" w:cs="Arial" w:eastAsia="Arial" w:hAnsi="Arial"/>
          <w:sz w:val="18"/>
          <w:szCs w:val="18"/>
          <w:color w:val="auto"/>
        </w:rPr>
        <w:t>:</w:t>
      </w:r>
    </w:p>
    <w:p>
      <w:pPr>
        <w:spacing w:after="0" w:line="226"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TMC the metals Co Inc.</w:t>
      </w:r>
    </w:p>
    <w:p>
      <w:pPr>
        <w:spacing w:after="0" w:line="230" w:lineRule="exact"/>
        <w:rPr>
          <w:rFonts w:ascii="Arial" w:cs="Arial" w:eastAsia="Arial" w:hAnsi="Arial"/>
          <w:sz w:val="18"/>
          <w:szCs w:val="18"/>
          <w:color w:val="auto"/>
        </w:rPr>
      </w:pPr>
    </w:p>
    <w:p>
      <w:pPr>
        <w:ind w:left="1740" w:hanging="517"/>
        <w:spacing w:after="0"/>
        <w:tabs>
          <w:tab w:leader="none" w:pos="17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1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595 Howe Street, 10th Floor</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Vancouver, British Columbia V6C 2T5</w:t>
      </w:r>
    </w:p>
    <w:p>
      <w:pPr>
        <w:spacing w:after="0" w:line="217" w:lineRule="exact"/>
        <w:rPr>
          <w:sz w:val="20"/>
          <w:szCs w:val="20"/>
          <w:color w:val="auto"/>
        </w:rPr>
      </w:pPr>
    </w:p>
    <w:p>
      <w:pPr>
        <w:spacing w:after="0"/>
        <w:tabs>
          <w:tab w:leader="none" w:pos="1200" w:val="left"/>
          <w:tab w:leader="none" w:pos="172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15" w:lineRule="exact"/>
        <w:rPr>
          <w:sz w:val="20"/>
          <w:szCs w:val="20"/>
          <w:color w:val="auto"/>
        </w:rPr>
      </w:pPr>
    </w:p>
    <w:p>
      <w:pPr>
        <w:ind w:left="1740" w:hanging="517"/>
        <w:spacing w:after="0"/>
        <w:tabs>
          <w:tab w:leader="none" w:pos="17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740" w:hanging="517"/>
        <w:spacing w:after="0"/>
        <w:tabs>
          <w:tab w:leader="none" w:pos="17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left="1740" w:right="6900"/>
        <w:spacing w:after="0" w:line="284" w:lineRule="auto"/>
        <w:rPr>
          <w:rFonts w:ascii="Arial" w:cs="Arial" w:eastAsia="Arial" w:hAnsi="Arial"/>
          <w:sz w:val="18"/>
          <w:szCs w:val="18"/>
          <w:color w:val="auto"/>
        </w:rPr>
      </w:pPr>
      <w:r>
        <w:rPr>
          <w:rFonts w:ascii="Arial" w:cs="Arial" w:eastAsia="Arial" w:hAnsi="Arial"/>
          <w:sz w:val="16"/>
          <w:szCs w:val="16"/>
          <w:color w:val="auto"/>
        </w:rPr>
        <w:t>Integrated Core Strategies (US) LLC c/o Millennium Management LLC 399 Park Avenue</w:t>
      </w:r>
    </w:p>
    <w:p>
      <w:pPr>
        <w:spacing w:after="0" w:line="1" w:lineRule="exact"/>
        <w:rPr>
          <w:rFonts w:ascii="Arial" w:cs="Arial" w:eastAsia="Arial" w:hAnsi="Arial"/>
          <w:sz w:val="18"/>
          <w:szCs w:val="18"/>
          <w:color w:val="auto"/>
        </w:rPr>
      </w:pPr>
    </w:p>
    <w:p>
      <w:pPr>
        <w:ind w:left="1740" w:right="748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ICS Opportunities, Ltd.</w:t>
      </w:r>
    </w:p>
    <w:p>
      <w:pPr>
        <w:spacing w:after="0" w:line="15" w:lineRule="exact"/>
        <w:rPr>
          <w:rFonts w:ascii="Arial" w:cs="Arial" w:eastAsia="Arial" w:hAnsi="Arial"/>
          <w:sz w:val="18"/>
          <w:szCs w:val="18"/>
          <w:color w:val="auto"/>
        </w:rPr>
      </w:pPr>
    </w:p>
    <w:p>
      <w:pPr>
        <w:ind w:left="1740" w:right="6260"/>
        <w:spacing w:after="0" w:line="250" w:lineRule="auto"/>
        <w:rPr>
          <w:rFonts w:ascii="Arial" w:cs="Arial" w:eastAsia="Arial" w:hAnsi="Arial"/>
          <w:sz w:val="18"/>
          <w:szCs w:val="18"/>
          <w:color w:val="auto"/>
        </w:rPr>
      </w:pPr>
      <w:r>
        <w:rPr>
          <w:rFonts w:ascii="Arial" w:cs="Arial" w:eastAsia="Arial" w:hAnsi="Arial"/>
          <w:sz w:val="18"/>
          <w:szCs w:val="18"/>
          <w:color w:val="auto"/>
        </w:rPr>
        <w:t>c/o Millennium International Management LP 399 Park Avenue</w:t>
      </w:r>
    </w:p>
    <w:p>
      <w:pPr>
        <w:jc w:val="both"/>
        <w:ind w:left="1740" w:right="748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Cayman Islands</w:t>
      </w:r>
    </w:p>
    <w:p>
      <w:pPr>
        <w:spacing w:after="0" w:line="146"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Integrated Assets, Ltd.</w:t>
      </w:r>
    </w:p>
    <w:p>
      <w:pPr>
        <w:spacing w:after="0" w:line="15" w:lineRule="exact"/>
        <w:rPr>
          <w:rFonts w:ascii="Arial" w:cs="Arial" w:eastAsia="Arial" w:hAnsi="Arial"/>
          <w:sz w:val="18"/>
          <w:szCs w:val="18"/>
          <w:color w:val="auto"/>
        </w:rPr>
      </w:pPr>
    </w:p>
    <w:p>
      <w:pPr>
        <w:ind w:left="1740" w:right="6260"/>
        <w:spacing w:after="0" w:line="250" w:lineRule="auto"/>
        <w:rPr>
          <w:rFonts w:ascii="Arial" w:cs="Arial" w:eastAsia="Arial" w:hAnsi="Arial"/>
          <w:sz w:val="18"/>
          <w:szCs w:val="18"/>
          <w:color w:val="auto"/>
        </w:rPr>
      </w:pPr>
      <w:r>
        <w:rPr>
          <w:rFonts w:ascii="Arial" w:cs="Arial" w:eastAsia="Arial" w:hAnsi="Arial"/>
          <w:sz w:val="18"/>
          <w:szCs w:val="18"/>
          <w:color w:val="auto"/>
        </w:rPr>
        <w:t>c/o Millennium International Management LP 399 Park Avenue</w:t>
      </w:r>
    </w:p>
    <w:p>
      <w:pPr>
        <w:jc w:val="both"/>
        <w:ind w:left="1740" w:right="748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Cayman Islands</w:t>
      </w:r>
    </w:p>
    <w:p>
      <w:pPr>
        <w:spacing w:after="0" w:line="146" w:lineRule="exact"/>
        <w:rPr>
          <w:rFonts w:ascii="Arial" w:cs="Arial" w:eastAsia="Arial" w:hAnsi="Arial"/>
          <w:sz w:val="18"/>
          <w:szCs w:val="18"/>
          <w:color w:val="auto"/>
        </w:rPr>
      </w:pPr>
    </w:p>
    <w:p>
      <w:pPr>
        <w:ind w:left="1740" w:right="6520"/>
        <w:spacing w:after="0" w:line="254" w:lineRule="auto"/>
        <w:rPr>
          <w:rFonts w:ascii="Arial" w:cs="Arial" w:eastAsia="Arial" w:hAnsi="Arial"/>
          <w:sz w:val="18"/>
          <w:szCs w:val="18"/>
          <w:color w:val="auto"/>
        </w:rPr>
      </w:pPr>
      <w:r>
        <w:rPr>
          <w:rFonts w:ascii="Arial" w:cs="Arial" w:eastAsia="Arial" w:hAnsi="Arial"/>
          <w:sz w:val="18"/>
          <w:szCs w:val="18"/>
          <w:color w:val="auto"/>
        </w:rPr>
        <w:t>Millennium International Management LP 399 Park Avenue</w:t>
      </w:r>
    </w:p>
    <w:p>
      <w:pPr>
        <w:ind w:left="1740" w:right="748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740" w:right="7320"/>
        <w:spacing w:after="0" w:line="254" w:lineRule="auto"/>
        <w:rPr>
          <w:rFonts w:ascii="Arial" w:cs="Arial" w:eastAsia="Arial" w:hAnsi="Arial"/>
          <w:sz w:val="18"/>
          <w:szCs w:val="18"/>
          <w:color w:val="auto"/>
        </w:rPr>
      </w:pPr>
      <w:r>
        <w:rPr>
          <w:rFonts w:ascii="Arial" w:cs="Arial" w:eastAsia="Arial" w:hAnsi="Arial"/>
          <w:sz w:val="18"/>
          <w:szCs w:val="18"/>
          <w:color w:val="auto"/>
        </w:rPr>
        <w:t>Millennium Management LLC 399 Park Avenue</w:t>
      </w:r>
    </w:p>
    <w:p>
      <w:pPr>
        <w:ind w:left="1740" w:right="748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740" w:right="6840"/>
        <w:spacing w:after="0" w:line="254" w:lineRule="auto"/>
        <w:rPr>
          <w:rFonts w:ascii="Arial" w:cs="Arial" w:eastAsia="Arial" w:hAnsi="Arial"/>
          <w:sz w:val="18"/>
          <w:szCs w:val="18"/>
          <w:color w:val="auto"/>
        </w:rPr>
      </w:pPr>
      <w:r>
        <w:rPr>
          <w:rFonts w:ascii="Arial" w:cs="Arial" w:eastAsia="Arial" w:hAnsi="Arial"/>
          <w:sz w:val="18"/>
          <w:szCs w:val="18"/>
          <w:color w:val="auto"/>
        </w:rPr>
        <w:t>Millennium Group Management LLC 399 Park Avenue</w:t>
      </w:r>
    </w:p>
    <w:p>
      <w:pPr>
        <w:ind w:left="1740" w:right="748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Israel A. Englander</w:t>
      </w:r>
    </w:p>
    <w:p>
      <w:pPr>
        <w:spacing w:after="0" w:line="15" w:lineRule="exact"/>
        <w:rPr>
          <w:rFonts w:ascii="Arial" w:cs="Arial" w:eastAsia="Arial" w:hAnsi="Arial"/>
          <w:sz w:val="18"/>
          <w:szCs w:val="18"/>
          <w:color w:val="auto"/>
        </w:rPr>
      </w:pPr>
    </w:p>
    <w:p>
      <w:pPr>
        <w:ind w:left="1740" w:right="706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399 Park Avenue</w:t>
      </w:r>
    </w:p>
    <w:p>
      <w:pPr>
        <w:ind w:left="1740" w:right="748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United States</w:t>
      </w:r>
    </w:p>
    <w:p>
      <w:pPr>
        <w:spacing w:after="0" w:line="146" w:lineRule="exact"/>
        <w:rPr>
          <w:rFonts w:ascii="Arial" w:cs="Arial" w:eastAsia="Arial" w:hAnsi="Arial"/>
          <w:sz w:val="18"/>
          <w:szCs w:val="18"/>
          <w:color w:val="auto"/>
        </w:rPr>
      </w:pPr>
    </w:p>
    <w:p>
      <w:pPr>
        <w:ind w:left="1740" w:hanging="517"/>
        <w:spacing w:after="0"/>
        <w:tabs>
          <w:tab w:leader="none" w:pos="17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common shares, without par value ("Common Shares")</w:t>
      </w:r>
    </w:p>
    <w:p>
      <w:pPr>
        <w:spacing w:after="0" w:line="252" w:lineRule="exact"/>
        <w:rPr>
          <w:rFonts w:ascii="Arial" w:cs="Arial" w:eastAsia="Arial" w:hAnsi="Arial"/>
          <w:sz w:val="18"/>
          <w:szCs w:val="18"/>
          <w:color w:val="auto"/>
        </w:rPr>
      </w:pPr>
    </w:p>
    <w:p>
      <w:pPr>
        <w:ind w:left="1740" w:right="8320" w:hanging="517"/>
        <w:spacing w:after="0" w:line="613" w:lineRule="auto"/>
        <w:tabs>
          <w:tab w:leader="none" w:pos="174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 xml:space="preserve">CUSIP Number: </w:t>
      </w:r>
      <w:r>
        <w:rPr>
          <w:rFonts w:ascii="Arial" w:cs="Arial" w:eastAsia="Arial" w:hAnsi="Arial"/>
          <w:sz w:val="16"/>
          <w:szCs w:val="16"/>
          <w:color w:val="auto"/>
        </w:rPr>
        <w:t>87261Y106</w:t>
      </w:r>
    </w:p>
    <w:p>
      <w:pPr>
        <w:sectPr>
          <w:pgSz w:w="11900" w:h="16838" w:orient="portrait"/>
          <w:cols w:equalWidth="0" w:num="1">
            <w:col w:w="11240"/>
          </w:cols>
          <w:pgMar w:left="320" w:top="332"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6"/>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87261Y106</w:t>
            </w:r>
          </w:p>
        </w:tc>
        <w:tc>
          <w:tcPr>
            <w:tcW w:w="452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90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10</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3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If this statement is filed pursuant to Rule 13d-1(b), or 13d-2(b), check whether the person filing is a:</w:t>
      </w:r>
    </w:p>
    <w:p>
      <w:pPr>
        <w:spacing w:after="0" w:line="185" w:lineRule="exact"/>
        <w:rPr>
          <w:sz w:val="20"/>
          <w:szCs w:val="20"/>
          <w:color w:val="auto"/>
        </w:rPr>
      </w:pPr>
    </w:p>
    <w:p>
      <w:pPr>
        <w:ind w:left="920" w:hanging="453"/>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ectPr>
          <w:pgSz w:w="11900" w:h="16838" w:orient="portrait"/>
          <w:cols w:equalWidth="0" w:num="1">
            <w:col w:w="11240"/>
          </w:cols>
          <w:pgMar w:left="320" w:top="54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87261Y106</w:t>
            </w:r>
          </w:p>
        </w:tc>
        <w:tc>
          <w:tcPr>
            <w:tcW w:w="456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11</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4" w:lineRule="exact"/>
        <w:rPr>
          <w:sz w:val="20"/>
          <w:szCs w:val="20"/>
          <w:color w:val="auto"/>
        </w:rPr>
      </w:pPr>
    </w:p>
    <w:p>
      <w:pPr>
        <w:ind w:left="920" w:hanging="453"/>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360" w:right="380" w:hanging="893"/>
        <w:spacing w:after="0" w:line="268" w:lineRule="auto"/>
        <w:tabs>
          <w:tab w:leader="none" w:pos="9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85" w:lineRule="exact"/>
        <w:rPr>
          <w:rFonts w:ascii="Arial" w:cs="Arial" w:eastAsia="Arial" w:hAnsi="Arial"/>
          <w:sz w:val="18"/>
          <w:szCs w:val="18"/>
          <w:color w:val="auto"/>
        </w:rPr>
      </w:pPr>
    </w:p>
    <w:p>
      <w:pPr>
        <w:ind w:left="920" w:hanging="453"/>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Ownership</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Amount Beneficially Owned:</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See response to Item 9 on each cover page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 Percent of Class:</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See response to Item 11 on each cover page.</w:t>
      </w:r>
    </w:p>
    <w:p>
      <w:pPr>
        <w:spacing w:after="0" w:line="185" w:lineRule="exact"/>
        <w:rPr>
          <w:sz w:val="20"/>
          <w:szCs w:val="20"/>
          <w:color w:val="auto"/>
        </w:rPr>
      </w:pPr>
    </w:p>
    <w:p>
      <w:pPr>
        <w:jc w:val="both"/>
        <w:ind w:firstLine="201"/>
        <w:spacing w:after="0" w:line="259" w:lineRule="auto"/>
        <w:rPr>
          <w:sz w:val="20"/>
          <w:szCs w:val="20"/>
          <w:color w:val="auto"/>
        </w:rPr>
      </w:pPr>
      <w:r>
        <w:rPr>
          <w:rFonts w:ascii="Arial" w:cs="Arial" w:eastAsia="Arial" w:hAnsi="Arial"/>
          <w:sz w:val="18"/>
          <w:szCs w:val="18"/>
          <w:color w:val="auto"/>
        </w:rPr>
        <w:t>For each reporting person, the percent of the class reported herein as beneficially owned by such reporting person gives effect to shares deemed to be outstanding as provided in Rule 13d-3(d)(1)(i), if any, presuming that all those warrants to purchase shares of the class reported herein that are held or otherwise controlled by any reporting person are exercisable within sixty days of the date hereof.</w:t>
      </w:r>
    </w:p>
    <w:p>
      <w:pPr>
        <w:sectPr>
          <w:pgSz w:w="11900" w:h="16838" w:orient="portrait"/>
          <w:cols w:equalWidth="0" w:num="1">
            <w:col w:w="11240"/>
          </w:cols>
          <w:pgMar w:left="320" w:top="332"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87261Y106</w:t>
            </w:r>
          </w:p>
        </w:tc>
        <w:tc>
          <w:tcPr>
            <w:tcW w:w="456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12</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164" w:lineRule="exact"/>
        <w:rPr>
          <w:sz w:val="20"/>
          <w:szCs w:val="20"/>
          <w:color w:val="auto"/>
        </w:rPr>
      </w:pPr>
    </w:p>
    <w:p>
      <w:pPr>
        <w:ind w:left="300" w:hanging="248"/>
        <w:spacing w:after="0"/>
        <w:tabs>
          <w:tab w:leader="none" w:pos="300" w:val="left"/>
        </w:tabs>
        <w:numPr>
          <w:ilvl w:val="0"/>
          <w:numId w:val="2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Number of shares as to which such person has:</w:t>
      </w:r>
    </w:p>
    <w:p>
      <w:pPr>
        <w:spacing w:after="0" w:line="184" w:lineRule="exact"/>
        <w:rPr>
          <w:rFonts w:ascii="Arial" w:cs="Arial" w:eastAsia="Arial" w:hAnsi="Arial"/>
          <w:sz w:val="18"/>
          <w:szCs w:val="18"/>
          <w:u w:val="single" w:color="auto"/>
          <w:color w:val="auto"/>
        </w:rPr>
      </w:pPr>
    </w:p>
    <w:p>
      <w:pPr>
        <w:ind w:left="680" w:right="7540" w:hanging="132"/>
        <w:spacing w:after="0" w:line="544" w:lineRule="auto"/>
        <w:tabs>
          <w:tab w:leader="none" w:pos="758" w:val="left"/>
        </w:tabs>
        <w:numPr>
          <w:ilvl w:val="1"/>
          <w:numId w:val="20"/>
        </w:numPr>
        <w:rPr>
          <w:rFonts w:ascii="Arial" w:cs="Arial" w:eastAsia="Arial" w:hAnsi="Arial"/>
          <w:sz w:val="15"/>
          <w:szCs w:val="15"/>
          <w:color w:val="auto"/>
        </w:rPr>
      </w:pPr>
      <w:r>
        <w:rPr>
          <w:rFonts w:ascii="Arial" w:cs="Arial" w:eastAsia="Arial" w:hAnsi="Arial"/>
          <w:sz w:val="15"/>
          <w:szCs w:val="15"/>
          <w:color w:val="auto"/>
        </w:rPr>
        <w:t>Sole power to vote or to direct the vote See response to Item 5 on each cover page.</w:t>
      </w:r>
    </w:p>
    <w:p>
      <w:pPr>
        <w:spacing w:after="0" w:line="1" w:lineRule="exact"/>
        <w:rPr>
          <w:rFonts w:ascii="Arial" w:cs="Arial" w:eastAsia="Arial" w:hAnsi="Arial"/>
          <w:sz w:val="15"/>
          <w:szCs w:val="15"/>
          <w:color w:val="auto"/>
        </w:rPr>
      </w:pPr>
    </w:p>
    <w:p>
      <w:pPr>
        <w:jc w:val="both"/>
        <w:ind w:left="680" w:right="7520" w:hanging="132"/>
        <w:spacing w:after="0" w:line="544" w:lineRule="auto"/>
        <w:tabs>
          <w:tab w:leader="none" w:pos="807" w:val="left"/>
        </w:tabs>
        <w:numPr>
          <w:ilvl w:val="1"/>
          <w:numId w:val="20"/>
        </w:numPr>
        <w:rPr>
          <w:rFonts w:ascii="Arial" w:cs="Arial" w:eastAsia="Arial" w:hAnsi="Arial"/>
          <w:sz w:val="15"/>
          <w:szCs w:val="15"/>
          <w:color w:val="auto"/>
        </w:rPr>
      </w:pPr>
      <w:r>
        <w:rPr>
          <w:rFonts w:ascii="Arial" w:cs="Arial" w:eastAsia="Arial" w:hAnsi="Arial"/>
          <w:sz w:val="15"/>
          <w:szCs w:val="15"/>
          <w:color w:val="auto"/>
        </w:rPr>
        <w:t>Shared power to vote or to direct the vote See response to Item 6 on each cover page.</w:t>
      </w:r>
    </w:p>
    <w:p>
      <w:pPr>
        <w:spacing w:after="0" w:line="1" w:lineRule="exact"/>
        <w:rPr>
          <w:rFonts w:ascii="Arial" w:cs="Arial" w:eastAsia="Arial" w:hAnsi="Arial"/>
          <w:sz w:val="15"/>
          <w:szCs w:val="15"/>
          <w:color w:val="auto"/>
        </w:rPr>
      </w:pPr>
    </w:p>
    <w:p>
      <w:pPr>
        <w:ind w:left="680" w:right="6760" w:hanging="132"/>
        <w:spacing w:after="0" w:line="510" w:lineRule="auto"/>
        <w:tabs>
          <w:tab w:leader="none" w:pos="856" w:val="left"/>
        </w:tabs>
        <w:numPr>
          <w:ilvl w:val="1"/>
          <w:numId w:val="20"/>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response to Item 7 on each cover page.</w:t>
      </w:r>
    </w:p>
    <w:p>
      <w:pPr>
        <w:spacing w:after="0" w:line="1" w:lineRule="exact"/>
        <w:rPr>
          <w:rFonts w:ascii="Arial" w:cs="Arial" w:eastAsia="Arial" w:hAnsi="Arial"/>
          <w:sz w:val="16"/>
          <w:szCs w:val="16"/>
          <w:color w:val="auto"/>
        </w:rPr>
      </w:pPr>
    </w:p>
    <w:p>
      <w:pPr>
        <w:ind w:left="840" w:hanging="292"/>
        <w:spacing w:after="0"/>
        <w:tabs>
          <w:tab w:leader="none" w:pos="8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See response to Item 8 on each cover page.</w:t>
      </w:r>
    </w:p>
    <w:p>
      <w:pPr>
        <w:spacing w:after="0" w:line="185" w:lineRule="exact"/>
        <w:rPr>
          <w:sz w:val="20"/>
          <w:szCs w:val="20"/>
          <w:color w:val="auto"/>
        </w:rPr>
      </w:pPr>
    </w:p>
    <w:p>
      <w:pPr>
        <w:jc w:val="both"/>
        <w:ind w:firstLine="134"/>
        <w:spacing w:after="0" w:line="294" w:lineRule="auto"/>
        <w:rPr>
          <w:sz w:val="20"/>
          <w:szCs w:val="20"/>
          <w:color w:val="auto"/>
        </w:rPr>
      </w:pPr>
      <w:r>
        <w:rPr>
          <w:rFonts w:ascii="Arial" w:cs="Arial" w:eastAsia="Arial" w:hAnsi="Arial"/>
          <w:sz w:val="16"/>
          <w:szCs w:val="16"/>
          <w:color w:val="auto"/>
        </w:rPr>
        <w:t>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Ownership of Five Percent or Less of a Class</w:t>
      </w:r>
    </w:p>
    <w:p>
      <w:pPr>
        <w:spacing w:after="0" w:line="185" w:lineRule="exact"/>
        <w:rPr>
          <w:sz w:val="20"/>
          <w:szCs w:val="20"/>
          <w:color w:val="auto"/>
        </w:rPr>
      </w:pPr>
    </w:p>
    <w:p>
      <w:pPr>
        <w:jc w:val="both"/>
        <w:ind w:firstLine="14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þ .</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Exhibit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59"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3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87261Y106</w:t>
            </w:r>
          </w:p>
        </w:tc>
        <w:tc>
          <w:tcPr>
            <w:tcW w:w="454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13</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85"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Exhibit I: Joint Filing Agreement, dated as of February 11, 2022, by and among Integrated Core Strategies (US) LLC, ICS Opportunities, Ltd., Integrated Assets, Ltd., Millennium International Management LP, Millennium Management LLC, Millennium Group Management LLC and Israel A. Englander.</w:t>
      </w:r>
    </w:p>
    <w:p>
      <w:pPr>
        <w:sectPr>
          <w:pgSz w:w="11900" w:h="16838" w:orient="portrait"/>
          <w:cols w:equalWidth="0" w:num="1">
            <w:col w:w="11240"/>
          </w:cols>
          <w:pgMar w:left="320" w:top="33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87261Y106</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14</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19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2022</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LTD.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ASSETS, LTD.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p>
      <w:pPr>
        <w:sectPr>
          <w:pgSz w:w="11900" w:h="16838" w:orient="portrait"/>
          <w:cols w:equalWidth="0" w:num="1">
            <w:col w:w="11240"/>
          </w:cols>
          <w:pgMar w:left="320" w:top="332"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87261Y106</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15</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19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EXHIBIT I</w:t>
      </w: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JOINT FILING AGREEMENT</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Shares, without par value, of TMC the metals Co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2022</w:t>
      </w:r>
    </w:p>
    <w:p>
      <w:pPr>
        <w:spacing w:after="0" w:line="20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LTD.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ASSETS, LTD.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sectPr>
      <w:pgSz w:w="11900" w:h="16838" w:orient="portrait"/>
      <w:cols w:equalWidth="0" w:num="1">
        <w:col w:w="11240"/>
      </w:cols>
      <w:pgMar w:left="320" w:top="332" w:right="339" w:bottom="5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
      <w:numFmt w:val="bullet"/>
      <w:start w:val="1"/>
    </w:lvl>
  </w:abstractNum>
  <w:abstractNum w:abstractNumId="1">
    <w:nsid w:val="1F16E9E8"/>
    <w:multiLevelType w:val="hybridMultilevel"/>
    <w:lvl w:ilvl="0">
      <w:lvlJc w:val="left"/>
      <w:lvlText w:val="2"/>
      <w:numFmt w:val="bullet"/>
      <w:start w:val="1"/>
    </w:lvl>
    <w:lvl w:ilvl="1">
      <w:lvlJc w:val="left"/>
      <w:lvlText w:val="(%2)"/>
      <w:numFmt w:val="lowerLetter"/>
      <w:start w:val="2"/>
    </w:lvl>
  </w:abstractNum>
  <w:abstractNum w:abstractNumId="2">
    <w:nsid w:val="1190CDE7"/>
    <w:multiLevelType w:val="hybridMultilevel"/>
    <w:lvl w:ilvl="0">
      <w:lvlJc w:val="left"/>
      <w:lvlText w:val="3"/>
      <w:numFmt w:val="bullet"/>
      <w:start w:val="1"/>
    </w:lvl>
  </w:abstractNum>
  <w:abstractNum w:abstractNumId="3">
    <w:nsid w:val="66EF438D"/>
    <w:multiLevelType w:val="hybridMultilevel"/>
    <w:lvl w:ilvl="0">
      <w:lvlJc w:val="left"/>
      <w:lvlText w:val="2"/>
      <w:numFmt w:val="bullet"/>
      <w:start w:val="1"/>
    </w:lvl>
    <w:lvl w:ilvl="1">
      <w:lvlJc w:val="left"/>
      <w:lvlText w:val="(%2)"/>
      <w:numFmt w:val="lowerLetter"/>
      <w:start w:val="2"/>
    </w:lvl>
  </w:abstractNum>
  <w:abstractNum w:abstractNumId="4">
    <w:nsid w:val="140E0F76"/>
    <w:multiLevelType w:val="hybridMultilevel"/>
    <w:lvl w:ilvl="0">
      <w:lvlJc w:val="left"/>
      <w:lvlText w:val="3"/>
      <w:numFmt w:val="bullet"/>
      <w:start w:val="1"/>
    </w:lvl>
  </w:abstractNum>
  <w:abstractNum w:abstractNumId="5">
    <w:nsid w:val="3352255A"/>
    <w:multiLevelType w:val="hybridMultilevel"/>
    <w:lvl w:ilvl="0">
      <w:lvlJc w:val="left"/>
      <w:lvlText w:val="2"/>
      <w:numFmt w:val="bullet"/>
      <w:start w:val="1"/>
    </w:lvl>
    <w:lvl w:ilvl="1">
      <w:lvlJc w:val="left"/>
      <w:lvlText w:val="(%2)"/>
      <w:numFmt w:val="lowerLetter"/>
      <w:start w:val="2"/>
    </w:lvl>
  </w:abstractNum>
  <w:abstractNum w:abstractNumId="6">
    <w:nsid w:val="109CF92E"/>
    <w:multiLevelType w:val="hybridMultilevel"/>
    <w:lvl w:ilvl="0">
      <w:lvlJc w:val="left"/>
      <w:lvlText w:val="3"/>
      <w:numFmt w:val="bullet"/>
      <w:start w:val="1"/>
    </w:lvl>
  </w:abstractNum>
  <w:abstractNum w:abstractNumId="7">
    <w:nsid w:val="DED7263"/>
    <w:multiLevelType w:val="hybridMultilevel"/>
    <w:lvl w:ilvl="0">
      <w:lvlJc w:val="left"/>
      <w:lvlText w:val="2"/>
      <w:numFmt w:val="bullet"/>
      <w:start w:val="1"/>
    </w:lvl>
    <w:lvl w:ilvl="1">
      <w:lvlJc w:val="left"/>
      <w:lvlText w:val="(%2)"/>
      <w:numFmt w:val="lowerLetter"/>
      <w:start w:val="2"/>
    </w:lvl>
  </w:abstractNum>
  <w:abstractNum w:abstractNumId="8">
    <w:nsid w:val="7FDCC233"/>
    <w:multiLevelType w:val="hybridMultilevel"/>
    <w:lvl w:ilvl="0">
      <w:lvlJc w:val="left"/>
      <w:lvlText w:val="3"/>
      <w:numFmt w:val="bullet"/>
      <w:start w:val="1"/>
    </w:lvl>
  </w:abstractNum>
  <w:abstractNum w:abstractNumId="9">
    <w:nsid w:val="1BEFD79F"/>
    <w:multiLevelType w:val="hybridMultilevel"/>
    <w:lvl w:ilvl="0">
      <w:lvlJc w:val="left"/>
      <w:lvlText w:val="2"/>
      <w:numFmt w:val="bullet"/>
      <w:start w:val="1"/>
    </w:lvl>
    <w:lvl w:ilvl="1">
      <w:lvlJc w:val="left"/>
      <w:lvlText w:val="(%2)"/>
      <w:numFmt w:val="lowerLetter"/>
      <w:start w:val="2"/>
    </w:lvl>
  </w:abstractNum>
  <w:abstractNum w:abstractNumId="10">
    <w:nsid w:val="41A7C4C9"/>
    <w:multiLevelType w:val="hybridMultilevel"/>
    <w:lvl w:ilvl="0">
      <w:lvlJc w:val="left"/>
      <w:lvlText w:val="3"/>
      <w:numFmt w:val="bullet"/>
      <w:start w:val="1"/>
    </w:lvl>
  </w:abstractNum>
  <w:abstractNum w:abstractNumId="11">
    <w:nsid w:val="6B68079A"/>
    <w:multiLevelType w:val="hybridMultilevel"/>
    <w:lvl w:ilvl="0">
      <w:lvlJc w:val="left"/>
      <w:lvlText w:val="2"/>
      <w:numFmt w:val="bullet"/>
      <w:start w:val="1"/>
    </w:lvl>
    <w:lvl w:ilvl="1">
      <w:lvlJc w:val="left"/>
      <w:lvlText w:val="(%2)"/>
      <w:numFmt w:val="lowerLetter"/>
      <w:start w:val="2"/>
    </w:lvl>
  </w:abstractNum>
  <w:abstractNum w:abstractNumId="12">
    <w:nsid w:val="4E6AFB66"/>
    <w:multiLevelType w:val="hybridMultilevel"/>
    <w:lvl w:ilvl="0">
      <w:lvlJc w:val="left"/>
      <w:lvlText w:val="3"/>
      <w:numFmt w:val="bullet"/>
      <w:start w:val="1"/>
    </w:lvl>
  </w:abstractNum>
  <w:abstractNum w:abstractNumId="13">
    <w:nsid w:val="25E45D32"/>
    <w:multiLevelType w:val="hybridMultilevel"/>
    <w:lvl w:ilvl="0">
      <w:lvlJc w:val="left"/>
      <w:lvlText w:val="2"/>
      <w:numFmt w:val="bullet"/>
      <w:start w:val="1"/>
    </w:lvl>
    <w:lvl w:ilvl="1">
      <w:lvlJc w:val="left"/>
      <w:lvlText w:val="(%2)"/>
      <w:numFmt w:val="lowerLetter"/>
      <w:start w:val="2"/>
    </w:lvl>
  </w:abstractNum>
  <w:abstractNum w:abstractNumId="14">
    <w:nsid w:val="519B500D"/>
    <w:multiLevelType w:val="hybridMultilevel"/>
    <w:lvl w:ilvl="0">
      <w:lvlJc w:val="left"/>
      <w:lvlText w:val="3"/>
      <w:numFmt w:val="bullet"/>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2"/>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7"/>
    </w:lvl>
  </w:abstractNum>
  <w:abstractNum w:abstractNumId="19">
    <w:nsid w:val="62BBD95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2022-02-14T14:58:36Z</dcterms:created>
  <dcterms:modified xsi:type="dcterms:W3CDTF">2022-02-14T14:58:36Z</dcterms:modified>
</cp:coreProperties>
</file>