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2" w:lineRule="exact"/>
        <w:rPr>
          <w:sz w:val="24"/>
          <w:szCs w:val="24"/>
          <w:color w:val="auto"/>
        </w:rPr>
      </w:pPr>
    </w:p>
    <w:p>
      <w:pPr>
        <w:ind w:left="3840" w:right="2560" w:hanging="3832"/>
        <w:spacing w:after="0" w:line="334" w:lineRule="auto"/>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ANNUAL REPORT PURSUANT TO SECTION 13 OR 15(d) OF THE SECURITIES EXCHANGE ACT OF 1934 </w:t>
      </w:r>
      <w:r>
        <w:rPr>
          <w:rFonts w:ascii="Times New Roman" w:cs="Times New Roman" w:eastAsia="Times New Roman" w:hAnsi="Times New Roman"/>
          <w:sz w:val="14"/>
          <w:szCs w:val="14"/>
          <w:color w:val="auto"/>
        </w:rPr>
        <w:t>For the fiscal year ended December 31, 2024</w:t>
      </w: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6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90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For the transition period from</w:t>
            </w:r>
          </w:p>
        </w:tc>
        <w:tc>
          <w:tcPr>
            <w:tcW w:w="6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2"/>
              </w:rPr>
              <w:t>to</w:t>
            </w:r>
          </w:p>
        </w:tc>
      </w:tr>
      <w:tr>
        <w:trPr>
          <w:trHeight w:val="20"/>
        </w:trPr>
        <w:tc>
          <w:tcPr>
            <w:tcW w:w="17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3"/>
        </w:trPr>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Commission file number: 001-39281</w:t>
            </w:r>
          </w:p>
        </w:tc>
        <w:tc>
          <w:tcPr>
            <w:tcW w:w="100" w:type="dxa"/>
            <w:vAlign w:val="bottom"/>
          </w:tcPr>
          <w:p>
            <w:pPr>
              <w:spacing w:after="0"/>
              <w:rPr>
                <w:sz w:val="22"/>
                <w:szCs w:val="22"/>
                <w:color w:val="auto"/>
              </w:rPr>
            </w:pPr>
          </w:p>
        </w:tc>
      </w:tr>
    </w:tbl>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TMC THE METALS COMPANY INC.</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52" w:lineRule="exact"/>
        <w:rPr>
          <w:sz w:val="24"/>
          <w:szCs w:val="24"/>
          <w:color w:val="auto"/>
        </w:rPr>
      </w:pPr>
    </w:p>
    <w:tbl>
      <w:tblPr>
        <w:tblLayout w:type="fixed"/>
        <w:tblInd w:w="240" w:type="dxa"/>
        <w:tblCellMar>
          <w:top w:w="0" w:type="dxa"/>
          <w:left w:w="0" w:type="dxa"/>
          <w:bottom w:w="0" w:type="dxa"/>
          <w:right w:w="0" w:type="dxa"/>
        </w:tblCellMar>
      </w:tblPr>
      <w:tr>
        <w:trPr>
          <w:trHeight w:val="161"/>
        </w:trPr>
        <w:tc>
          <w:tcPr>
            <w:tcW w:w="392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1920" w:type="dxa"/>
            <w:vAlign w:val="bottom"/>
          </w:tcPr>
          <w:p>
            <w:pPr>
              <w:spacing w:after="0"/>
              <w:rPr>
                <w:sz w:val="13"/>
                <w:szCs w:val="13"/>
                <w:color w:val="auto"/>
              </w:rPr>
            </w:pPr>
          </w:p>
        </w:tc>
        <w:tc>
          <w:tcPr>
            <w:tcW w:w="336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0" w:type="dxa"/>
            <w:vAlign w:val="bottom"/>
          </w:tcPr>
          <w:p>
            <w:pPr>
              <w:spacing w:after="0"/>
              <w:rPr>
                <w:sz w:val="1"/>
                <w:szCs w:val="1"/>
                <w:color w:val="auto"/>
              </w:rPr>
            </w:pPr>
          </w:p>
        </w:tc>
      </w:tr>
      <w:tr>
        <w:trPr>
          <w:trHeight w:val="148"/>
        </w:trPr>
        <w:tc>
          <w:tcPr>
            <w:tcW w:w="392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i w:val="1"/>
                <w:iCs w:val="1"/>
                <w:color w:val="auto"/>
              </w:rPr>
              <w:t>(State or other jurisdiction</w:t>
            </w:r>
          </w:p>
        </w:tc>
        <w:tc>
          <w:tcPr>
            <w:tcW w:w="1920" w:type="dxa"/>
            <w:vAlign w:val="bottom"/>
          </w:tcPr>
          <w:p>
            <w:pPr>
              <w:spacing w:after="0"/>
              <w:rPr>
                <w:sz w:val="12"/>
                <w:szCs w:val="12"/>
                <w:color w:val="auto"/>
              </w:rPr>
            </w:pPr>
          </w:p>
        </w:tc>
        <w:tc>
          <w:tcPr>
            <w:tcW w:w="3360" w:type="dxa"/>
            <w:vAlign w:val="bottom"/>
          </w:tcPr>
          <w:p>
            <w:pPr>
              <w:jc w:val="center"/>
              <w:ind w:right="568"/>
              <w:spacing w:after="0" w:line="149" w:lineRule="exact"/>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190"/>
        </w:trPr>
        <w:tc>
          <w:tcPr>
            <w:tcW w:w="3920" w:type="dxa"/>
            <w:vAlign w:val="bottom"/>
          </w:tcPr>
          <w:p>
            <w:pPr>
              <w:jc w:val="center"/>
              <w:ind w:left="488"/>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tc>
        <w:tc>
          <w:tcPr>
            <w:tcW w:w="19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2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1111 West Hastings Street, 15th Floor</w:t>
            </w:r>
          </w:p>
        </w:tc>
        <w:tc>
          <w:tcPr>
            <w:tcW w:w="1920" w:type="dxa"/>
            <w:vAlign w:val="bottom"/>
          </w:tcPr>
          <w:p>
            <w:pPr>
              <w:spacing w:after="0"/>
              <w:rPr>
                <w:sz w:val="16"/>
                <w:szCs w:val="16"/>
                <w:color w:val="auto"/>
              </w:rPr>
            </w:pPr>
          </w:p>
        </w:tc>
        <w:tc>
          <w:tcPr>
            <w:tcW w:w="3360" w:type="dxa"/>
            <w:vAlign w:val="bottom"/>
            <w:vMerge w:val="restart"/>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V6E 2J3</w:t>
            </w:r>
          </w:p>
        </w:tc>
        <w:tc>
          <w:tcPr>
            <w:tcW w:w="0" w:type="dxa"/>
            <w:vAlign w:val="bottom"/>
          </w:tcPr>
          <w:p>
            <w:pPr>
              <w:spacing w:after="0"/>
              <w:rPr>
                <w:sz w:val="1"/>
                <w:szCs w:val="1"/>
                <w:color w:val="auto"/>
              </w:rPr>
            </w:pPr>
          </w:p>
        </w:tc>
      </w:tr>
      <w:tr>
        <w:trPr>
          <w:trHeight w:val="148"/>
        </w:trPr>
        <w:tc>
          <w:tcPr>
            <w:tcW w:w="3920" w:type="dxa"/>
            <w:vAlign w:val="bottom"/>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Vancouver, British Columbia</w:t>
            </w:r>
          </w:p>
        </w:tc>
        <w:tc>
          <w:tcPr>
            <w:tcW w:w="192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jc w:val="center"/>
              <w:ind w:left="48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92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(888) 458-3420</w:t>
            </w:r>
          </w:p>
        </w:tc>
        <w:tc>
          <w:tcPr>
            <w:tcW w:w="3360" w:type="dxa"/>
            <w:vAlign w:val="bottom"/>
          </w:tcPr>
          <w:p>
            <w:pPr>
              <w:jc w:val="center"/>
              <w:ind w:right="56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109"/>
        </w:trPr>
        <w:tc>
          <w:tcPr>
            <w:tcW w:w="392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920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230"/>
        </w:trPr>
        <w:tc>
          <w:tcPr>
            <w:tcW w:w="920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tc>
        <w:tc>
          <w:tcPr>
            <w:tcW w:w="0" w:type="dxa"/>
            <w:vAlign w:val="bottom"/>
          </w:tcPr>
          <w:p>
            <w:pPr>
              <w:spacing w:after="0"/>
              <w:rPr>
                <w:sz w:val="1"/>
                <w:szCs w:val="1"/>
                <w:color w:val="auto"/>
              </w:rPr>
            </w:pPr>
          </w:p>
        </w:tc>
      </w:tr>
      <w:tr>
        <w:trPr>
          <w:trHeight w:val="190"/>
        </w:trPr>
        <w:tc>
          <w:tcPr>
            <w:tcW w:w="39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6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9"/>
        </w:trPr>
        <w:tc>
          <w:tcPr>
            <w:tcW w:w="39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color w:val="auto"/>
              </w:rPr>
              <w:t>Common Shares, without par value</w:t>
            </w:r>
          </w:p>
        </w:tc>
        <w:tc>
          <w:tcPr>
            <w:tcW w:w="1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8"/>
              </w:rPr>
              <w:t>TMC</w:t>
            </w:r>
          </w:p>
        </w:tc>
        <w:tc>
          <w:tcPr>
            <w:tcW w:w="336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48"/>
        </w:trPr>
        <w:tc>
          <w:tcPr>
            <w:tcW w:w="392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color w:val="auto"/>
              </w:rPr>
              <w:t>Redeemable warrants, each whole warrant exercisable for one</w:t>
            </w:r>
          </w:p>
        </w:tc>
        <w:tc>
          <w:tcPr>
            <w:tcW w:w="1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TMCWW</w:t>
            </w:r>
          </w:p>
        </w:tc>
        <w:tc>
          <w:tcPr>
            <w:tcW w:w="336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392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Common Share, each at an exercise price of $11.50 per share</w:t>
            </w:r>
          </w:p>
        </w:tc>
        <w:tc>
          <w:tcPr>
            <w:tcW w:w="19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4"/>
          <w:szCs w:val="14"/>
          <w:color w:val="auto"/>
        </w:rPr>
        <w:t>Securities registered pursuant to Section 12(g) of the Exchange Act: None</w:t>
      </w:r>
    </w:p>
    <w:p>
      <w:pPr>
        <w:spacing w:after="0" w:line="27"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jc w:val="both"/>
        <w:ind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324"/>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16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382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73" w:lineRule="exact"/>
        <w:rPr>
          <w:sz w:val="24"/>
          <w:szCs w:val="24"/>
          <w:color w:val="auto"/>
        </w:rPr>
      </w:pPr>
    </w:p>
    <w:p>
      <w:pPr>
        <w:sectPr>
          <w:pgSz w:w="11900" w:h="16838" w:orient="portrait"/>
          <w:cols w:equalWidth="0" w:num="2">
            <w:col w:w="4240" w:space="720"/>
            <w:col w:w="4960"/>
          </w:cols>
          <w:pgMar w:left="980" w:top="661" w:right="999" w:bottom="1440" w:gutter="0" w:footer="0" w:header="0"/>
          <w:type w:val="continuous"/>
        </w:sectPr>
      </w:pPr>
    </w:p>
    <w:p>
      <w:pPr>
        <w:spacing w:after="0" w:line="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3" w:lineRule="exact"/>
        <w:rPr>
          <w:sz w:val="24"/>
          <w:szCs w:val="24"/>
          <w:color w:val="auto"/>
        </w:rPr>
      </w:pPr>
    </w:p>
    <w:p>
      <w:pPr>
        <w:sectPr>
          <w:pgSz w:w="11900" w:h="16838" w:orient="portrait"/>
          <w:cols w:equalWidth="0" w:num="2">
            <w:col w:w="4240" w:space="720"/>
            <w:col w:w="4960"/>
          </w:cols>
          <w:pgMar w:left="980" w:top="661" w:right="999" w:bottom="1440" w:gutter="0" w:footer="0" w:header="0"/>
          <w:type w:val="continuous"/>
        </w:sectPr>
      </w:pPr>
    </w:p>
    <w:p>
      <w:pPr>
        <w:jc w:val="both"/>
        <w:ind w:right="2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firstLine="324"/>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stock held by non-affiliates of the registrant (without admitting that any person whose shares are not included in such calculation is an affiliate) computed by reference to the price at which the common shares were last sold as of the last business day of the registrant’s most recently completed second fiscal quarter was $246,317,128.</w:t>
      </w:r>
    </w:p>
    <w:p>
      <w:pPr>
        <w:spacing w:after="0" w:line="1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March 20, 2025, the registrant had 347,910,742 common shares outstanding.</w:t>
      </w:r>
    </w:p>
    <w:p>
      <w:pPr>
        <w:spacing w:after="0" w:line="5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in connection with the registrant’s annual meeting of shareholders, scheduled to be held on May 29, 2025, are incorporated by reference in Part III of this report. Except as expressly incorporated by reference, such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461010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32385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74930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6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0000EE"/>
              </w:rPr>
              <w:t>PART 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88"/>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7620" w:type="dxa"/>
            <w:vAlign w:val="bottom"/>
            <w:gridSpan w:val="2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EE"/>
                <w:w w:val="71"/>
              </w:rPr>
              <w:t>1A.</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0"/>
              </w:rPr>
              <w:t>1B.</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0"/>
              </w:rPr>
              <w:t>1C.</w:t>
            </w:r>
          </w:p>
        </w:tc>
        <w:tc>
          <w:tcPr>
            <w:tcW w:w="160" w:type="dxa"/>
            <w:vAlign w:val="bottom"/>
          </w:tcPr>
          <w:p>
            <w:pPr>
              <w:spacing w:after="0"/>
              <w:rPr>
                <w:sz w:val="17"/>
                <w:szCs w:val="17"/>
                <w:color w:val="auto"/>
              </w:rPr>
            </w:pPr>
          </w:p>
        </w:tc>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22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top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260" w:type="dxa"/>
            <w:vAlign w:val="bottom"/>
            <w:gridSpan w:val="1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92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PART II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80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7"/>
                <w:szCs w:val="17"/>
                <w:color w:val="0000EE"/>
                <w:w w:val="71"/>
              </w:rPr>
              <w:t>7A.</w:t>
            </w:r>
          </w:p>
        </w:tc>
        <w:tc>
          <w:tcPr>
            <w:tcW w:w="16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90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EE"/>
                <w:w w:val="71"/>
              </w:rPr>
              <w:t>9A.</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0"/>
              </w:rPr>
              <w:t>9B.</w:t>
            </w:r>
          </w:p>
        </w:tc>
        <w:tc>
          <w:tcPr>
            <w:tcW w:w="1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50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0"/>
              </w:rPr>
              <w:t>9C.</w:t>
            </w:r>
          </w:p>
        </w:tc>
        <w:tc>
          <w:tcPr>
            <w:tcW w:w="160" w:type="dxa"/>
            <w:vAlign w:val="bottom"/>
          </w:tcPr>
          <w:p>
            <w:pPr>
              <w:spacing w:after="0"/>
              <w:rPr>
                <w:sz w:val="17"/>
                <w:szCs w:val="17"/>
                <w:color w:val="auto"/>
              </w:rPr>
            </w:pPr>
          </w:p>
        </w:tc>
        <w:tc>
          <w:tcPr>
            <w:tcW w:w="49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336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412"/>
        </w:trPr>
        <w:tc>
          <w:tcPr>
            <w:tcW w:w="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w w:val="96"/>
              </w:rPr>
              <w:t>PART III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20" w:type="dxa"/>
            <w:vAlign w:val="bottom"/>
            <w:tcBorders>
              <w:bottom w:val="single" w:sz="8" w:color="0000EE"/>
            </w:tcBorders>
          </w:tcPr>
          <w:p>
            <w:pPr>
              <w:spacing w:after="0"/>
              <w:rPr>
                <w:sz w:val="17"/>
                <w:szCs w:val="17"/>
                <w:color w:val="auto"/>
              </w:rPr>
            </w:pPr>
          </w:p>
        </w:tc>
        <w:tc>
          <w:tcPr>
            <w:tcW w:w="24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10.</w:t>
            </w:r>
          </w:p>
        </w:tc>
        <w:tc>
          <w:tcPr>
            <w:tcW w:w="160" w:type="dxa"/>
            <w:vAlign w:val="bottom"/>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16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11.</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12.</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13.</w:t>
            </w:r>
          </w:p>
        </w:tc>
        <w:tc>
          <w:tcPr>
            <w:tcW w:w="160" w:type="dxa"/>
            <w:vAlign w:val="bottom"/>
          </w:tcPr>
          <w:p>
            <w:pPr>
              <w:spacing w:after="0"/>
              <w:rPr>
                <w:sz w:val="17"/>
                <w:szCs w:val="17"/>
                <w:color w:val="auto"/>
              </w:rPr>
            </w:pPr>
          </w:p>
        </w:tc>
        <w:tc>
          <w:tcPr>
            <w:tcW w:w="72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14.</w:t>
            </w:r>
          </w:p>
        </w:tc>
        <w:tc>
          <w:tcPr>
            <w:tcW w:w="160" w:type="dxa"/>
            <w:vAlign w:val="bottom"/>
          </w:tcPr>
          <w:p>
            <w:pPr>
              <w:spacing w:after="0"/>
              <w:rPr>
                <w:sz w:val="17"/>
                <w:szCs w:val="17"/>
                <w:color w:val="auto"/>
              </w:rPr>
            </w:pPr>
          </w:p>
        </w:tc>
        <w:tc>
          <w:tcPr>
            <w:tcW w:w="5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282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w w:val="94"/>
              </w:rPr>
              <w:t>PART IV</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20" w:type="dxa"/>
            <w:vAlign w:val="bottom"/>
            <w:tcBorders>
              <w:bottom w:val="single" w:sz="8" w:color="0000EE"/>
            </w:tcBorders>
          </w:tcPr>
          <w:p>
            <w:pPr>
              <w:spacing w:after="0"/>
              <w:rPr>
                <w:sz w:val="17"/>
                <w:szCs w:val="17"/>
                <w:color w:val="auto"/>
              </w:rPr>
            </w:pPr>
          </w:p>
        </w:tc>
        <w:tc>
          <w:tcPr>
            <w:tcW w:w="24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15.</w:t>
            </w:r>
          </w:p>
        </w:tc>
        <w:tc>
          <w:tcPr>
            <w:tcW w:w="160" w:type="dxa"/>
            <w:vAlign w:val="bottom"/>
          </w:tcPr>
          <w:p>
            <w:pPr>
              <w:spacing w:after="0"/>
              <w:rPr>
                <w:sz w:val="17"/>
                <w:szCs w:val="17"/>
                <w:color w:val="auto"/>
              </w:rPr>
            </w:pPr>
          </w:p>
        </w:tc>
        <w:tc>
          <w:tcPr>
            <w:tcW w:w="31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510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79"/>
              </w:rPr>
              <w:t>16.</w:t>
            </w:r>
          </w:p>
        </w:tc>
        <w:tc>
          <w:tcPr>
            <w:tcW w:w="160" w:type="dxa"/>
            <w:vAlign w:val="bottom"/>
          </w:tcPr>
          <w:p>
            <w:pPr>
              <w:spacing w:after="0"/>
              <w:rPr>
                <w:sz w:val="17"/>
                <w:szCs w:val="17"/>
                <w:color w:val="auto"/>
              </w:rPr>
            </w:pPr>
          </w:p>
        </w:tc>
        <w:tc>
          <w:tcPr>
            <w:tcW w:w="8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60" w:type="dxa"/>
            <w:vAlign w:val="bottom"/>
            <w:tcBorders>
              <w:top w:val="single" w:sz="8" w:color="0000EE"/>
            </w:tcBorders>
            <w:gridSpan w:val="5"/>
          </w:tcPr>
          <w:p>
            <w:pPr>
              <w:spacing w:after="0"/>
              <w:rPr>
                <w:sz w:val="17"/>
                <w:szCs w:val="17"/>
                <w:color w:val="auto"/>
              </w:rPr>
            </w:pPr>
          </w:p>
        </w:tc>
        <w:tc>
          <w:tcPr>
            <w:tcW w:w="672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Annual Report on form 10-K (“Annual Report”), the terms “we,” “us,” “our,” “Company” and “TMC” mean TMC the metals company Inc. and our subsidiaries (“TMC”). Our common shares and warrants to purchase common shares are traded on the Nasdaq Global Select Market (“Nasdaq”) under the symbols “TMC” and “TMCWW,” respectively.</w:t>
      </w:r>
    </w:p>
    <w:p>
      <w:pPr>
        <w:spacing w:after="0" w:line="176"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As used in this Annual Report, “Mtpa” refers to millions of tonnes per year, “dmtu” refers to dry metric tonne unit, “TWh” refers to trillion-watt hours,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 refers to metric tonnes of carbon dioxide emissions equivalents and “w/w” refers to weight for weight.</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as used in this Annual Report, “critical metals” refers to the four metals contained in polymetallic nodules, nickel, copper, cobalt and manganese.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and other statistical data included in this Annual Report were obtained from industry publications, market research and publicly available information as well as publications and research conducted by or on behalf of TMC. Industry publications generally state that the information contained therein has been obtained from sources believed to be reliable, but that the accuracy and completeness of such information is not guaranteed. Similarly, market research and publicly available information, while believed to be reliable, have not been independently verified, and we do not make any representation as to the accuracy of such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service marks, trademarks and trade names appearing in this Annual Report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Annual Report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Annual Report include, but are not limited to, statements about:</w:t>
      </w:r>
    </w:p>
    <w:p>
      <w:pPr>
        <w:spacing w:after="0" w:line="190"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(“ESG”) impacts thereof and our plans to assess these impacts and the timing and scope of these plans, including the timing and expectations with respect to our receipt of exploitation contracts and our commercialization plans;</w:t>
      </w:r>
    </w:p>
    <w:p>
      <w:pPr>
        <w:spacing w:after="0" w:line="179"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nickel and cobalt (including critical metals and battery cathode feedstocks), steel-making feedstocks, copper cathode and manganese ores;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nickel and cobalt (including critical metals and battery cathode feedstocks), steel-making feedstocks, copper cathode and manganese ores;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the final exploitation regulations of the International Seabed Authority’s (“ISA”) that will create the legal and technical framework for exploitation of polymetallic nodules in the Clarion Clipperton Zone of the Pacific Ocean (“CCZ”) under the United Nations Convention on the Law of the Sea (“UNCLOS”);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and ship polymetallic nodules at sea, and to process such nodules on land;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the need for additional financing and our ability to continue as a going concern;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the nature of any such financing and our plans with respect thereto;</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and our ability to define and declare reserve estimates;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 (“PFIC”);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financial performance.</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Annual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this Annual Report and in other filings that we make with the Securities and Exchange Commission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(“CCZ”), approximately 1,500 miles (or 2,400 kilometers) south-west of San Diego, California.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in a single rock.</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these four metals contained in the polymetallic nodules are critical for energy infrastructure and industrial manufacturing. Our resource definition work to date shows that nodules in our contract areas represent the world’s largest estimated undeveloped resource of these critical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(“EV”) and energy storage markets, (ii) copper cathode for EV wiring,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rising demand.</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UNCLOS. The ISA grants contracts to sovereign states or to private contractors who are sponsored by a sovereign state. The ISA requires that a contractor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two of the 17 polymetallic nodule contract areas in the CCZ through our subsidiaries Nauru Ocean Resources Inc. (“NORI”) and Tonga Offshore Mining Limited (“TOML”), sponsored by the Republic of Nauru (“Nauru”) and the Kingdom of Tonga (“Tonga”), respectively. We are also in the initial stages of considering the possibility of a U.S.-based regulatory pathway with the U.S. National Oceanic and Atmospheric Administration (“NOAA”) and the U.S. Department of Commerce under the U.S. Deep Seabed Hard Mineral Resources Act (“DSHMRA”) for the commercial production of deep-sea polymetallic nodules in the CCZ.</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obtained any exploitation contracts from the ISA to commence commercial-scale polymetallic nodule collection in the CCZ. Additionally, we do not have the applicable environmental and/or other permits required to build and operate commercial-scale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Polymetallic Nodules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Deep-sea polymetallic nodules form on and just below the sediment-covered seafloor of the abyssal plains. These nodules contain significant amounts of metals, and their unique characteristic compared to terrestrial deposits is the presence of the four critical metals, nickel, copper, cobalt and manganese, in one deposit.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Polymetallic nodules in the CCZ possess the following characteristics: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640" w:type="dxa"/>
            <w:vAlign w:val="bottom"/>
            <w:tcBorders>
              <w:top w:val="single" w:sz="8" w:color="auto"/>
              <w:left w:val="single" w:sz="8" w:color="auto"/>
              <w:bottom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5280" w:type="dxa"/>
            <w:vAlign w:val="bottom"/>
            <w:tcBorders>
              <w:top w:val="single" w:sz="8" w:color="auto"/>
              <w:bottom w:val="single" w:sz="8" w:color="auto"/>
              <w:right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What it means</w:t>
            </w:r>
          </w:p>
        </w:tc>
      </w:tr>
      <w:tr>
        <w:trPr>
          <w:trHeight w:val="210"/>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Far removed from human communities</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need for social displacement</w:t>
            </w:r>
          </w:p>
        </w:tc>
      </w:tr>
      <w:tr>
        <w:trPr>
          <w:trHeight w:val="191"/>
        </w:trPr>
        <w:tc>
          <w:tcPr>
            <w:tcW w:w="4640" w:type="dxa"/>
            <w:vAlign w:val="bottom"/>
            <w:tcBorders>
              <w:left w:val="single" w:sz="8" w:color="auto"/>
              <w:right w:val="single" w:sz="8" w:color="auto"/>
            </w:tcBorders>
            <w:shd w:val="clear" w:color="auto" w:fill="A9AAAD"/>
          </w:tcPr>
          <w:p>
            <w:pPr>
              <w:ind w:left="20"/>
              <w:spacing w:after="0" w:line="191" w:lineRule="exact"/>
              <w:rPr>
                <w:sz w:val="20"/>
                <w:szCs w:val="20"/>
                <w:color w:val="auto"/>
              </w:rPr>
            </w:pPr>
            <w:r>
              <w:rPr>
                <w:rFonts w:ascii="Times New Roman" w:cs="Times New Roman" w:eastAsia="Times New Roman" w:hAnsi="Times New Roman"/>
                <w:sz w:val="18"/>
                <w:szCs w:val="18"/>
                <w:color w:val="auto"/>
              </w:rPr>
              <w:t>No vegetation or other obstructions covering access to</w:t>
            </w:r>
          </w:p>
        </w:tc>
        <w:tc>
          <w:tcPr>
            <w:tcW w:w="528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No need to remove overburden, no rock cutting or blasting</w:t>
            </w:r>
          </w:p>
        </w:tc>
      </w:tr>
      <w:tr>
        <w:trPr>
          <w:trHeight w:val="234"/>
        </w:trPr>
        <w:tc>
          <w:tcPr>
            <w:tcW w:w="464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nodules</w:t>
            </w:r>
          </w:p>
        </w:tc>
        <w:tc>
          <w:tcPr>
            <w:tcW w:w="5280" w:type="dxa"/>
            <w:vAlign w:val="bottom"/>
            <w:tcBorders>
              <w:bottom w:val="single" w:sz="8" w:color="auto"/>
              <w:right w:val="single" w:sz="8" w:color="auto"/>
            </w:tcBorders>
            <w:shd w:val="clear" w:color="auto" w:fill="A9AAAD"/>
          </w:tcPr>
          <w:p>
            <w:pPr>
              <w:spacing w:after="0"/>
              <w:rPr>
                <w:sz w:val="20"/>
                <w:szCs w:val="20"/>
                <w:color w:val="auto"/>
              </w:rPr>
            </w:pPr>
          </w:p>
        </w:tc>
      </w:tr>
      <w:tr>
        <w:trPr>
          <w:trHeight w:val="191"/>
        </w:trPr>
        <w:tc>
          <w:tcPr>
            <w:tcW w:w="46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Unbound to the seafloor, 96% of nodule mass in the top 5</w:t>
            </w:r>
          </w:p>
        </w:tc>
        <w:tc>
          <w:tcPr>
            <w:tcW w:w="5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 need for destructive rock cutting and excavation</w:t>
            </w:r>
          </w:p>
        </w:tc>
      </w:tr>
      <w:tr>
        <w:trPr>
          <w:trHeight w:val="234"/>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cm of seafloor</w:t>
            </w:r>
          </w:p>
        </w:tc>
        <w:tc>
          <w:tcPr>
            <w:tcW w:w="5280" w:type="dxa"/>
            <w:vAlign w:val="bottom"/>
            <w:tcBorders>
              <w:bottom w:val="single" w:sz="8" w:color="auto"/>
              <w:right w:val="single" w:sz="8" w:color="auto"/>
            </w:tcBorders>
          </w:tcPr>
          <w:p>
            <w:pPr>
              <w:spacing w:after="0"/>
              <w:rPr>
                <w:sz w:val="20"/>
                <w:szCs w:val="20"/>
                <w:color w:val="auto"/>
              </w:rPr>
            </w:pPr>
          </w:p>
        </w:tc>
      </w:tr>
      <w:tr>
        <w:trPr>
          <w:trHeight w:val="209"/>
        </w:trPr>
        <w:tc>
          <w:tcPr>
            <w:tcW w:w="464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High grades of four critical metals in a single ore</w:t>
            </w:r>
          </w:p>
        </w:tc>
        <w:tc>
          <w:tcPr>
            <w:tcW w:w="528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Less mass to process compared to land ores</w:t>
            </w:r>
          </w:p>
        </w:tc>
      </w:tr>
      <w:tr>
        <w:trPr>
          <w:trHeight w:val="209"/>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Low head-grade variability</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process</w:t>
            </w:r>
          </w:p>
        </w:tc>
      </w:tr>
      <w:tr>
        <w:trPr>
          <w:trHeight w:val="210"/>
        </w:trPr>
        <w:tc>
          <w:tcPr>
            <w:tcW w:w="464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2-10 cm diameter</w:t>
            </w:r>
          </w:p>
        </w:tc>
        <w:tc>
          <w:tcPr>
            <w:tcW w:w="528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Potentially easy to handle</w:t>
            </w:r>
          </w:p>
        </w:tc>
      </w:tr>
      <w:tr>
        <w:trPr>
          <w:trHeight w:val="209"/>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Microporous</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Potentially easy to smelt</w:t>
            </w:r>
          </w:p>
        </w:tc>
      </w:tr>
      <w:tr>
        <w:trPr>
          <w:trHeight w:val="191"/>
        </w:trPr>
        <w:tc>
          <w:tcPr>
            <w:tcW w:w="4640" w:type="dxa"/>
            <w:vAlign w:val="bottom"/>
            <w:tcBorders>
              <w:left w:val="single" w:sz="8" w:color="auto"/>
              <w:right w:val="single" w:sz="8" w:color="auto"/>
            </w:tcBorders>
            <w:shd w:val="clear" w:color="auto" w:fill="A9AAAD"/>
          </w:tcPr>
          <w:p>
            <w:pPr>
              <w:ind w:left="20"/>
              <w:spacing w:after="0" w:line="191" w:lineRule="exact"/>
              <w:rPr>
                <w:sz w:val="20"/>
                <w:szCs w:val="20"/>
                <w:color w:val="auto"/>
              </w:rPr>
            </w:pPr>
            <w:r>
              <w:rPr>
                <w:rFonts w:ascii="Times New Roman" w:cs="Times New Roman" w:eastAsia="Times New Roman" w:hAnsi="Times New Roman"/>
                <w:sz w:val="18"/>
                <w:szCs w:val="18"/>
                <w:color w:val="auto"/>
              </w:rPr>
              <w:t>Very low concentrations of certain hazardous elements like</w:t>
            </w:r>
          </w:p>
        </w:tc>
        <w:tc>
          <w:tcPr>
            <w:tcW w:w="5280" w:type="dxa"/>
            <w:vAlign w:val="bottom"/>
            <w:tcBorders>
              <w:right w:val="single" w:sz="8" w:color="auto"/>
            </w:tcBorders>
            <w:shd w:val="clear" w:color="auto" w:fill="A9AAAD"/>
          </w:tcPr>
          <w:p>
            <w:pPr>
              <w:spacing w:after="0" w:line="191" w:lineRule="exact"/>
              <w:rPr>
                <w:sz w:val="20"/>
                <w:szCs w:val="20"/>
                <w:color w:val="auto"/>
              </w:rPr>
            </w:pPr>
            <w:r>
              <w:rPr>
                <w:rFonts w:ascii="Times New Roman" w:cs="Times New Roman" w:eastAsia="Times New Roman" w:hAnsi="Times New Roman"/>
                <w:sz w:val="18"/>
                <w:szCs w:val="18"/>
                <w:color w:val="auto"/>
              </w:rPr>
              <w:t>Potential to productize almost 100% of nodule mass and design a</w:t>
            </w:r>
          </w:p>
        </w:tc>
      </w:tr>
      <w:tr>
        <w:trPr>
          <w:trHeight w:val="216"/>
        </w:trPr>
        <w:tc>
          <w:tcPr>
            <w:tcW w:w="4640" w:type="dxa"/>
            <w:vAlign w:val="bottom"/>
            <w:tcBorders>
              <w:left w:val="single" w:sz="8" w:color="auto"/>
              <w:right w:val="single" w:sz="8" w:color="auto"/>
            </w:tcBorders>
            <w:shd w:val="clear" w:color="auto" w:fill="A9AAAD"/>
          </w:tcPr>
          <w:p>
            <w:pPr>
              <w:ind w:left="20"/>
              <w:spacing w:after="0"/>
              <w:rPr>
                <w:sz w:val="20"/>
                <w:szCs w:val="20"/>
                <w:color w:val="auto"/>
              </w:rPr>
            </w:pPr>
            <w:r>
              <w:rPr>
                <w:rFonts w:ascii="Times New Roman" w:cs="Times New Roman" w:eastAsia="Times New Roman" w:hAnsi="Times New Roman"/>
                <w:sz w:val="18"/>
                <w:szCs w:val="18"/>
                <w:color w:val="auto"/>
              </w:rPr>
              <w:t>arsenic, antimony and mercury</w:t>
            </w:r>
          </w:p>
        </w:tc>
        <w:tc>
          <w:tcPr>
            <w:tcW w:w="5280" w:type="dxa"/>
            <w:vAlign w:val="bottom"/>
            <w:tcBorders>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metallurgical flowsheet that generates no tailings and leaves almost no</w:t>
            </w:r>
          </w:p>
        </w:tc>
      </w:tr>
      <w:tr>
        <w:trPr>
          <w:trHeight w:val="234"/>
        </w:trPr>
        <w:tc>
          <w:tcPr>
            <w:tcW w:w="4640" w:type="dxa"/>
            <w:vAlign w:val="bottom"/>
            <w:tcBorders>
              <w:left w:val="single" w:sz="8" w:color="auto"/>
              <w:bottom w:val="single" w:sz="8" w:color="auto"/>
              <w:right w:val="single" w:sz="8" w:color="auto"/>
            </w:tcBorders>
            <w:shd w:val="clear" w:color="auto" w:fill="A9AAAD"/>
          </w:tcPr>
          <w:p>
            <w:pPr>
              <w:spacing w:after="0"/>
              <w:rPr>
                <w:sz w:val="20"/>
                <w:szCs w:val="20"/>
                <w:color w:val="auto"/>
              </w:rPr>
            </w:pPr>
          </w:p>
        </w:tc>
        <w:tc>
          <w:tcPr>
            <w:tcW w:w="5280" w:type="dxa"/>
            <w:vAlign w:val="bottom"/>
            <w:tcBorders>
              <w:bottom w:val="single" w:sz="8" w:color="auto"/>
              <w:right w:val="single" w:sz="8" w:color="auto"/>
            </w:tcBorders>
            <w:shd w:val="clear" w:color="auto" w:fill="A9AAAD"/>
          </w:tcPr>
          <w:p>
            <w:pPr>
              <w:spacing w:after="0"/>
              <w:rPr>
                <w:sz w:val="20"/>
                <w:szCs w:val="20"/>
                <w:color w:val="auto"/>
              </w:rPr>
            </w:pPr>
            <w:r>
              <w:rPr>
                <w:rFonts w:ascii="Times New Roman" w:cs="Times New Roman" w:eastAsia="Times New Roman" w:hAnsi="Times New Roman"/>
                <w:sz w:val="18"/>
                <w:szCs w:val="18"/>
                <w:color w:val="auto"/>
              </w:rPr>
              <w:t>solid waste streams behind</w:t>
            </w: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above characteristics of polymetallic nodules may provide an opportunity to compress lifecycle environmental and social impacts of producing the critical metals contained in nodules as compared to land ores. In order to extract nickel, copper, cobalt and manganese from land ores, at least three different types of ores would need to be excavated.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the critical metals contained therein can help reduce several of these impacts associated with mining land ores. If our nodules are to be processed and refined in the United States (“U.S.”), we can also compress the current supply chain that some materials need to travel before reaching the U.S. from 50,000 miles down to 1,500 miles, while reducing dependency on China which dominates refining for critical metals such as nickel, cobalt and manganese.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Three of the four minerals contained in polymetallic nodules (nickel, copper and cobalt) are classified as critical in the world’s leading economies, meaning they are both essential to the country’s welfare and face considerable supply chain vulnerabilities. We also believe that manganese is critical for energy infrastructure and industrial manufacturing. Mining and, to a greater extent, processing of these metals are concentrated in or controlled by China. China is the largest producer of refined manganese, cobalt, and copper; while China is the second largest producer of refined nickel, it has substantial control of nickel processing in Indonesia, today’s leading global nickel supplier. An array of policies and agreements have been initiated in 2025 by the U.S. Government to combat critical mineral concentration including an executive order establishing a national energy emergency inclusive of mineral development and processing, plans to expedite mining and processing permitting, a variety of critical mineral agreements abroad, plans to locate metal refining on military bases, and an increase on tariffs for imported Chinese goods.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Given the wide range of environmental and social impacts associated with conventional land-based mining, we believe it is important to ensure that these large amounts of critical metals contained in nodules are sourced with the lowest environmental, social, and economic impacts possible. As the global supply of high-grade ore remains limited and metal demand increases, we can expect a larger environmental and social footprint, potential supply shortages and volatility in metal prices should land ores remain the only viable source of the critical metals contained in nodules.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Industries which represent end-use segments that require the critical metals contained in nodules are of particular interest to us and represent potential market opportunities. Nodules contain metals that can be employed for: (i) infrastructure (nickel, cobalt and manganese alloys for steel, jet engines and turbines), copper cables and wiring for power generation and transmission, and electronics),</w:t>
      </w:r>
    </w:p>
    <w:p>
      <w:pPr>
        <w:spacing w:after="0" w:line="1" w:lineRule="exact"/>
        <w:rPr>
          <w:sz w:val="20"/>
          <w:szCs w:val="20"/>
          <w:color w:val="auto"/>
        </w:rPr>
      </w:pPr>
    </w:p>
    <w:p>
      <w:pPr>
        <w:jc w:val="both"/>
        <w:ind w:firstLine="8"/>
        <w:spacing w:after="0" w:line="253" w:lineRule="auto"/>
        <w:tabs>
          <w:tab w:leader="none" w:pos="2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storage (battery cathode precursors in the form of nickel, manganese and cobalt sulfates, or intermediary nickel-copper-cobalt matte, or nickel-copper-cobalt alloy) and copper cathode for wiring) and (iii) chemicals (cobalt and manganese catalysts for fuel refining, manganese sulfate for fertilizer). We believe the transition to more diversified supply chains for the critical metals contained in nodules, continued urbanization of developing economies and continued growth of energy systems and EVs will test the limits of the current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supply of certain metals. See the section entitled </w:t>
      </w:r>
      <w:r>
        <w:rPr>
          <w:rFonts w:ascii="Times New Roman" w:cs="Times New Roman" w:eastAsia="Times New Roman" w:hAnsi="Times New Roman"/>
          <w:sz w:val="18"/>
          <w:szCs w:val="18"/>
          <w:i w:val="1"/>
          <w:iCs w:val="1"/>
          <w:color w:val="auto"/>
        </w:rPr>
        <w:t>“Our Competitive Advantages”.</w:t>
      </w:r>
      <w:r>
        <w:rPr>
          <w:rFonts w:ascii="Times New Roman" w:cs="Times New Roman" w:eastAsia="Times New Roman" w:hAnsi="Times New Roman"/>
          <w:sz w:val="18"/>
          <w:szCs w:val="18"/>
          <w:color w:val="auto"/>
        </w:rPr>
        <w:t xml:space="preserve"> Manganese is used in nearly every steel manufactured process - there were 1.9 billion tonnes of steel manufactured in 2024. Both manganese and nickel are used in the manufacturing of stainless steel and high-performance specialty steels essential for maritime, aerospace and chemical uses. Steel demand is projected to rise 30% by 2050. Besides China, most regions particularly India, Africa and South-East Asia, will see an increase in demand. While end-uses driven by the energy transition represent a small fraction of the total use of the four metals contained in polymetallic nodules today, we believe that the relative use of these four metals by EVs and other energy transition systems is set to increase significantly over the next decades.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Metal</w:t>
            </w:r>
          </w:p>
        </w:tc>
        <w:tc>
          <w:tcPr>
            <w:tcW w:w="88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Top end use segments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Nickel</w:t>
            </w:r>
          </w:p>
        </w:tc>
        <w:tc>
          <w:tcPr>
            <w:tcW w:w="200" w:type="dxa"/>
            <w:vAlign w:val="bottom"/>
            <w:tcBorders>
              <w:top w:val="single" w:sz="8" w:color="auto"/>
              <w:right w:val="single" w:sz="8" w:color="auto"/>
            </w:tcBorders>
          </w:tcPr>
          <w:p>
            <w:pPr>
              <w:spacing w:after="0"/>
              <w:rPr>
                <w:sz w:val="19"/>
                <w:szCs w:val="19"/>
                <w:color w:val="auto"/>
              </w:rPr>
            </w:pPr>
          </w:p>
        </w:tc>
        <w:tc>
          <w:tcPr>
            <w:tcW w:w="8680" w:type="dxa"/>
            <w:vAlign w:val="bottom"/>
            <w:tcBorders>
              <w:top w:val="single" w:sz="8" w:color="auto"/>
            </w:tcBorders>
            <w:shd w:val="clear" w:color="auto" w:fill="F2F2F2"/>
          </w:tcPr>
          <w:p>
            <w:pPr>
              <w:spacing w:after="0"/>
              <w:rPr>
                <w:sz w:val="20"/>
                <w:szCs w:val="20"/>
                <w:color w:val="auto"/>
              </w:rPr>
            </w:pPr>
            <w:r>
              <w:rPr>
                <w:rFonts w:ascii="Times New Roman" w:cs="Times New Roman" w:eastAsia="Times New Roman" w:hAnsi="Times New Roman"/>
                <w:sz w:val="18"/>
                <w:szCs w:val="18"/>
                <w:color w:val="auto"/>
              </w:rPr>
              <w:t>Stainless steel (64%), batteries (16%), aerospace &amp; superalloys (8%), electroplating (6%), other (6%)</w:t>
            </w:r>
          </w:p>
        </w:tc>
        <w:tc>
          <w:tcPr>
            <w:tcW w:w="0" w:type="dxa"/>
            <w:vAlign w:val="bottom"/>
          </w:tcPr>
          <w:p>
            <w:pPr>
              <w:spacing w:after="0"/>
              <w:rPr>
                <w:sz w:val="1"/>
                <w:szCs w:val="1"/>
                <w:color w:val="auto"/>
              </w:rPr>
            </w:pPr>
          </w:p>
        </w:tc>
      </w:tr>
      <w:tr>
        <w:trPr>
          <w:trHeight w:val="211"/>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Copper</w:t>
            </w:r>
          </w:p>
        </w:tc>
        <w:tc>
          <w:tcPr>
            <w:tcW w:w="200" w:type="dxa"/>
            <w:vAlign w:val="bottom"/>
            <w:tcBorders>
              <w:right w:val="single" w:sz="8" w:color="auto"/>
            </w:tcBorders>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(27%), utilities (17%), machinery (15%), consumer goods (12%), transport (11%), air conditioning and</w:t>
            </w:r>
          </w:p>
        </w:tc>
        <w:tc>
          <w:tcPr>
            <w:tcW w:w="0" w:type="dxa"/>
            <w:vAlign w:val="bottom"/>
          </w:tcPr>
          <w:p>
            <w:pPr>
              <w:spacing w:after="0"/>
              <w:rPr>
                <w:sz w:val="1"/>
                <w:szCs w:val="1"/>
                <w:color w:val="auto"/>
              </w:rPr>
            </w:pPr>
          </w:p>
        </w:tc>
      </w:tr>
      <w:tr>
        <w:trPr>
          <w:trHeight w:val="241"/>
        </w:trPr>
        <w:tc>
          <w:tcPr>
            <w:tcW w:w="1040" w:type="dxa"/>
            <w:vAlign w:val="bottom"/>
            <w:gridSpan w:val="2"/>
            <w:vMerge w:val="continue"/>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refrigeration (8%), other (10%).</w:t>
            </w:r>
          </w:p>
        </w:tc>
        <w:tc>
          <w:tcPr>
            <w:tcW w:w="0" w:type="dxa"/>
            <w:vAlign w:val="bottom"/>
          </w:tcPr>
          <w:p>
            <w:pPr>
              <w:spacing w:after="0"/>
              <w:rPr>
                <w:sz w:val="1"/>
                <w:szCs w:val="1"/>
                <w:color w:val="auto"/>
              </w:rPr>
            </w:pPr>
          </w:p>
        </w:tc>
      </w:tr>
      <w:tr>
        <w:trPr>
          <w:trHeight w:val="218"/>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Cobalt</w:t>
            </w:r>
          </w:p>
        </w:tc>
        <w:tc>
          <w:tcPr>
            <w:tcW w:w="200" w:type="dxa"/>
            <w:vAlign w:val="bottom"/>
            <w:tcBorders>
              <w:right w:val="single" w:sz="8" w:color="auto"/>
            </w:tcBorders>
          </w:tcPr>
          <w:p>
            <w:pPr>
              <w:spacing w:after="0"/>
              <w:rPr>
                <w:sz w:val="18"/>
                <w:szCs w:val="18"/>
                <w:color w:val="auto"/>
              </w:rPr>
            </w:pPr>
          </w:p>
        </w:tc>
        <w:tc>
          <w:tcPr>
            <w:tcW w:w="868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color w:val="auto"/>
              </w:rPr>
              <w:t>EV batteries (45%), portable device batteries (26%), superalloys (9%), hard metals (4%), catalysts (3%), pigments &amp;</w:t>
            </w:r>
          </w:p>
        </w:tc>
        <w:tc>
          <w:tcPr>
            <w:tcW w:w="0" w:type="dxa"/>
            <w:vAlign w:val="bottom"/>
          </w:tcPr>
          <w:p>
            <w:pPr>
              <w:spacing w:after="0"/>
              <w:rPr>
                <w:sz w:val="1"/>
                <w:szCs w:val="1"/>
                <w:color w:val="auto"/>
              </w:rPr>
            </w:pPr>
          </w:p>
        </w:tc>
      </w:tr>
      <w:tr>
        <w:trPr>
          <w:trHeight w:val="248"/>
        </w:trPr>
        <w:tc>
          <w:tcPr>
            <w:tcW w:w="1040" w:type="dxa"/>
            <w:vAlign w:val="bottom"/>
            <w:gridSpan w:val="2"/>
            <w:vMerge w:val="continue"/>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868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color w:val="auto"/>
              </w:rPr>
              <w:t>ceramics (3%), other (10%)</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Manganese</w:t>
            </w:r>
          </w:p>
        </w:tc>
        <w:tc>
          <w:tcPr>
            <w:tcW w:w="200" w:type="dxa"/>
            <w:vAlign w:val="bottom"/>
            <w:tcBorders>
              <w:right w:val="single" w:sz="8" w:color="auto"/>
            </w:tcBorders>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Stainless steel (96%), batteries (3%), agricultural products (1%)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below charts published by the International Energy Agency show increasing global demand by end-use application for nickel, copper, cobalt and manganese, under the scenario that net zero emissions is achieved by 2050. The International Energy Agency provides global demand projections for 37 critical minerals needed for clean energy transitions across various target and technology scenarios. A 2024 study by the International Energy Agency shows that the production of energy transition minerals could increase by 300% by 2040 to meet the growing demand for low-carbon energy technologies required to keep global warming at 1.5°C with deficits in mined supply emerging for nickel, copper and cobalt before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demand outlook and mining requirements for Announced Pledges Scenario (APS) and Net Zero Emissions (NZE) by 2050:</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Nickel: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301105" cy="4954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1105"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Copper: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Cobalt: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IEA Critical Minerals Outlook 2024 - IEA analysis based on 2024 U.S. Geological Survey commodity summary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Metals and Global EV Market</w:t>
      </w:r>
    </w:p>
    <w:p>
      <w:pPr>
        <w:spacing w:after="0" w:line="229" w:lineRule="exact"/>
        <w:rPr>
          <w:sz w:val="20"/>
          <w:szCs w:val="20"/>
          <w:color w:val="auto"/>
        </w:rPr>
      </w:pPr>
    </w:p>
    <w:p>
      <w:pPr>
        <w:jc w:val="both"/>
        <w:ind w:right="20" w:firstLine="324"/>
        <w:spacing w:after="0" w:line="254" w:lineRule="auto"/>
        <w:rPr>
          <w:sz w:val="20"/>
          <w:szCs w:val="20"/>
          <w:color w:val="auto"/>
        </w:rPr>
      </w:pPr>
      <w:r>
        <w:rPr>
          <w:rFonts w:ascii="Times New Roman" w:cs="Times New Roman" w:eastAsia="Times New Roman" w:hAnsi="Times New Roman"/>
          <w:sz w:val="18"/>
          <w:szCs w:val="18"/>
          <w:color w:val="auto"/>
        </w:rPr>
        <w:t>Battery chemistries that require metals contained in CCZ polymetallic nodules, nickel, cobalt and manganese, deliver high energy densities and are typically deployed in vehicles requiring long range (e.g., luxury and upmarket passenger cars) and power (trucks). In 2024, these battery chemistries accounted for 44% of overall battery manufacturing, which represented only a small portion of the overall use of nickel (~15% of nickel demand) and manganese (&lt;1% of manganese demand). In addition, while 2024 saw an uptick in iron-based cathodes (LFP) used in entry-level EVs, production and use of LFP for EVs are concentrated in China. With continued production by Korean, Japanese and European lithium-ion battery producers, nickel-based cathodes are forecasted to retain approximately 50% of overall market share in addition to capturing 85% of cell production capacity outside of China by 2030, with production increasingly pivoting towards high-nickel content longer term. We believe softer-than-expected demand and supply-side expansions have negatively impacted nickel prices, with current prices at their lowest level since 2020, battery nickel demand grew 27% year-on-year in 2024.</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9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Projected share of 2030 cathode pipeline</w:t>
            </w:r>
          </w:p>
        </w:tc>
        <w:tc>
          <w:tcPr>
            <w:tcW w:w="50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2023 cathode product mix – major ex. China suppliers</w:t>
            </w:r>
          </w:p>
        </w:tc>
      </w:tr>
      <w:tr>
        <w:trPr>
          <w:trHeight w:val="2304"/>
        </w:trPr>
        <w:tc>
          <w:tcPr>
            <w:tcW w:w="4900" w:type="dxa"/>
            <w:vAlign w:val="bottom"/>
            <w:tcBorders>
              <w:left w:val="single" w:sz="8" w:color="auto"/>
              <w:bottom w:val="single" w:sz="8" w:color="auto"/>
              <w:right w:val="single" w:sz="8" w:color="auto"/>
            </w:tcBorders>
          </w:tcPr>
          <w:p>
            <w:pPr>
              <w:spacing w:after="0"/>
              <w:rPr>
                <w:sz w:val="24"/>
                <w:szCs w:val="24"/>
                <w:color w:val="auto"/>
              </w:rPr>
            </w:pPr>
          </w:p>
        </w:tc>
        <w:tc>
          <w:tcPr>
            <w:tcW w:w="50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-1482090</wp:posOffset>
            </wp:positionV>
            <wp:extent cx="5623560" cy="1474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3560" cy="147447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Benchmark Mineral Intelligence Cobalt Market Report for Cobalt Institute at Cobalt Congress, New York City. 2024</w:t>
      </w:r>
    </w:p>
    <w:p>
      <w:pPr>
        <w:spacing w:after="0" w:line="225"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we believe an oversupply of nickel largely produced in Indonesia, slowed production of EVs and resulting inventory of EV batteries/cathodes drove down prices of nickel and cobalt in 2024. According to several analysts, these surpluses, however, could be temporary and we believe potential shortages in nickel and cobalt supply could return in the 2027/2028 timeframe, subject to developments in Indonesia and responses by the U.S. and the European Union where regulators could impose measures to differentiate between sources of metal based on the environmental and social impacts of these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128270</wp:posOffset>
            </wp:positionV>
            <wp:extent cx="5349240" cy="2117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Benchmark Mineral Forecast presented at Benchmark Week 2023 on November 15 in Los Angeles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360045</wp:posOffset>
            </wp:positionV>
            <wp:extent cx="4183380" cy="3128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8338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Based on 2023 data, the U.S. is the second largest consumer of battery nickel based on EV end-use.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161925</wp:posOffset>
            </wp:positionV>
            <wp:extent cx="5434965" cy="2520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3496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Trump Administration has rescinded EV mandates and suspended EV-related incentives under the Inflation Reduction Act of 2022 (the “IRA”), 92% of the $110 billion in EV value chain investments has been deployed in Republican states and the continuation of technical and supply chain leadership for batteries is recognized as central to broader energy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123190</wp:posOffset>
            </wp:positionV>
            <wp:extent cx="2451735" cy="1834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173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Interest in Nodules from the United States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U.S. Congress made several signals supporting the collection and processing of polymetallic nodules in 2024. In March 2024, members of the House of Representatives introduced H.R. 7636, the </w:t>
      </w:r>
      <w:r>
        <w:rPr>
          <w:rFonts w:ascii="Times New Roman" w:cs="Times New Roman" w:eastAsia="Times New Roman" w:hAnsi="Times New Roman"/>
          <w:sz w:val="18"/>
          <w:szCs w:val="18"/>
          <w:i w:val="1"/>
          <w:iCs w:val="1"/>
          <w:color w:val="auto"/>
        </w:rPr>
        <w:t>Responsible Use of Seafloor Resources Act of 2024</w:t>
      </w:r>
      <w:r>
        <w:rPr>
          <w:rFonts w:ascii="Times New Roman" w:cs="Times New Roman" w:eastAsia="Times New Roman" w:hAnsi="Times New Roman"/>
          <w:sz w:val="18"/>
          <w:szCs w:val="18"/>
          <w:color w:val="auto"/>
        </w:rPr>
        <w:t xml:space="preserve"> which calls for political and financial support for domestic nodule collection and processing capacity, now with seven bill sponsors. The legislation was endorsed by the National Ocean Industries Association, the Breakthrough Institute, the Critical Ocean Minerals Research Center and industry players. In December 2024, the U.S. Congress passed the 2025 National Defense Authorization Act (NDAA) which directs the Secretary of Defense, in coordination with the Assistant Secretary of Defense for Industrial Base Policy, to complete a “Feasibility study of domestic refining of deep-sea critical mineral intermediates” within calendar year 2025. Our U.S. subsidiary’s application to the Defense Production Act Title III program for support with a site-specific feasibility study for its planned nodule-intermediate refinery remains active with the Department of Defense. The report from the Assistant Secretary of Defense for Industrial Base Policy to the House Armed Services Committee (the “HASC”) prescribed in the fiscal year 2024 NDAA “Critical and Strategic Minerals and Materials Sourcing from Seafloor Resources” has yet to be made publicly available.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Opportunity</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nickel, copper, cobalt and manganese today are produced from land ores or recycled metal stock. Existing metal stocks available for recycling are insufficient to meet current demand. Even with high end-of-life product recycling rates, most of the new demand over the coming decades will have to be met by new mining. We believe the land-based mining sector is fundamentally challenged: ore grades are falling, production is moving to some of the more biodiverse and conflict-prone regions in the world,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a real challenge on seismically active and wet tropical islands in countries like Indonesia that accounts for most of the growth in nickel supply.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result of a vigorous campaign by several non-governmental organizations, some participants in the EV supply chain have called for a general moratorium on all forms of deep seabed mining until there is more knowledge about marine impacts of nodule collection operations. While our Environmental and Social Impact Assessment (“ESIA”) and Cultural Heritage Impact Assessment (“CHIA”) for offshore nodule collection segment of the NORI Area D project is still ongoing, based on already completed research into lifecycle impacts of critical metal production specifically from deep-sea polymetallic nodules, we identified how nodules can potentially provide an opportunity to significantly compress most lifecycle ESG impacts associated with conventional metal production from land 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130810</wp:posOffset>
            </wp:positionV>
            <wp:extent cx="5434965" cy="3282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34965"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To quantify environmental footprints of metal production from nodules as compared to conventional land ores, we commissioned several lifecycle assessments (“LCAs”) looking at the cradle-to-gate impacts of producing nickel, copper, cobalt and manganese products from polymetallic nodules and how it compares to land-based routes. An LCA white paper examining a comprehensive set of impacts was commissioned by us and co-authored by certain of our executive officers in 2018 and reviewed by subject matter specialists and published on our website in April 2020; an LCA research paper focusing on climate change impacts was peer-reviewed and published in the Elsevier Journal of Cleaner Production in December 2020; an LCA research paper focusing on solid waste streams was peer-reviewed and published in the Yale Journal of Industrial Ecology in January 2022 and an independent LCA compliant with the International Organization for Standardization Standard 14040 on our NORI Area D project was conducted by Benchmark Minerals Intelligence (“Benchmark”) and released in March 2023. Based on these LCA assessments that we commissioned, we believe that we are positioned to become one of the lowest ESG footprint metal companies in the industry. The March 2023 LCA by Benchmark shows that the NORI Area D project model performed better in each impact category analyzed than all the land-based processing routes chosen for comparison, except for the global warming potential (“GWP”) and water consumption of producing cobalt sulfate, in which one land-based route performed better. While most of these reductions are attributable to the unique characteristics of the polymetallic nodule resource as described above, the elimination of solid processing waste streams onshore is due to our investment in a near-zero-waste flowsheet design and part of the low carbon emissions are due to our strong preference to locate onshore processing facilities in places with access to low-carbon power.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497205</wp:posOffset>
            </wp:positionV>
            <wp:extent cx="5434965" cy="3017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3496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Benchmark modeled the land-based processing routes with background ecoinvent data and foreground data from two expert chemical engineers in the nickel and cobalt industry. The NORI Area D Project data is based on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 See Item 2 entitled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included in this Annual Report for additional information about the 2021 economic analysis of NORI Area 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part of the ESIA conducted by NORI in partnership with world leading deep-sea research institutions and contractors, we are currently assessing the impacts of the NORI Area D Project on marine ecosystem function and services, including biodiversity. The CCZ abyssal plains are one of the most common and least populated habitats on the planet, akin to deserts on land. The CCZ abyssal seafloor is plant-free, food-poor and dominated by bacterial life forms. It has been studied extensively since the 1960s with over 150,000 papers published on polymetallic nodules in general and over 40,000 on CCZ nodules in particular.</w:t>
      </w:r>
    </w:p>
    <w:p>
      <w:pPr>
        <w:spacing w:after="0" w:line="183"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The largest driver of uncertainty in assessing the potential future impact of nodule collection operations on marine biodiversity is our ability to measure biodiversity itself. Unlike biodiversity, biomass, measured as carbon contained in live organisms per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habitat, is easier to measure and compare. Based on available data we have reviewed, we believe that the CCZ is one of lowest biomass locations on the planet. Metal production from nodules could reduce biomass at risk by over 90% compared to producing the same amount of metals from conventional land ores.</w:t>
      </w:r>
    </w:p>
    <w:p>
      <w:pPr>
        <w:spacing w:after="0" w:line="202" w:lineRule="exact"/>
        <w:rPr>
          <w:sz w:val="20"/>
          <w:szCs w:val="20"/>
          <w:color w:val="auto"/>
        </w:rPr>
      </w:pPr>
    </w:p>
    <w:p>
      <w:pPr>
        <w:jc w:val="both"/>
        <w:ind w:firstLine="324"/>
        <w:spacing w:after="0" w:line="223" w:lineRule="auto"/>
        <w:rPr>
          <w:sz w:val="20"/>
          <w:szCs w:val="20"/>
          <w:color w:val="auto"/>
        </w:rPr>
      </w:pPr>
      <w:r>
        <w:rPr>
          <w:rFonts w:ascii="Times New Roman" w:cs="Times New Roman" w:eastAsia="Times New Roman" w:hAnsi="Times New Roman"/>
          <w:sz w:val="18"/>
          <w:szCs w:val="18"/>
          <w:color w:val="auto"/>
        </w:rPr>
        <w:t>In contrast, land-based mining for nickel and cobalt occurs in diverse countries as identified by Benchmark in a study commissioned by us and published in November 2023. In both Indonesia and the Democratic Republic of the Congo (the “DRC”), which are the world’s largest producers of nickel and cobalt respectively, the extraction of metal ores through open pit mines requires the complete removal of overlying ecosystems and contained carbon sinks, in turn eliminating the carbon sequestration. The study found that 1 kilogram of nickel mined from saprolite and limonite ore in Sulawesi, Indonesia removes forests containing carbon stock equivalent to 7.0 and 9.4 kilograms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 and 3.6 kilograms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 in the case of cobalt mined in Katanga, DRC. Due to the resulting vegetation change, mining activities cause carbon sequestration services loss of 4.8 grams and 6.5 grams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 respectively for nickel, and 9.3 grams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 for cobalt per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497205</wp:posOffset>
            </wp:positionV>
            <wp:extent cx="5434965" cy="47574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34965" cy="475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precautionary environmental management and protection measure, the ISA has already set aside 43% of the CCZ or 1.97 million square kilometers as protected areas, or Areas of Particular Environmental Interest (APEIs), aiming to ensure that all types of habitats that could be impacted by exploitation are represented and preserved within APEIs. For comparison, only approximately 8.2% of global oceans are protected today and the global target agreed in the High Seas Treaty in March 2023 is to protect 30% of the oceans by 2030. Additional marine impact mitigation measures such as setting aside more no-take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to design plans that could mitigate marine impacts of nodule collection through collection system design and adaptive management systems.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entire CCZ area currently under exploration (1.28 million square kilometers) were to be exploited over a 30-year period (which we believe is unlikely), these nodule collection operations would impact 42,500 square kilometers of the abyssal seafloor per year in one of the least productive areas of the ocean (with respect to the abundance of marine life). This is less than 1% of the estimated 4,900,000 square kilometers of the seafloor currently impacted every year by trawling operations that take place primarily in highly productive coastal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128270</wp:posOffset>
            </wp:positionV>
            <wp:extent cx="5434965" cy="3522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34965"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Potential future commercial-scale nodule collection operations in the CCZ are likely to disturb marine wildlife in the operating area. We have completed studies baselining wildlife and ecosystem function, piloting the nodule collection system and assessing impacts arising from the use of this system immediately following the collector test and 12 months after the collector test. In total, almost 1 petabyte of environmental data has been collected and processed. For comparison, the world’s largest library, the Library of Congress, manages 21 petabytes of digital content. Assessment of impacts based on collected data is currently in progress. Given the significant volume of deep water and the difficulty of sampling or retrieving biological specimens in the CCZ, a complete biological inventory might never be established. Accordingly, impacts on CCZ biodiversity may never be entirely and definitively known. However, we believe similar challenges are faced on land, with an estimated 70-80% of terrestrial species still undescribed. Although we continue to review the data collected to date, we may not know the actual impact of commercial nodule collection on the deep-sea environment until after full-scale commercial production. We currently believe, however, that as the abyssal plains are the most ubiquitous habitat on the planet with low levels of biodiversity compared to the main metal-producing areas on land, it is likely that the impacts of nodule collection on global biodiversity will be less significant than those estimated for land-based mining for a similar amount of produced metal.</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Some uncertainty still exists around the recovery rate of fauna that requires the hard substrate of nodules for critical life function. Recent research suggests that carbon (food) availability is likely to be a more significant limiting factor to the ecosystem’s capacity to support nodule obligate fauna populations than hard-substrate habitat availability.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we believe strategies such as leaving behind partial nodule cover and setting aside no-take areas to aid recruitment and recovery of nodule-dependent species in impacted areas look to be promising mitigation strategies. For example, recent research by NORI indicates that sediment-covered nodules left behind after collection activities ceased were exposed and became available as a source of hard-substrate habitat within 12 months. The effectiveness of these strategies in supporting self-sustaining populations of nodule-obligate fauna after nodule collection will be the focus of long-term monitoring studies in the future.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of the project and do not have the exploitation contracts necessary to commence commercial-scale nodule collection operations in the CCZ nor have we obtained the applicable environmental and other permits required to build and operate commercial scale polymetallic nodule processing and refining plants on land.</w:t>
      </w:r>
    </w:p>
    <w:p>
      <w:pPr>
        <w:spacing w:after="0" w:line="17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All extractive industries result in impacts to the receiving environment. Nodule collection is no exception and will impact the deep-sea marine environment through nodule removal, disturbance of seafloor sediment (“seafloor plumes”) and return of seawater used for nodule transport that is expected to contain residual sediment and nodule fines back in the water column (“midwater plumes”). Baselining the impacted marine environment by characterizing the ecosystem and then developing measures to avoid and mitigate these impacts is the central focus of our offshore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areas set aside by us and (2) the extent to which residual nodule cover will aid recruitment and recovery of these species in impacted areas. Disturbance of the seafloor by nodule collector vehicles is expected to disturb (mostly microbial) organisms living in and on the sediments. Impact severity will depend on the depth of sediment disturbance (expected to be approximately 3-5 centimeters based on modelling, laboratory tests, and recent collector tests completed in the CCZ by our subsidiary NORI and two other nodule contract-holders, Belgium’s Global Sea Mineral Resources NV (GSR) and the German’s BGR) and the impact this disturbance has on benthic ecosystem function. Over 90% of the entrained sediment is expected to be separated from nodules inside the collector vehicle and discharged behind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vehicle will be transported with nodules and seawater through the riser pipe to the surface production vessel where nodules are dewatered and residual water, sediment and nodules fines will be returned at greater than 2,000 meters in the water column below the highly productive photic zone and the measured lower limit of diel vertical migration of zooplankton in the pelagic zone. Potential impacts from the mid-water sediment plume could include clogging of the delicate respiratory and filter feeding structures of pelagic zooplankton species, such as jellyfish and krill. However, the mid-water discharge has been shown by the collector test to have very low solid particle concentration and to dilute to close to background levels within minutes. According to a research paper on midwater sediment plumes published by researchers from the Massachusetts Institute of Technology (“MIT”) in Communications Earth &amp; Environment in July 2021, entrained sediment from the return of seawater used for nodule transport dilutes to natural background levels within a few hundred meters of the outlet. We believe this finding is supported by the monitoring results of the collector test completed by NORI in 2022. Another research paper on seafloor sediment plumes published by MIT and the Scripps Institution of Oceanography in September 2022 found that 92-98% of benthic plume generated from the pilot nodule collector vehicle rose only two meters above the seafloor and settled locally within 10s to 100s of meters from the source of the disturbance, another result that was confirmed by the results of the collector test completed by NORI in 2022 on the NORI Area D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Positioning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are well-positioned to meet the expected demand for the critical metals contained in polymetallic nodules:</w:t>
      </w:r>
    </w:p>
    <w:p>
      <w:pPr>
        <w:spacing w:after="0" w:line="221" w:lineRule="exact"/>
        <w:rPr>
          <w:sz w:val="20"/>
          <w:szCs w:val="20"/>
          <w:color w:val="auto"/>
        </w:rPr>
      </w:pPr>
    </w:p>
    <w:p>
      <w:pPr>
        <w:jc w:val="both"/>
        <w:ind w:left="680" w:hanging="321"/>
        <w:spacing w:after="0" w:line="255"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 for increasing infrastructure demand: </w:t>
      </w:r>
      <w:r>
        <w:rPr>
          <w:rFonts w:ascii="Times New Roman" w:cs="Times New Roman" w:eastAsia="Times New Roman" w:hAnsi="Times New Roman"/>
          <w:sz w:val="18"/>
          <w:szCs w:val="18"/>
          <w:color w:val="auto"/>
        </w:rPr>
        <w:t>As emerging economies grow and urbanize, steel demand is projected to 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by 2050 and electricity demand is projected to accelerate worldwide by 3% per year through 2035. Critical base metals like nickel, copper and manganese will be required to meet rising demand for steel and electrical grids. While the copper market was volatile in 2024, demand is expected to double by 2035, potentially reaching 40-50 million tonnes and resulting in a 2-10 million tonne supply deficit. This oncoming wave of demand is anticipated to bring price premiums for low-carbon steel, particularly in light of Europe’s carbon border adjustment mechanism which requires buyers to purchase certificates to cover the embedded emissions of their steel imports beginning in 2026. Our lower carbon emissions footprint per finished tonne of nickel may improve our business prospects further.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80" w:hanging="321"/>
        <w:spacing w:after="0" w:line="25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 for increasing battery demand: </w:t>
      </w:r>
      <w:r>
        <w:rPr>
          <w:rFonts w:ascii="Times New Roman" w:cs="Times New Roman" w:eastAsia="Times New Roman" w:hAnsi="Times New Roman"/>
          <w:sz w:val="18"/>
          <w:szCs w:val="18"/>
          <w:color w:val="auto"/>
        </w:rPr>
        <w:t>We believe the response to climate change is driving robust demand for EVs,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renewable energy storage and infrastructure. To manufacture battery cells, gigafactories will need critical metals like nickel, cobalt, manganese, and copper to meet rising battery demand. Globally, the number of signatories to the Zero Emission Vehicle declaration announced at COP29 in November 2024 increased to 236, which is aimed at accelerating the transition to 100% new car sales being zero-emission globally by 2040, and by 2035 in leading markets. The U.S. government invested $ 110 billion in battery value chain projects since the IRA was enacted in 2022.</w:t>
      </w:r>
    </w:p>
    <w:p>
      <w:pPr>
        <w:spacing w:after="0" w:line="182" w:lineRule="exact"/>
        <w:rPr>
          <w:rFonts w:ascii="Times New Roman" w:cs="Times New Roman" w:eastAsia="Times New Roman" w:hAnsi="Times New Roman"/>
          <w:sz w:val="18"/>
          <w:szCs w:val="18"/>
          <w:color w:val="auto"/>
        </w:rPr>
      </w:pPr>
    </w:p>
    <w:p>
      <w:pPr>
        <w:jc w:val="both"/>
        <w:ind w:left="680" w:hanging="321"/>
        <w:spacing w:after="0" w:line="255"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Path to energy security</w:t>
      </w:r>
      <w:r>
        <w:rPr>
          <w:rFonts w:ascii="Times New Roman" w:cs="Times New Roman" w:eastAsia="Times New Roman" w:hAnsi="Times New Roman"/>
          <w:sz w:val="18"/>
          <w:szCs w:val="18"/>
          <w:color w:val="auto"/>
        </w:rPr>
        <w:t>: Following the 2023 restrictions China imposed on exports to the United States including a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 of gallium and germanium, which are needed to produce semiconductor chips, rare earth metal extraction and separation technologies used in production of hybrid and battery electric vehicle motors, and strict export controls for graphite, a key ingredient in battery anodes, China expanded export bans to include antimony in 2024. These events underscore a national security rationale for the U.S. and Western countries for reducing dependence on China as the world’s largest refiner of Class 1 nickel, cobalt and manganese. With our NORI and TOML contract areas ranked as the world’s first and second largest undeveloped nickel projects, respectively, by Mining.com in both 2022 and 2023, we believe the polymetallic nodules found in our NORI and TOML contract areas offer a source of four critical metals that can effectively diversify global supply chains.</w:t>
      </w:r>
    </w:p>
    <w:p>
      <w:pPr>
        <w:spacing w:after="0" w:line="184" w:lineRule="exact"/>
        <w:rPr>
          <w:rFonts w:ascii="Times New Roman" w:cs="Times New Roman" w:eastAsia="Times New Roman" w:hAnsi="Times New Roman"/>
          <w:sz w:val="18"/>
          <w:szCs w:val="18"/>
          <w:color w:val="auto"/>
        </w:rPr>
      </w:pPr>
    </w:p>
    <w:p>
      <w:pPr>
        <w:jc w:val="both"/>
        <w:ind w:left="680" w:hanging="321"/>
        <w:spacing w:after="0" w:line="26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developing countries: </w:t>
      </w:r>
      <w:r>
        <w:rPr>
          <w:rFonts w:ascii="Times New Roman" w:cs="Times New Roman" w:eastAsia="Times New Roman" w:hAnsi="Times New Roman"/>
          <w:sz w:val="18"/>
          <w:szCs w:val="18"/>
          <w:color w:val="auto"/>
        </w:rPr>
        <w:t>Both of our Sponsoring States are small developing Pacific Island nations impacted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climate change and expect to receive income streams from their sponsored areas if exploitation contracts are granted to extract polymetallic nodules in their sponsored areas. Royalties from commercial production of polymetallic nodules payable to the ISA are required to be distributed by the ISA with focus on developing countries.</w:t>
      </w:r>
    </w:p>
    <w:p>
      <w:pPr>
        <w:spacing w:after="0" w:line="176" w:lineRule="exact"/>
        <w:rPr>
          <w:rFonts w:ascii="Times New Roman" w:cs="Times New Roman" w:eastAsia="Times New Roman" w:hAnsi="Times New Roman"/>
          <w:sz w:val="18"/>
          <w:szCs w:val="18"/>
          <w:color w:val="auto"/>
        </w:rPr>
      </w:pPr>
    </w:p>
    <w:p>
      <w:pPr>
        <w:jc w:val="both"/>
        <w:ind w:left="680" w:hanging="321"/>
        <w:spacing w:after="0" w:line="257"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Potential U.S.-based regulatory pathway: </w:t>
      </w:r>
      <w:r>
        <w:rPr>
          <w:rFonts w:ascii="Times New Roman" w:cs="Times New Roman" w:eastAsia="Times New Roman" w:hAnsi="Times New Roman"/>
          <w:sz w:val="18"/>
          <w:szCs w:val="18"/>
          <w:color w:val="auto"/>
        </w:rPr>
        <w:t>On March 27, 2025, we announced that we initiated a process with NOAA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Department of Commerce under the DSHMRA to consider a U.S.-based regulatory pathway for the commercial production of deep-sea polymetallic nodules in the CCZ. We believe this regulatory pathway potentially offers a clear and predictable route to securing an exploration license and a commercial recover permit to polymetallic nodules found in the CCZ. We are in the initial planning stages of this strategy, however, and there are no assurances that we will be able to secure any exploration or commercial recovery rights under the DSHMRA in a timely manner, or at all.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With the potential that our resources hold and the project advancements we have made to date, we believe we are better positioned than other suppliers to provide a solution to the growing need for the critical metals contained in nodules:</w:t>
      </w:r>
    </w:p>
    <w:p>
      <w:pPr>
        <w:spacing w:after="0" w:line="158" w:lineRule="exact"/>
        <w:rPr>
          <w:sz w:val="20"/>
          <w:szCs w:val="20"/>
          <w:color w:val="auto"/>
        </w:rPr>
      </w:pPr>
    </w:p>
    <w:p>
      <w:pPr>
        <w:jc w:val="both"/>
        <w:ind w:left="680" w:hanging="321"/>
        <w:spacing w:after="0" w:line="268"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Availability of abundant and high-grade resource off the U.S. western seaboard: </w:t>
      </w:r>
      <w:r>
        <w:rPr>
          <w:rFonts w:ascii="Times New Roman" w:cs="Times New Roman" w:eastAsia="Times New Roman" w:hAnsi="Times New Roman"/>
          <w:sz w:val="18"/>
          <w:szCs w:val="18"/>
          <w:color w:val="auto"/>
        </w:rPr>
        <w:t>There are four critical metals (nickel,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copper, cobalt and manganese) in relatively high concentrations in polymetallic nodules which we believe could offer a long-term secure supply of such metals in various industrial applications, as described above.</w:t>
      </w:r>
    </w:p>
    <w:p>
      <w:pPr>
        <w:spacing w:after="0" w:line="170" w:lineRule="exact"/>
        <w:rPr>
          <w:rFonts w:ascii="Times New Roman" w:cs="Times New Roman" w:eastAsia="Times New Roman" w:hAnsi="Times New Roman"/>
          <w:sz w:val="18"/>
          <w:szCs w:val="18"/>
          <w:color w:val="auto"/>
        </w:rPr>
      </w:pPr>
    </w:p>
    <w:p>
      <w:pPr>
        <w:jc w:val="both"/>
        <w:ind w:left="680" w:hanging="321"/>
        <w:spacing w:after="0" w:line="26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for production in the U.S. of the critical metals contained in nodules: </w:t>
      </w:r>
      <w:r>
        <w:rPr>
          <w:rFonts w:ascii="Times New Roman" w:cs="Times New Roman" w:eastAsia="Times New Roman" w:hAnsi="Times New Roman"/>
          <w:sz w:val="18"/>
          <w:szCs w:val="18"/>
          <w:color w:val="auto"/>
        </w:rPr>
        <w:t>The current supply chain of battery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to the U.S. is approximately 50,000 miles long and is predominantly controlled by nations and companies outside of the U.S., which is leading to increasing concerns about supply chain security in the U.S. and interest in breaking the U.S. mineral dependence by re-shoring battery material supply chain in the U.S.</w:t>
      </w:r>
    </w:p>
    <w:p>
      <w:pPr>
        <w:spacing w:after="0" w:line="176" w:lineRule="exact"/>
        <w:rPr>
          <w:rFonts w:ascii="Times New Roman" w:cs="Times New Roman" w:eastAsia="Times New Roman" w:hAnsi="Times New Roman"/>
          <w:sz w:val="18"/>
          <w:szCs w:val="18"/>
          <w:color w:val="auto"/>
        </w:rPr>
      </w:pPr>
    </w:p>
    <w:p>
      <w:pPr>
        <w:jc w:val="both"/>
        <w:ind w:left="680" w:hanging="321"/>
        <w:spacing w:after="0" w:line="259"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reuse existing offshore assets and skills: </w:t>
      </w:r>
      <w:r>
        <w:rPr>
          <w:rFonts w:ascii="Times New Roman" w:cs="Times New Roman" w:eastAsia="Times New Roman" w:hAnsi="Times New Roman"/>
          <w:sz w:val="18"/>
          <w:szCs w:val="18"/>
          <w:color w:val="auto"/>
        </w:rPr>
        <w:t>We believe there is an opportunity for us to partner with offshore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providers with deep operational experience in subsea environments gained in the oil and gas industry and with existing assets that can be repurposed for our offshore nodule collection operations. We have taken advantage of this opportunity by forging a strategic alliance with Allseas Group S.A. (“Allseas”), a leading offshore contractor in 2019. In 2020, Allseas acquired a drillship that was repurposed and classified as the world’s first deep-sea mining vessel.</w:t>
      </w:r>
    </w:p>
    <w:p>
      <w:pPr>
        <w:spacing w:after="0" w:line="179" w:lineRule="exact"/>
        <w:rPr>
          <w:rFonts w:ascii="Times New Roman" w:cs="Times New Roman" w:eastAsia="Times New Roman" w:hAnsi="Times New Roman"/>
          <w:sz w:val="18"/>
          <w:szCs w:val="18"/>
          <w:color w:val="auto"/>
        </w:rPr>
      </w:pPr>
    </w:p>
    <w:p>
      <w:pPr>
        <w:jc w:val="both"/>
        <w:ind w:left="680" w:right="20" w:hanging="321"/>
        <w:spacing w:after="0" w:line="26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Demonstrated offshore nodule collection technology: </w:t>
      </w:r>
      <w:r>
        <w:rPr>
          <w:rFonts w:ascii="Times New Roman" w:cs="Times New Roman" w:eastAsia="Times New Roman" w:hAnsi="Times New Roman"/>
          <w:sz w:val="18"/>
          <w:szCs w:val="18"/>
          <w:color w:val="auto"/>
        </w:rPr>
        <w:t>In November 2022, NORI and Allseas completed the Pilot Mining 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approximately 4,500 tonnes of wet nodules were collected and more than 3,000 tonnes of wet nodules were lifted 4.3 kilometers to the surface after traversing over 80 kilometers of the seafloor in the NORI Area D, achieving a sustained production rate of 86.4 tonnes per hour with a scaled-down prototype seafloor nodule collector vehicle. While several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spacing w:after="0" w:line="282" w:lineRule="auto"/>
        <w:rPr>
          <w:sz w:val="20"/>
          <w:szCs w:val="20"/>
          <w:color w:val="auto"/>
        </w:rPr>
      </w:pPr>
      <w:r>
        <w:rPr>
          <w:rFonts w:ascii="Times New Roman" w:cs="Times New Roman" w:eastAsia="Times New Roman" w:hAnsi="Times New Roman"/>
          <w:sz w:val="18"/>
          <w:szCs w:val="18"/>
          <w:color w:val="auto"/>
        </w:rPr>
        <w:t>contractors have tested various seafloor collection machines, no other contractor has demonstrated an integrated nodule collection system since the 1970s.</w:t>
      </w:r>
    </w:p>
    <w:p>
      <w:pPr>
        <w:spacing w:after="0" w:line="158" w:lineRule="exact"/>
        <w:rPr>
          <w:sz w:val="20"/>
          <w:szCs w:val="20"/>
          <w:color w:val="auto"/>
        </w:rPr>
      </w:pPr>
    </w:p>
    <w:p>
      <w:pPr>
        <w:jc w:val="both"/>
        <w:ind w:left="680" w:hanging="321"/>
        <w:spacing w:after="0" w:line="26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Demonstrated onshore nodule processing technology: </w:t>
      </w:r>
      <w:r>
        <w:rPr>
          <w:rFonts w:ascii="Times New Roman" w:cs="Times New Roman" w:eastAsia="Times New Roman" w:hAnsi="Times New Roman"/>
          <w:sz w:val="18"/>
          <w:szCs w:val="18"/>
          <w:color w:val="auto"/>
        </w:rPr>
        <w:t>In 2021, we successfully completed the calcining and smelting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into a manganese silicate product and nickel-copper-cobalt alloy intermediate product, followed by conversion and sulfidation of the alloy into matte. Test work has been successfully conducted on all process stages with the generation of test quantities of battery-grade nickel and cobalt sulfates in April 2024 and June 2024, respectively.</w:t>
      </w:r>
    </w:p>
    <w:p>
      <w:pPr>
        <w:spacing w:after="0" w:line="176" w:lineRule="exact"/>
        <w:rPr>
          <w:rFonts w:ascii="Times New Roman" w:cs="Times New Roman" w:eastAsia="Times New Roman" w:hAnsi="Times New Roman"/>
          <w:sz w:val="18"/>
          <w:szCs w:val="18"/>
          <w:color w:val="auto"/>
        </w:rPr>
      </w:pPr>
    </w:p>
    <w:p>
      <w:pPr>
        <w:jc w:val="both"/>
        <w:ind w:left="680" w:hanging="321"/>
        <w:spacing w:after="0" w:line="254"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reuse existing onshore assets and skills: </w:t>
      </w:r>
      <w:r>
        <w:rPr>
          <w:rFonts w:ascii="Times New Roman" w:cs="Times New Roman" w:eastAsia="Times New Roman" w:hAnsi="Times New Roman"/>
          <w:sz w:val="18"/>
          <w:szCs w:val="18"/>
          <w:color w:val="auto"/>
        </w:rPr>
        <w:t>We believe there is an opportunity for us to partner with onshore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processors with deep operational experience in processing nickel-bearing ores and with existing Rotary Kiln Electric Arc Furnace (“RKEF”) plants that can be repurposed for processing our nodules into intermediate products. We have taken advantage of this opportunity by signing a non-binding memorandum of understanding (“MoU”) with our partner Pacific Metals Co. Ltd. (“PAMCO”), an experienced operator of a nickel laterite smelting complex in Hachinohe, Japan in 2022. Following the completion of a prefeasibility exercise by PAMCO to assess nodule processing at their facility, we have signed a binding MoU in November 2023 to complete a feasibility study to process the first 1.3 Mtpa (wet) of nodules at PAMCO’s facility. A demonstration trial at PAMCO’s Hachinohe facilities with 2,000 tonnes of nodules collected during the mining pilot is ongoing, which would further de-risk the project. In 2024, PAMCO successfully produced approximately 500 tonnes of calcine from nodules at their facility in Hachinohe, Japan.</w:t>
      </w:r>
    </w:p>
    <w:p>
      <w:pPr>
        <w:spacing w:after="0" w:line="185" w:lineRule="exact"/>
        <w:rPr>
          <w:rFonts w:ascii="Times New Roman" w:cs="Times New Roman" w:eastAsia="Times New Roman" w:hAnsi="Times New Roman"/>
          <w:sz w:val="18"/>
          <w:szCs w:val="18"/>
          <w:color w:val="auto"/>
        </w:rPr>
      </w:pPr>
    </w:p>
    <w:p>
      <w:pPr>
        <w:jc w:val="both"/>
        <w:ind w:left="680" w:hanging="321"/>
        <w:spacing w:after="0" w:line="259"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Lower expected production cost: </w:t>
      </w:r>
      <w:r>
        <w:rPr>
          <w:rFonts w:ascii="Times New Roman" w:cs="Times New Roman" w:eastAsia="Times New Roman" w:hAnsi="Times New Roman"/>
          <w:sz w:val="18"/>
          <w:szCs w:val="18"/>
          <w:color w:val="auto"/>
        </w:rPr>
        <w:t>We are currently pursuing a low-capital asset expenditure (“CAPEX”) approach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commercialization of operations for our NORI Area D project where we reuse existing production assets opposed to the high-CAPEX approach where the majority of offshore and onshore production assets would be newly built by us as described in our 2021 economic analysis included in the NORI Technical Report Summary. See Item 2 entitled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included in this Annual Report for additional information about the 2021 economic analysis of NORI Area D.</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Lower expected ESG footprint: </w:t>
      </w:r>
      <w:r>
        <w:rPr>
          <w:rFonts w:ascii="Times New Roman" w:cs="Times New Roman" w:eastAsia="Times New Roman" w:hAnsi="Times New Roman"/>
          <w:sz w:val="18"/>
          <w:szCs w:val="18"/>
          <w:color w:val="auto"/>
        </w:rPr>
        <w:t>The LCA completed by Benchmark in March 2023 shows that the NORI Area D project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performed better in most impact categories analyzed than all the land-based routes chosen for comparison. This favorable comparison is explained by the fact that we are developing a new type of high-grade multi-metal source found on the abyssal plain, a low biomass, low carbon sequestration deep-sea environment removed from human settlement.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currently hold exclusive exploration rights through our subsidiaries NORI and TOML to certain polymetallic nodule areas in the CCZ.</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Area”) covering 74,830 square kilometers in the CCZ that were granted by the ISA in July 2011. NORI is sponsored by Nauru pursuant to a certificate of sponsorship signed by the Government of Nauru on April 11, 2011. The NORI Area D is the seafloor parcel where we have performed the most resource definition and environmental work to date. NORI commissioned AMC Consulting Ltd (“AMC”), a leading mining consulting firm, to undertake an Initial Economic Assessment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 Mining Rules. The NORI Technical Report Summary is filed as Exhibit 96.1 to this Annual Report. See Item 2 entitled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included in this Annual Report for additional information about the 2021 economic analysis of NORI Area D.</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 74,713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kilometers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Marawa - Termination of Service Agreement. </w:t>
      </w:r>
      <w:r>
        <w:rPr>
          <w:rFonts w:ascii="Times New Roman" w:cs="Times New Roman" w:eastAsia="Times New Roman" w:hAnsi="Times New Roman"/>
          <w:sz w:val="18"/>
          <w:szCs w:val="18"/>
          <w:color w:val="auto"/>
        </w:rPr>
        <w:t>On November 14, 2024, DeepGreen Engineering Pte. Ltd. (“DeepGreen”) issued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formal termination notice to Marawa Research and Exploration Limited, ending the Services Agreement dated October 1, 2013 (the “Agreement”), pursuant to DeepGreen’s right to terminate for convenience under the Agreement. The termination became effective on January 14, 2025 and we no longer have any exploration rights to the area of the CCZ that was covered by the Agreement. The impact of the cancellation of this agreement did not have a material impact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360045</wp:posOffset>
            </wp:positionV>
            <wp:extent cx="4337685" cy="3368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3768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contemplated business spans the entire lifecycle from the resource acquisition and definition stage through the collection and transportation phases offshore into the processing and refining of nodules onshore and finally in product marketing and offtake (and eventually recycling of end-of-life products containing nodule-derived metals). NORI and TOML, two of our subsidiaries, intend to operate in the CCZ under the effective supervision, regulation and sponsorship of the Republic of Nauru and the Kingdom of Tonga, respectively. We intend to utilize existing processing operations in locations like Japan and Indonesia and refineries in locations like South Korea and Canada. We have chosen a capital-light approach to our operations and have focused on forming deep strategic partnerships with leading offshore and onshore companies.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key strategic alliances include:</w:t>
      </w:r>
    </w:p>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Allseas: </w:t>
      </w:r>
      <w:r>
        <w:rPr>
          <w:rFonts w:ascii="Times New Roman" w:cs="Times New Roman" w:eastAsia="Times New Roman" w:hAnsi="Times New Roman"/>
          <w:sz w:val="18"/>
          <w:szCs w:val="18"/>
          <w:color w:val="auto"/>
        </w:rPr>
        <w:t>Allseas, a leading global offshore contractor, developed and tested a pilot nodule collection system in the NORI Area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in the fourth quarter of 2022. The experience from the development and testing program of the pilot system is now informing the design of upgrades and modifications into the initial smaller-scale commercial production system, which is expected to serve as the basis for the design of a full-scale commercial production system.</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Glencore: </w:t>
      </w:r>
      <w:r>
        <w:rPr>
          <w:rFonts w:ascii="Times New Roman" w:cs="Times New Roman" w:eastAsia="Times New Roman" w:hAnsi="Times New Roman"/>
          <w:sz w:val="18"/>
          <w:szCs w:val="18"/>
          <w:color w:val="auto"/>
        </w:rPr>
        <w:t>Glencore International AG (Glencore) holds offtake rights to 50% of the NORI nickel and copper production. Glencore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right to purchase from DGE 50% of the annual quantity of copper material and 50% of the annual quantity of nickel material produced by DGE from ore derived from the NORI Contract Area at a processing plant directly owned or controlled by DGE.</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Hatch and KPM: </w:t>
      </w:r>
      <w:r>
        <w:rPr>
          <w:rFonts w:ascii="Times New Roman" w:cs="Times New Roman" w:eastAsia="Times New Roman" w:hAnsi="Times New Roman"/>
          <w:sz w:val="18"/>
          <w:szCs w:val="18"/>
          <w:color w:val="auto"/>
        </w:rPr>
        <w:t>We have worked with engineering firm Hatch Ltd. (“Hatch”) and consultants Kingston Process Metallurgy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(“KPM”) to develop a near-zero solid waste flowsheet. The primary processing stages of the flowsheet from nodule to nickel-copper-cobalt (“NiCuCo”) alloy and matte intermediate were demonstrated as part of our pilot plant program at FLSmidth and Xpert Process Solutions, a Glencore company (“XPS”), facilities. The matte refining stages were tested at SGS Lakefield and the ability to produce high purity nickel and cobalt sulfates was demonstrated. The near-zero solid waste flowsheet is expected to serve as the basis for our onshore processing facilities.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PAMCO: </w:t>
      </w:r>
      <w:r>
        <w:rPr>
          <w:rFonts w:ascii="Times New Roman" w:cs="Times New Roman" w:eastAsia="Times New Roman" w:hAnsi="Times New Roman"/>
          <w:sz w:val="18"/>
          <w:szCs w:val="18"/>
          <w:color w:val="auto"/>
        </w:rPr>
        <w:t>In November 2022, we entered into a non-binding MoU with PAMCO of Japan. In November 2023, we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binding MoU with PAMCO whereby they must complete a feasibility study (anticipated to be completed in mid-2025) to toll treat 1.3 million tonnes of wet polymetallic nodules per year at its Hachinohe, Japan smelting facility. PAMCO’s Hachinohe facility is located on the coast in northern Japan and is equipped with port and processing infrastructure required to receive and process polymetallic nodules and to ship products to customers. In 2024, PAMCO successfully produced approximately 500 tonnes of calcine from nodules at their facility in Hachinohe, Japan.</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PAMCO successfully completed a pre-feasibility exercise pursuant to the non-binding MoU signed by the parties in November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binding MoU signed in November 2023:</w:t>
      </w:r>
    </w:p>
    <w:p>
      <w:pPr>
        <w:spacing w:after="0" w:line="207"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PAMCO, with our support, expects to complete the feasibility study by mid-2025.</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provide PAMCO with the exclusive right to the first 1.3Mtpa of the expected 3Mtpa of wet nodule collection capacity from our first nodule collection system until completion of the feasibility study.</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enter into good faith negotiations to finalize definitive processing agreements on completion of the feasibility study.</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feasibility study is expected to confirm operating parameters and product specifications for PAMCO’s dedicated production line and define the scope and execution plan for any additional equipment requirements, which are expected to be minor. An extended pilot demonstration program utilizing existing kilns and furnaces at PAMCO’s Hachinohe, Japan facility is in progress, treating a 2,000-tonne sample of polymetallic nodules collected during the successful pilot nodule collector test completed by Allseas in November 2022 on NORI Area D, with the goal of optimizing the furnace refractory selection and confirm commercial scale operating parameters such as tapping temperatures and dusting rates when treating nodules through the Hachinohe facility. The cost of processing polymetallic nodules will also be estimated to help finalize the definitive processing agreements.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parallel, PAMCO is continuing to study the addition of a converting facility to process the intermediate alloy to nickel-copper-cobalt matte, which is an upgraded intermediate feedstock for the production of metal and battery cathode precursor materials. It is expected that the additional facility would be constructed once commercial processing of polymetallic nodules to alloy has been demonstrated.</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enter into a definitive strategic alliance with PAMCO in a particular time period, or at all, or on terms similar to those set forth in the binding MoU, or that if a definitive strategic alliance are entered into by us or that the existing facility will be able to successfully process nodules in a particular time period,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Phased Project Development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Currently, we are an exploration stage company working towards a pre-feasibility study, which is nearing completion, and will form an integral part of our ISA application for an exploitation contract for the NORI Contract Areas. Having completed resource definition and environmental baseline and impact assessment studies on NORI Area D, we intend to apply for an exploitation contract on that area first with a Plan of Work application to be submitted to the regulator on June 27, 2025. If we obtain an exploitation contract, we then plan to commence production offshore (“Project Zero”) using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vessel which, subject to further modifications, is expected to be upgraded to a maximum capacity of 3.0 Mtpa of wet nodules. Subject to the success of Project Zero and any regulatory requirements, we then expect to move into the next phase of production (“Project One”) in which we intend to scale up production and expect to collect and process up to approximately 12 Mtpa of wet nodules at steady state (expected 2030-2045).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Work Program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currently focused on preparing to submit our application to the regulator for our first exploitation contract, which will include the entire NORI Contract Area, with the initial proposed collection activities occurring within NORI Area D. On November 12, 2024, we announced that NORI intends to submit its application for an exploitation contract to the regulator on June 27,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reach our objective and initiate commercial production, we are: (i) defining our resource and project economics, (ii) developing a commercial offshore nodule collection system, (iii) assessing the environmental, social and cultural impacts of offshore nodule collection, and (iv) developing onshore technology to process collected polymetallic nodules into a manganese silicate product, and an intermediate nickel-copper-cobalt matte or nickel-copper-cobalt alloy product and/or end-products like nickel and cobalt sulfates, and copper cathode.</w:t>
      </w:r>
    </w:p>
    <w:p>
      <w:pPr>
        <w:spacing w:after="0" w:line="179" w:lineRule="exact"/>
        <w:rPr>
          <w:sz w:val="20"/>
          <w:szCs w:val="20"/>
          <w:color w:val="auto"/>
        </w:rPr>
      </w:pPr>
    </w:p>
    <w:p>
      <w:pPr>
        <w:jc w:val="both"/>
        <w:ind w:left="340" w:hanging="332"/>
        <w:spacing w:after="0" w:line="254"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Resource definition and project economics: </w:t>
      </w:r>
      <w:r>
        <w:rPr>
          <w:rFonts w:ascii="Times New Roman" w:cs="Times New Roman" w:eastAsia="Times New Roman" w:hAnsi="Times New Roman"/>
          <w:sz w:val="18"/>
          <w:szCs w:val="18"/>
          <w:color w:val="auto"/>
        </w:rPr>
        <w:t>Having completed a total of nine offshore resource definition campaigns, collected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samples and completed subsea surveys for resource evaluation, we defined the size and quality of our resource in the NORI and TOML Areas, as described below, in our SEC Regulation S-K (subpart 1300) compliant </w:t>
      </w:r>
      <w:r>
        <w:rPr>
          <w:rFonts w:ascii="Times New Roman" w:cs="Times New Roman" w:eastAsia="Times New Roman" w:hAnsi="Times New Roman"/>
          <w:sz w:val="18"/>
          <w:szCs w:val="18"/>
          <w:i w:val="1"/>
          <w:iCs w:val="1"/>
          <w:color w:val="auto"/>
        </w:rPr>
        <w:t>Technical Report Summary -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Assessment of the NORI Property, Clarion Clipperton Zone, Pacific Ocean </w:t>
      </w:r>
      <w:r>
        <w:rPr>
          <w:rFonts w:ascii="Times New Roman" w:cs="Times New Roman" w:eastAsia="Times New Roman" w:hAnsi="Times New Roman"/>
          <w:sz w:val="18"/>
          <w:szCs w:val="18"/>
          <w:color w:val="auto"/>
        </w:rPr>
        <w:t>dated March 17, 2021 (“NORI Initial Assessment”) and</w:t>
      </w:r>
      <w:r>
        <w:rPr>
          <w:rFonts w:ascii="Times New Roman" w:cs="Times New Roman" w:eastAsia="Times New Roman" w:hAnsi="Times New Roman"/>
          <w:sz w:val="18"/>
          <w:szCs w:val="18"/>
          <w:i w:val="1"/>
          <w:iCs w:val="1"/>
          <w:color w:val="auto"/>
        </w:rPr>
        <w:t xml:space="preserve"> Technical Report Summary - TOML Mineral Resource, Clarion Clipperton Zone, Pacific Ocean </w:t>
      </w:r>
      <w:r>
        <w:rPr>
          <w:rFonts w:ascii="Times New Roman" w:cs="Times New Roman" w:eastAsia="Times New Roman" w:hAnsi="Times New Roman"/>
          <w:sz w:val="18"/>
          <w:szCs w:val="18"/>
          <w:color w:val="auto"/>
        </w:rPr>
        <w:t>dated March 26, 2021 (“TOML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 Resource Statement”), respectively, prepared by AMC. From this work, both NORI and TOML have reported measured, indicated and inferred resources. See Item 2 entitled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included in this Annual Report for additional information about these reported measured, indicated and inferred resources.We have continued to define our resource in the NORI and TOML areas, with the goal to develop project economics to pre-feasibility level with the intention of converting resources into reserves if possible.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offshore nodule collection system development: </w:t>
      </w:r>
      <w:r>
        <w:rPr>
          <w:rFonts w:ascii="Times New Roman" w:cs="Times New Roman" w:eastAsia="Times New Roman" w:hAnsi="Times New Roman"/>
          <w:sz w:val="18"/>
          <w:szCs w:val="18"/>
          <w:color w:val="auto"/>
        </w:rPr>
        <w:t>We are working with our strategic partner and investor, Allseas,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 a system to collect, lift and transport nodules from the seafloor to shore. The offshore collection system consists of nodule collector vehicles on the seafloor, a riser and lift system, a surface production support vessel and a surface nodule transfer vessel. The nodules are collected from the seafloor by self-propelled, tracked nodule collector vehicles using seawater jets aimed at nodules in parallel with the seafloor. No rock cutting, digging, drill-and-blast or other breakage are required at the point of collection. The collectors are remotely controlled and supplied with electric power via umbilical cables from the production support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To test the system and assess its environmental impacts, we entered into a contract with Allseas to undertake a pilot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trial of the collection system in the NORI Area D, which was completed in November 2022. The successful completion of the pilot trial will support our application for an exploitation contract with the ISA. An Environmental Impact Statement (“EIS”) for this pilot trial was submitted to the ISA in July 2021 and approved on September 7, 2022, with infield testing commencing on September 19, 2022. The surface production support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was acquired by Allseas in March 2020 and has strategic importance to us, since it supported the pilot trial and is expected to be upgraded to a low-capital early production system. The vessel and collector system successfully completed trials in shallow and deepwater in the first half of 2022 prior to completing the collector test in NORI Area D in the fall of 2022, where approximately 4,500 tonnes of wet nodules were collected and more than 3000 tonnes of wet nodules were lifted 4.3 kilometers to the surface after traversing over 80 kilometers of the seafloor, achieving a production rate of 86.4 tonnes per hour.</w:t>
      </w:r>
    </w:p>
    <w:p>
      <w:pPr>
        <w:spacing w:after="0" w:line="198"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result of the successful collector test in the fourth quarter of 2022, where more than 3000 tonnes of wet nodules were lifted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Allseas and NORI believe that they can upgrade the pilot nodule collection system, including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into the first production system, which we refer to as the Project Zero Offshore Nodule Collection System.</w:t>
      </w:r>
    </w:p>
    <w:p>
      <w:pPr>
        <w:spacing w:after="0" w:line="175"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we announced that Allseas and NORI are executing on a plan designed based on Allseas’ estimates to increase the maximum production capacity of the Project Zero Offshore Nodule Collection System from the previous estimate of 1.3 million wet tonnes per annum to up to an estimated 3.0 million wet tonnes per annum in stepped increments, a potential increase of 130%. The upgrades are expected to include the addition of a second collector vehicle, the use of a wider diameter riser pipe from the seafloor to the surface, implementation of a larger compressor spread and improvements to the system designed to further mitigate its environmental impacts.</w:t>
      </w:r>
    </w:p>
    <w:p>
      <w:pPr>
        <w:spacing w:after="0" w:line="146"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capacity is expected to be increased over time as environmental monitoring, production and experience milestones are met, which we believe will help manage environmental and operational risk, minimize up-front capital expenditure requirements and allow for staged increases in capacity as environmental review thresholds are met.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work program with Allseas in 2024 continued the reviewing of the test mining system’s performance, addressing operational issues, and identifying potential improvements for incorporation into the design. Key aspects included scaling technology to meet commercial production rates for the Project Zero Offshore Nodule Collection System and integrating this scaled-up technology into the Hidden Gem. As previously reported, the engineering scope was divided into six major work packages: collector, vertical transport system, storage &amp; offloading, control &amp; automation, electrical &amp; instrumentation, and flow assurance. Engineering studies progressed on offshore nodule offloading and transportation systems, including hydrodynamic simulations and dynamic positioning analysis. Notably, the offshore loading process was independently peer-reviewed with satisfactory outcomes. Ongoing design reviews were conducted at Allseas’ office in Delft, Netherlands, attended by TMC, Allseas, and third-party consultants. Allseas supports our ongoing work to complete a pre-feasibility study, including assistance in establishing cost estimates, schedules, and pre-feasibility study level engineering deliverables. Discussions continued regarding system design specifics and further cost considerations. Furthermore, Allseas continues to work collaboratively with NORI on environmental monitoring scopes to be included in the EIS and Environmental Management and Monitoring Plan (“EMMP”) process.</w:t>
      </w:r>
    </w:p>
    <w:p>
      <w:pPr>
        <w:spacing w:after="0" w:line="14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Regular meetings between us and Allseas cover various project aspects, including health, safety and environment. We believe that as of February 2025, the ongoing program of engineering work is nearly complete and we are ready to launch into the next phase of development when we have further insight into ISA regulatory requirements and progress.</w:t>
      </w:r>
    </w:p>
    <w:p>
      <w:pPr>
        <w:spacing w:after="0" w:line="13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Further to our non-binding term sheet entered into in March 2022 with Allseas, we continue discussions with Allseas regarding the specifics of these upgrades and the continued development of the Project Zero Offshore Nodule Collection System and anticipate reaching definitive agreements on commercial terms and key terms around continued development and commercial operations with Allseas before the submission of the NORI exploitation application in 2025. There can be no assurances, however, that we will enter into definitive agreements with Allseas in a particular time period, or at all, or on terms similar to those currently expected, or that if such definitive agreements are entered into that the Project Zero Offshore Nodule Collection System will be successfully developed or operated.</w:t>
      </w:r>
    </w:p>
    <w:p>
      <w:pPr>
        <w:spacing w:after="0" w:line="16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 xml:space="preserve">In addition, on August 1, 2023, we entered into an Exclusive Vessel Use Agreement with Allseas pursuant to which Allseas will give exclusive use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us in support of the development of the Project Zero Offshore Nodule Collection System until the system is completed or December 31, 2026, whichever is earlier. In consideration of the exclusivity term, we have issued 4.15 million of our common shares to Allseas (“Common Shares”) on August 14, 2023. We expect that the definitive agreement with Allseas discussed above will extend the exclusive use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340" w:hanging="332"/>
        <w:spacing w:after="0" w:line="253"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ESIA and CHIA for offshore nodule collection</w:t>
      </w:r>
      <w:r>
        <w:rPr>
          <w:rFonts w:ascii="Times New Roman" w:cs="Times New Roman" w:eastAsia="Times New Roman" w:hAnsi="Times New Roman"/>
          <w:sz w:val="18"/>
          <w:szCs w:val="18"/>
          <w:color w:val="auto"/>
        </w:rPr>
        <w:t>: The ESIA and CHIA is an integral part of preparing our application for the ISA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exploitation license on the NORI Contract Area. Our ESIA and CHIA programs consist of over 100 studies and rely on the work of multiple independent deep-sea research institutions and expert consultants. In 2022, we undertook the collector test monitoring campaigns which included completion of pre-collector test baseline data collection, monitoring of the collector test and completion of post collection surveys to determine the immediate impact to the environment of the collector. The monitoring was undertaken using the </w:t>
      </w:r>
      <w:r>
        <w:rPr>
          <w:rFonts w:ascii="Times New Roman" w:cs="Times New Roman" w:eastAsia="Times New Roman" w:hAnsi="Times New Roman"/>
          <w:sz w:val="18"/>
          <w:szCs w:val="18"/>
          <w:i w:val="1"/>
          <w:iCs w:val="1"/>
          <w:color w:val="auto"/>
        </w:rPr>
        <w:t>Island Pride</w:t>
      </w:r>
      <w:r>
        <w:rPr>
          <w:rFonts w:ascii="Times New Roman" w:cs="Times New Roman" w:eastAsia="Times New Roman" w:hAnsi="Times New Roman"/>
          <w:sz w:val="18"/>
          <w:szCs w:val="18"/>
          <w:color w:val="auto"/>
        </w:rPr>
        <w:t>, a vessel contracted from Ocean Infinity Group Limited, deploying 2 remotely operated vehicles (“ROVs”), 3 autonomous underwater vehicles (“AUVs”) and an array of more than 50 seafloor sensors, supervised by multiple teams of scientists and sediment plume expert consultants, DHI Water and Environment Inc. and HR Wallingford who conducted a sound assessment. These campaigns commenced on July 15, 2022 and were completed on December 23, 2022, representing 146 operational days at sea. The preliminary plume results from the collector test have been shared with a wide range of stakeholders and presentations were conducted at the ISA during the fourth quarter of 2023. The results showed that the plume behaves as a density current with most material staying within 2 meters of the seafloor and most material settling within 1 kilometer from the source.</w:t>
      </w:r>
    </w:p>
    <w:p>
      <w:pPr>
        <w:spacing w:after="0" w:line="153"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we entered into a services agreement with a third party in order for NORI to conduct an assessment of the benthic impact of the 2022 collector test in NORI Area D approximately 12 months post the collector test activities (“Campaign 8A”), which we believe will strengthen the quality of NORI’s EIS and Environmental Management and Monitoring Plan (“EMMP”) by providing additional information on the environmental regeneration in the collection test area. The key activities completed during Campaign 8A were box cores, multicores, benthic and covariance lander works, and megafauna and sedimentation survey around the test field area.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8"/>
          <w:szCs w:val="18"/>
          <w:color w:val="auto"/>
        </w:rPr>
        <w:t>Notwithstanding that Campaign 8A was subject to coordinated disruptive activities by Greenpeace International (“Greenpeace”) designed to prevent and obstruct the campaign, it was successfully completed on December 28, 2023. The team selected 19 sampling stations in the locality of the 2022 nodule collection system test in NORI Area D and conducted 39 multicore deployments, recovering 395 individual core samples. These yielded more than 600 subsamples that will be shared with independent researchers from leading marine research institutions for further biological analysis. Additionally, using a remotely operated vehicle, the research team deployed innovative seafloor lander systems capable of measuring seafloor oxygen fluxes using eddy covariance methods. This resulted in over 600 hours of data acquisition at a maximum deployment depth of 4,285 meters, which is the first time these bespoke sensor suites have been deployed at abyssal depths. This data is supplemented by over one thousand core sub-samples for geochemical analysis. Researchers also conducted the fourth annual recovery and redeployment of three oceanographic moorings within NORI Area D. The sensor payload on the moorings provides insights into the soundscape, regional oceanographic currents, and particulate organic carbon flux in the Eastern CCZ regions. This data contributes to the long-term oceanographic time series and importantly will cover the El Niño-Southern Oscillation fluctuations. Greenpeace spent 11 days actively obstructing the planned work of Campaign 8A, resulting in a significant impact to the work scopes planned for the campaign which we were able to successfully mitigate. In the case of TOML and our planned work as part of Campaign 8A, its work scope included the deployment of long-term monitoring moorings which was completely obstructed and was not able to be completed. The NORI and TOML work scopes were part of ISA approved plans of work and in NORI’s case, the post disturbance sampling was a specific suggestion of the ISA. NORI pursued legal action through the Dutch courts to halt Greenpeace’s activities and requested further assistance from the ISA. The District Court of Amsterdam ruled that Greenpeace’s occupation of NORI’s contracted vessel, the MV Coco, was unlawful, which led to the disembarkation of Greenpeace personnel. Greenpeace continued to actively obstruct NORI’s and TOML’s activities notwithstanding the court ruling. On November 12, 2024, the Court of Appeal in Amsterdam upheld the lower court’s ruling, reaffirming that Greenpeace’s occupation of the MV Coco was unlawful. The court also dismissed Greenpeace’s objection that NORI’s claims were inadmissible, affirming that NORI has a legally recognized interest in bringing claims against Greenpeace and retains the ability to pursue future legal action, including claims for damages, before Dutch courts.</w:t>
      </w:r>
    </w:p>
    <w:p>
      <w:pPr>
        <w:spacing w:after="0" w:line="20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In 2024, NORI continued making progress on its ESIA and CHIA, both of which will be part of NORI’s application for an exploitation contract to the ISA.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Baseline data continued to be compiled and assessed for the ESIA.</w:t>
      </w:r>
    </w:p>
    <w:p>
      <w:pPr>
        <w:spacing w:after="0" w:line="225" w:lineRule="exact"/>
        <w:rPr>
          <w:sz w:val="20"/>
          <w:szCs w:val="20"/>
          <w:color w:val="auto"/>
        </w:rPr>
      </w:pPr>
    </w:p>
    <w:p>
      <w:pPr>
        <w:jc w:val="both"/>
        <w:ind w:left="340" w:right="20"/>
        <w:spacing w:after="0" w:line="261" w:lineRule="auto"/>
        <w:rPr>
          <w:sz w:val="20"/>
          <w:szCs w:val="20"/>
          <w:color w:val="auto"/>
        </w:rPr>
      </w:pPr>
      <w:r>
        <w:rPr>
          <w:rFonts w:ascii="Times New Roman" w:cs="Times New Roman" w:eastAsia="Times New Roman" w:hAnsi="Times New Roman"/>
          <w:sz w:val="18"/>
          <w:szCs w:val="18"/>
          <w:color w:val="auto"/>
        </w:rPr>
        <w:t>Two global stakeholder webinars were held in 2024 which provided stakeholders with updates on the CHIA study’s methodologies and baseline data collection efforts. A review of bathymetry data to assess potential tangible cultural heritage sites was also undertaken and stakeholder engagement meetings were conducted in the Pacific, specifically in Nauru and Tonga, to inform the study.</w:t>
      </w:r>
    </w:p>
    <w:p>
      <w:pPr>
        <w:spacing w:after="0" w:line="176" w:lineRule="exact"/>
        <w:rPr>
          <w:sz w:val="20"/>
          <w:szCs w:val="20"/>
          <w:color w:val="auto"/>
        </w:rPr>
      </w:pPr>
    </w:p>
    <w:p>
      <w:pPr>
        <w:jc w:val="both"/>
        <w:ind w:left="340" w:hanging="332"/>
        <w:spacing w:after="0" w:line="257"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Onshore technology development: </w:t>
      </w:r>
      <w:r>
        <w:rPr>
          <w:rFonts w:ascii="Times New Roman" w:cs="Times New Roman" w:eastAsia="Times New Roman" w:hAnsi="Times New Roman"/>
          <w:sz w:val="18"/>
          <w:szCs w:val="18"/>
          <w:color w:val="auto"/>
        </w:rPr>
        <w:t>With the support of engineering firm Hatch and consultants KPM, we have developed a near-zero solid waste flowsheet. The primary processing stages of the flowsheet from nodule to an Fe-NiCuCo alloy and subsequent NiCuCo matte intermediate were demonstrated as part of our pilot plant program at FLSmidth (FLS, calcining) and eXpert Process Solutions, a Glencore company (XPS, smelting, sulfidation and converting), facilities. The matte refining stages were tested at SGS Lakefield and the ability to produce high purity nickel and cobalt sulfates was demonstrated. The near-zero solid waste flowsheet is expected to serve as the basis for our onshore processing facilities.</w:t>
      </w:r>
    </w:p>
    <w:p>
      <w:pPr>
        <w:spacing w:after="0" w:line="184"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PAMCO: </w:t>
      </w:r>
      <w:r>
        <w:rPr>
          <w:rFonts w:ascii="Times New Roman" w:cs="Times New Roman" w:eastAsia="Times New Roman" w:hAnsi="Times New Roman"/>
          <w:sz w:val="18"/>
          <w:szCs w:val="18"/>
          <w:color w:val="auto"/>
        </w:rPr>
        <w:t>In November 2022, we entered into a non-binding MoU with PAMCO. In November 2023, we entered into a binding MoU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PAMCO of Japan, whereby they must complete a feasibility study (anticipated to be completed in mid-2025) to toll treat 1.3 million tonnes of wet polymetallic nodules per year at its Hachinohe, Japan smelting facility. PAMCO’s Hachinohe facility is located on the coast in northern Japan and is equipped with port and processing infrastructure required to receive and process polymetallic nodules and to ship products to customers.</w:t>
      </w:r>
    </w:p>
    <w:p>
      <w:pPr>
        <w:spacing w:after="0" w:line="18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w:t>
      </w:r>
    </w:p>
    <w:p>
      <w:pPr>
        <w:spacing w:after="0" w:line="1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PAMCO successfully completed a pre-feasibility exercise pursuant to the non-binding MoU signed by the parties in November 2022. Under the binding MoU signed in November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PAMCO, with our support, expects to complete the feasibility study by mid-2025.</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provide PAMCO with the exclusive right to the first 1.3Mtpa of the expected 3Mtpa of wet nodule collection capacity of our first nodule collection system until completion of the feasibility study.</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enter into good faith negotiations to finalize definitive processing agreements on completion of the feasibility study.</w:t>
      </w:r>
    </w:p>
    <w:p>
      <w:pPr>
        <w:spacing w:after="0" w:line="16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feasibility study is expected to confirm operating parameters and product specifications for PAMCO’s dedicated production line and define the scope and execution plan for any additional equipment requirements, which are expected to be minor. An extended pilot demonstration program utilizing existing kilns and furnaces at PAMCO’s Hachinohe, Japan facility is in progress, treating a 2,000 tonne sample of polymetallic nodules collected during the successful pilot nodule collector test completed by Allseas in November 2022 on NORI Area D, with the goal of optimizing the furnace refractory selection and confirming commercial scale operating parameters such as tapping temperatures and dusting rates when treating nodules through the Hachinohe facility. The cost of processing polymetallic nodules will also be estimated to help finalize the definitive processing agreements.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parallel, 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w:t>
      </w:r>
    </w:p>
    <w:p>
      <w:pPr>
        <w:spacing w:after="0" w:line="176"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On September 9, 2024, we announced that PAMCO had successfully produced 500 tonnes of calcine from smelting polymetallic nodules and then on February 18, 2025, we announced that approximately 450 tonnes of calcine had been successfully smelted by PAMCO to produce nickel-copper-cobalt alloy and manganese silicate products.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also in the initial stages of considering the possibility of a U.S.-based regulatory pathway with NOAA and the U.S.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Department of Commerce under the DSHMRA for the commercial production of deep-sea polymetallic nodules in the CCZ.</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Mineral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Below is a summary table of estimated mineral resources in NORI and TOML contract areas as of December 31, 2024. The estimated mineral resources in these areas were determined in 2021 as of December 31, 2020, and also reflect the estimated mineral resources as of December 31, 2024, as none of the mineral resources in these areas were depleted by mining or any other activities. See Item 2 entitled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below for additional information about our estimated mineral resources. Both of these contract areas are in the exploration stage.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b w:val="1"/>
          <w:bCs w:val="1"/>
          <w:color w:val="auto"/>
        </w:rPr>
        <w:t>Summary Mineral Resources, In-Situ, at end of the fiscal year ended December 31, 2024 at 4kg/m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 and based on nickel metal $16,472/t; copper metal $6,872/t; cobalt metal $46,333/t; manganese in manganese silicate $4.50/dmtu Mn.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Measured mineral</w:t>
            </w:r>
          </w:p>
        </w:tc>
        <w:tc>
          <w:tcPr>
            <w:tcW w:w="15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Indicated mineral</w:t>
            </w: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Measured +</w:t>
            </w:r>
          </w:p>
        </w:tc>
        <w:tc>
          <w:tcPr>
            <w:tcW w:w="140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Inferred mineral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54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indicated mineral</w:t>
            </w: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Million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Million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4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tonnes</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(wet)</w:t>
            </w: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w:t>
            </w: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A</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B</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NORI Area C</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TOML (Areas A to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initial assessment included in the NORI Technical Report Summary is a conceptual study of the potential viability of NORI’s mineral resources. This initial assessment indicates that development of the NORI mineral resource is potentially technically viable; however, due to the preliminary nature of project planning and design, and the untested nature of the specific seafloor production systems at a commercial scale, economic viability has not yet been demonstrated. See Item 2 entitled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included in this Annual Report for additional information about the 2021 economic analysis of NORI Area D.</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NORI Technical Report Summary and TOML Technical Report Summary do not include the conversion of mineral resources to mineral reserves.</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Times New Roman" w:cs="Times New Roman" w:eastAsia="Times New Roman" w:hAnsi="Times New Roman"/>
          <w:sz w:val="18"/>
          <w:szCs w:val="18"/>
          <w:color w:val="auto"/>
        </w:rPr>
        <w:t>Inferred mineral resources have a high degree of uncertainty as to their existence and to whether they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Collection and Processing of Polymetallic Nodules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Transfer and Shipping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planning a phased development for NORI Area D. Polymetallic nodules would be collected using offshore collection systems, comprising of nodule collector vehicles on the seafloor, a riser and lifting system (RALS) in the water column, and a production support vessel on the surface. To maintain productivity of the production vessel, nodules are expected to be recovered from the hold of the production vessel using materials handling conveyors and discharged to a dynamically positioned transfer vessel with an expected 50,000 tonne capacity. We believe that this activity can be performed while the production vessel is simultaneously conducting collection operations. The transfer vessel is expected in turn to load bulk carriers using a similar materials handling system to that of the production vessel. The bulk carriers will ship the nodules to onshore processing facilities.</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Through our strategic partnership with Allseas, a former drillship vessel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acquired by Allseas in February 2020 has been converted and modified to undertake a pre-production collector test in which a collector vehicle, RALS and other systems have been tested. If we obtain an exploitation contract, the first phase of commercial production (“Project Zero”) would then be expected to commence after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has been upgraded to become a production support vessel that can produce up to 3 Mtpa (wet) of nodules. The nodules collected in Project Zero are expected to be processed through existing third-party RKEF facilities on a tolling basis.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360045</wp:posOffset>
            </wp:positionV>
            <wp:extent cx="5023485" cy="7054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23485" cy="705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8"/>
          <w:szCs w:val="18"/>
          <w:i w:val="1"/>
          <w:iCs w:val="1"/>
          <w:color w:val="auto"/>
        </w:rPr>
        <w:t>Illustration of a polymetallic nodule production system operated at 4 kilometers depth</w:t>
      </w: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order to test the collection system, we entered into a contract with Allseas to undertake a pre-production collector test, which was successfully completed in the second half of 2022. We expect that Project Zero commercial production would then commence after the upgrading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into a production vessel. If we obtain an exploitation contract, we expect to commence Project Zero Collection at a rate of 1.3 Mtpa increasing in staged increments to up to 3.0 Mtpa of wet polymetallic nodules. For Project One, we believe that a fleet of four production vessels, each with multiple dedicated nodule collector vehicles, could be estimated to produce approximately 12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 up. We believe that this approach will de-risk the project for a relatively low initial capital investment while retaining operational options, particularly in relation to logistics, to decrease unit operating cost as production is scaled up. Additionally, this phased development will allow for an adaptive approach to environmental management providing learning at small-scale which would be applied as production increases in scale.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Refining and Metallurgical Testing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Pyrometallurgical processing of polymetallic nodules has been extensively studied since the early 1970s.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this end, we have worked extensively with leading metallurgical testing service providers with technical support from engineering consultancy Hatch to develop pyrometallurgical processing and hydrometallurgical refining technologies for the production of critical metals feedstocks from nodules. We have developed a near-zero solid waste flowsheet and have executed a metallurgical testing program consisting of multiple phases. The pyrometallurgical processing phases at bench and pilot scales have been completed at KLM, FLSmidth and XPS facilities. A bench scale hydrometallurgical program was completed in 2024 at SGS facilities in Lakefield, Ontario. Pursuant to an engineering and consulting services agreement, Hatch provided support and technical advice during the development of the pilot test program, including analyzing and interpreting the testing results through reports provided by the testing service providers.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the processing of the polymetallic nodules from the NORI Contract Area would also be ramped up in phases. This plan includes initially toll treating polymetallic nodules at existing RKEF plants, utilizing existing excess industry capacity. We believe that there is significant interest to deploy underutilized RKEF plants which may now have increased capacity capabilities as a result of the Indonesian government nickel laterite ore export ban restricting supply of the nickel laterite feedstock that they have previously utilized. These RKEF plants were originally built to convert nickel laterite to ferro-nickel alloy or nickel pig iron and could potentially be converted to smelt polymetallic nodules.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we signed a binding MoU with PAMCO, where PAMCO must complete a feasibility study (anticipated to be completed by mid-2025) to toll treat 1.3 million tonnes of wet polymetallic nodules per year at its Hachinohe, Japan smelting facility. 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parallel, 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Alliances and Key Commercial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29, 2019, we entered into a Strategic Alliance Agreement with Allseas, whereby the parties will conduct project development of an integrated offshore nodule collection system for use by our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built and tested by Allseas. The 10,000,000 shares would only be issued upon completion of the pilot mining test in the CCZ using the PMTS (the “Success Fee Shares”), along with an additional $30 million cash success fee that would be payable simultaneously therewith. The Strategic Alliance Agreement also contemplated that the parties would enter into other commercial arrangements following the successful completion of the pilot trials of the PMTS in the CCZ.</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July 8, 2019, we and Allseas entered into the Pilot Mining Test Agreement (the “PMTA”), which governed the terms, design specifications, procedures, and timetable under which Allseas agreed to complete and test the PMTS, to be used by NORI. The PMTA was subsequently amended on September 1, 2019, February 20, 2020, March 4, 2021, June 30, 2021 and February 8, 2023. The Strategic Alliance Agreement was also amended on March 4, 2021 (collectively with the PMTA amendment of the same date, the “Amendment”), which Amendment became effective on September 9, 2021, the closing date of the business combination pursuant to the terms of the business combination agreement, dated as of March 4, 2021, by and among us (f/k/a Sustainable Opportunities Acquisition Corp.), 1291924 B.C. Unlimited Liability Company and DeepGreen Metals Inc. (the “Business Combination”). Pursuant to the Amendment, the cash fee payable pursuant to the PMTA was amended such that we would pay to Allseas (i) $10,000,000 on June 30, 2021 (which we subsequently amended with Allseas to change to within 10 business days of September 9, 2021 in a further amendment; this amount was paid on October 5, 2021), (ii) $10,000,000 on the later of January 1, 2022 and such time that confirmation is received with respect to the successful completion of the North Sea drive test, which was paid on April 25, 2022, and (iii) $10,000,000 upon successful completion of the pilot trials in the CCZ using the PMTS which was settled through the issuance of 10 million Common Shares in February 2023, along with additional costs owed Allseas under the PMTA in 850,000 Common Shares, in each case, priced at $1.00 per share under the fifth amendment to the PMTA. Pursuant to the Amendment, except as provided therein, Allseas may not, without our prior written consent, terminate the Strategic Alliance Agreement or the PMTA before NORI receives an ISA exploitation contract.</w:t>
      </w:r>
    </w:p>
    <w:p>
      <w:pPr>
        <w:spacing w:after="0" w:line="1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PMTA terminated by its terms upon the successful completion of the PMTS, whereas the overarching Strategic Alliance Agreement remains in place.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a commercial nodule collection system. The PMTS developed and tested by Allseas was expected to be upgraded to a commercial system with a targeted production capacity of at least 1.3 Mtpa of wet nodules (“Project Zero System”). NORI and Allseas intended to equally finance all costs related to developing and getting Project Zero System into production that were estimated at less than EUR100 million. It was anticipated that NORI will not have to make any Project Zero System-related payments to Allseas until later in 2023. Once in production, NORI expected to pay Allseas a nodule collection and transshipment fee estimated at approximately EUR 150 per wet tonne in the first year of operations and expected to be reduced by more than 20% in the following years as Allseas scaled up production to at least 1.3 Mtpa of wet nodules.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further Samsung 10000 vessel, with the potential for it to be engineered to support a production rate of 3.0 Mtpa of wet nodules.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successful completion of the NORI Area D pilot collection system trials in November 2022 and subsequent analysis of pilot data, the parties reviewed Project Zero System production target increases, system design changes and associated cost estimates revisions. In August 2023, we announced that Allseas and NORI were executing on a plan designed based on Allseas’ estimates to increase the maximum production capacity of the Project Zero Offshore Nodule Collection System from the previous estimate of 1.3 million wet tonnes per annum to up to an estimated 3.0 million wet tonnes per annum in stepped increments, a potential increase of 130%. The upgrades are expected to include the addition of a second collector vehicle, the use of a wider diameter riser pipe from the seafloor to the surface, implementation of a larger compressor spread and improvements to the system designed to further mitigate its environmental impacts and addition of a nodule transfer vessel with dynamic positioning to enable continuous nodule collection operations without stoppages from offloading.</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System capacity is expected to be increased over time as production and experience milestones are met, which we believe will help manage operational risk, minimize up-front capital expenditure requirements and allow for staged increases in capacity as environmental review thresholds are met.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in August 2023, we entered into an Exclusive Vessel Use Agreement with Allseas pursuant to which Allseas will give exclusive use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us in support of the development of the Project Zero Offshore Nodule Collection System until the system is completed or December 31, 2026, whichever is earlier. In consideration of the exclusivity term, we issued 4.15 million Common Shares to Allseas on August 14, 2023. We expect that the definitive agreement with Allseas discussed above will extend the exclusive use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TOML). Concurrent with entering into the Glencore Offtake Agreements, Glencore made an equity investment of $5 million into our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MoU with PAMCO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2022, we signed a non-binding MoU with PAMCO to evaluate the toll treatment of an initial quantity of 1.3 million tonnes of wet polymetallic nodules per year at PAMCO’s Hachinohe, Japan smelting facility. Potential progression to a NiCuCo matte product along with potentially higher throughputs were also included in the evaluation study. PAMCO successfully completed a pre-feasibility exercise pursuant to the non-binding MoU signed by the parties in November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we signed a binding MoU with PAMCO, where PAMCO must complete a feasibility study (expected to be completed by mid-2025) to toll treat 1.3 million tonnes of wet polymetallic nodules per year at its Hachinohe, Japan smelting facility. 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 PAMCO’s Hachinohe facility is located on the coast in northern Japan and is equipped with port and processing infrastructure required to receive and process polymetallic nodules and to ship products to customers. Under the new binding MoU:</w:t>
      </w:r>
    </w:p>
    <w:p>
      <w:pPr>
        <w:spacing w:after="0" w:line="189"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PAMCO, with our support, expects to complete the feasibility study by mid-2025;</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provide PAMCO with the exclusive right to the first 1.3Mtpa of the expected 3Mtpa of wet nodule collection capacity of our first nodule collection system until completion of the feasibility study;</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enter into good faith negotiations to finalize definitive processing agreements on completion of the feasibility study.</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PAMCO feasibility study is expected to confirm the operating parameters and product specifications for PAMCO’s dedicated production line and define the scope and execution plan for any additional equipment requirements, which are currently expected to be minor. An extended pilot demonstration program utilizing existing kilns and furnaces at PAMCO’s Hachinohe, Japan facility is in progress, treating a 2,000 tonne sample of polymetallic nodules collected during the successful pilot nodule collector test completed by Allseas in November 2022 on the NORI Area D, with the goal of optimizing the furnace refractory selection and confirm commercial scale operating parameters such as tapping temperatures and dusting rates when treating nodules through the Hachinohe facility. The costs of processing polymetallic nodules will also be estimated to help finalize the definitive processing agreement.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parallel, 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9, 2024, we announced that PAMCO had successfully produced 500 tonnes of calcine from processing polymetallic nodules in a rotary kiln and then on February 18, 2025, we announced that approximately 450 tonnes of calcine had been successfully smelted by PAMCO to produce 35 tonnes of NiCuCo alloy and 320 tonnes of Mn silicate products.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this partnership to progress to a definitive agreement in 2025, subject to successful feasibility study outcomes and agreement to mutually acceptable commercial terms. There can be no assurance that we will enter into a definitive tolling agreement in a particular time period, or at all, or on terms similar to those set forth in the binding MoU, or that if a definitive tolling agreement is entered into by us or that the existing facility will be able to successfully process nodules in a particular time period,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Terrestrial metals production is capital intensive and competitive. Production of nickel, cobalt and manganese alloys is largely dominated by Chinese or Chinese-funded competitors. Additionally, Chinese resources firms have historically been able to produce minerals and/or process metals from land-based operations in developing countries across the globe (e.g., cobalt in the DRC, nickel in Indonesia and the Philippines) at relatively low costs due to scale, efficiency and regulatory factors, including less stringent environmental and social regulations and lower labor and benefit costs.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two contracts held by our subsidiaries, 17 other entities (ISA Member States and private companies sponsored by ISA Member States) currently hold ISA Exploration Contracts for polymetallic nodules in the CCZ, Western Pacific and Indian Ocean Basin. If and when they move into the exploitation phase, each of these contract-holders could become a potential competitor with respect to the collection of polymetallic nodules and the production of nickel, manganese, copper and cobalt products. Furthermore, several nation-states are working on developing polymetallic nodule resources inside their Exclusive Economic Zones (“EEZs”), with the Cook Islands granting three exploration contracts for polymetallic nodules in February 2022, India announcing an auction of polymetallic nodule exploration tenements in 2024 and a large polymetallic nodule deposit was discovered in the Japanese EEZ in mid-2024, with further exploration and test mining in the works.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Beyond polymetallic nodules, nations like Norway, Japan, PNG, Brazil, India, Oman and the Kingdom of Saudi Arabia are exploring other types of deep-sea resources containing some of the metals contained in polymetallic nodules. There is increasing competition from new and existing marine mineral companies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Nations Convention on the Law of the Sea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Area is defined as the seabed and subsoil beyond the limits of national jurisdiction (UNCLOS Article 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policy documents governing the Area, including the CCZ, include:</w:t>
      </w:r>
    </w:p>
    <w:p>
      <w:pPr>
        <w:spacing w:after="0" w:line="225"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UNCLOS, of 10 December 1982;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1994 Implementation Agreement.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125730</wp:posOffset>
            </wp:positionV>
            <wp:extent cx="5263515" cy="27514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6351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July 2024, UNCLOS had been signed by 169 States (countries) and the European Union.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Seabed Authority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In so doing, the ISA has the mandate to regulate all mineral related activities in the Area for the benefit of humankind and ensure the effective protection of the marine environment from harmful effects that may arise from deep-seabed related activities. The ISA is comprised of UNCLOS signatories, 169 Member States, and the European Union. All parties to UNCLOS are members of the ISA. Two principal entities establish the policies and govern the work of the ISA: the Assembly, where all 170 members are represented (the “Assembly”), and a 36-member council elected by the Assembly (the “Council”). The Council has two advisory bodies: the Legal Technical Commission (“LTC”) (41 members), which advises the Council on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rules, regulations, and procedures issued by the ISA to regulate prospecting, exploration, and collection of marine minerals are issued within a general legal framework established by UNCLOS and the 1994 Implementation Agreement. To date, the ISA has issued the following regulations (</w:t>
      </w:r>
      <w:r>
        <w:rPr>
          <w:rFonts w:ascii="Times New Roman" w:cs="Times New Roman" w:eastAsia="Times New Roman" w:hAnsi="Times New Roman"/>
          <w:sz w:val="18"/>
          <w:szCs w:val="18"/>
          <w:i w:val="1"/>
          <w:iCs w:val="1"/>
          <w:color w:val="auto"/>
        </w:rPr>
        <w:t>https://www.isa.org.jm/mining-code/Regulations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Nodules in the CCZ (adopted July 13, 2000, as amended in 2013; the Regulations).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Polymetallic Sulphides (adopted May 7, 2010).</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on Prospecting and Exploration for Cobalt-Rich Ferromanganese Crusts in the CCZ (July 2012).</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commercial polymetallic nodule collection operations have started anywhere in the world. Currently, exploration activities undertaken are aimed at gathering the necessary information on the location, quality and quantity of the minerals of the seabed as well as collecting the necessary environmental and social baseline information. To date, the ISA has approved 17 contracts in the CCZ for exploration of nodules, one in the Indian Ocean and one in the Western Pacific Ocean covering more than 1.35 million square kilometers of the seabed. This represents 0.3 percent of the world’s oceans seafloor. Twelve of these contracts are sponsored by developing countries (including the sponsors of our subsidiaries NORI — Nauru, and TOML — Tonga).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The ISA is currently working on the development of a legal framework to regulate the commercialization of mineral development activities, as described below.</w:t>
      </w:r>
    </w:p>
    <w:p>
      <w:pPr>
        <w:spacing w:after="0" w:line="1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49" w:lineRule="exact"/>
        <w:rPr>
          <w:sz w:val="20"/>
          <w:szCs w:val="20"/>
          <w:color w:val="auto"/>
        </w:rPr>
      </w:pPr>
    </w:p>
    <w:p>
      <w:pPr>
        <w:jc w:val="both"/>
        <w:ind w:firstLine="324"/>
        <w:spacing w:after="0" w:line="231" w:lineRule="auto"/>
        <w:rPr>
          <w:sz w:val="20"/>
          <w:szCs w:val="20"/>
          <w:color w:val="auto"/>
        </w:rPr>
      </w:pPr>
      <w:r>
        <w:rPr>
          <w:rFonts w:ascii="Times New Roman" w:cs="Times New Roman" w:eastAsia="Times New Roman" w:hAnsi="Times New Roman"/>
          <w:sz w:val="18"/>
          <w:szCs w:val="18"/>
          <w:color w:val="auto"/>
        </w:rPr>
        <w:t>In August 2017, the Council released the first Draft Regulations on Exploitation of Mineral Resources in the CCZ, as subsequently amended. In March 2019, the Council released the advance and unedited text (English only) of the Draft Regulations on Exploitation of Mineral Resources in the CCZ (ISBA/25/LTC/WP.1) (ISA, 2018). The revised draft exploitation regulations incorporated the consideration of requests addressed to the LTC by the Council during the first part of the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targeting to finalize these regulations by July 2020, but the COVID-19 pandemic disrupted ISA meetings and discussions. At its July 2023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meeting, the Council adopted a decision with a view to adopt final exploitation regulations during the thirtieth ISA session in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still in the exploration phase of the project and have not yet obtained an exploitation contract from the ISA (“ISA Exploitation Contract”) to commence commercial-scale polymetallic nodule collection in the CCZ. An ISA exploitation contract application is comprised of several components, including Certificate of Sponsorship, Mining Plan, Financing Plan, EIS, Emergency Response and Contingency Plan, Health and Safety Plan and maritime Security Plan, Training Plan, EMMP and Closure Plan. In addition, we do not have the applicable environmental and other permits required to build or modify and operate commercial scale polymetallic nodule processing and refining plants on land.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25, 2021, Nauru submitted its notice to the ISA requesting that it complete the adoption, by July 9, 2023, of rules, regulations and procedures necessary to facilitate the approval of plans of work for exploitation in the Area. The ISA did not complete the adoption of the rules, regulations and procedures by July 9, 2023, as required. At its July 2024 session, the ISA completed a first reading of the consolidated text and requested the Secretariat produce a second consolidated text in 2024. The ISA agreed to continue the negotiations of the Mining Code with a continued view to its adoption during the 30th Session of the ISA in 2025. The ISA Council has scheduled two ISA Council meetings in March and July 2025 to progress the Mining Code and has agreed to continue working inter-sessionally to advance the text. The second consolidated text of the draft Mining Code was released in November 2024.</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we believe that the ISA will adopt the exploitation regulations and any necessary rules, regulations and procedures to facilitate the approval of a plan of work for exploitation by the thirtieth session as the ISA has indicated, there can be no assurances that the adoption of these regulations will not be delayed or paused as a result of the actions of ISA member States. The Draft Regulations and several supporting standards and guidelines are at an advanced stage, but there remains uncertainty regarding the final form that these will take as well as the impact that such regulations, standards and guidelines will have on our ability to begin commercial operations in a timely manner, or at all. If the ISA Council has not completed the adoption of such regulations within the prescribed time and an application for approval of a plan of work for exploitation is pending, the ISA shall nonetheless consider and provisionally approve such a plan of work for exploitation based on: (i) the provisions of the UNCLOS; (ii) any rules, regulations and procedures that the ISA may have adopted provisionally, (iii) the basis of the norms contained in the UNCLOS and (iv) the terms and principles contained in the Agreement relating to the Implementation of Part XI, including the principle of non-discrimination among contractors. There can be no assurance that the ISA will provisionally approve our plan or that such provisional approval would lead to the issuance of an exploitation contract by the ISA.</w:t>
      </w:r>
    </w:p>
    <w:p>
      <w:pPr>
        <w:spacing w:after="0" w:line="1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12, 2024, we announced that our subsidiary, NORI, intends to submit its application for an exploitation contract to the ISA on June 27, 2025.</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Consistent with NORI’s rights under the UNCLOS, and the 1994 Agreement relating to the Implementation of Part XI of UNCLOS (the Agreement), NORI reserves its right to submit an application for a plan of work for exploitation, which will be included as part of the application for an exploitation contract, prior to the ISA’s provisional adoption and approval of the exploitation regulations, the possibility of which was recognized in the ISA Council decisions ISBA/28/C/24 and ISBA/28/C/25, and to have that application considered and provisionally approved pursuant to Section 1, Paragraph 15 of the Annex to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Exploration Contract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2011, our wholly-owned subsidiary, NORI, was granted a polymetallic nodule exploration contract by the ISA, providing it exclusive rights to explore 74,830 square kilometers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NORI Exploration Contract, which was granted pursuant to the ISA’s Regulations on Prospecting and Exploration for Polymetallic Nodules in the CCZ (the “Regulations”), formalized a 74,830 square kilometers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exploration, NORI is required to, among other things:</w:t>
      </w:r>
    </w:p>
    <w:p>
      <w:pPr>
        <w:spacing w:after="0" w:line="225"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the agreed plan of work;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 annual report to the ISA;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certain performance and expenditure commitments;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 annual overhead charge to cover the costs incurred by the ISA in administering and supervising the contract;</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training programs for personnel of the ISA and developing countries in accordance with an approved training program;</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measures to prevent, reduce, and control pollution and other hazards to the marine environment arising from its activities in the CCZ;</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appropriate insurance policies;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environmental baselines against which to assess the likely effects of its program of activities on the marine environment;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implement a program to monitor and report on such effects.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12, 2024, we announced that our subsidiary, NORI, intends to submit its application for an exploitation contract to the ISA on June 27, 2025. 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2021, NORI submitted a review of the implementation of the plan of work for the period from 2017 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 NORI is required to submit an application for extension no later than six months before the expiration of the contract. NORI intends to submit an application for a five-year extension in 2025.</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ISA Council may suspend or terminate the NORI Exploration Contract, without prejudice to any other rights that the ISA may have, if any of the following events should occur:</w:t>
      </w:r>
    </w:p>
    <w:p>
      <w:pPr>
        <w:spacing w:after="0" w:line="162" w:lineRule="exact"/>
        <w:rPr>
          <w:sz w:val="20"/>
          <w:szCs w:val="20"/>
          <w:color w:val="auto"/>
        </w:rPr>
      </w:pPr>
    </w:p>
    <w:p>
      <w:pPr>
        <w:jc w:val="both"/>
        <w:ind w:left="680" w:hanging="321"/>
        <w:spacing w:after="0" w:line="261"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 to this point, NORI is compliant and has never received a written warning from the ISA;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has failed to comply with a final binding decision of the dispute settlement body applicable to it; or</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NORI Sponsorship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a sponsorship agreement (the “NORI Sponsorship Agreement”) formalizing certain obligations of the parties in relation to NORI’s exploration and potential collection of nodules within the NORI Contract Area of the CCZ. The NORI Sponsorship Agreement will remain in force for the duration of the 15-year NORI Exploration Contract and will automatically extend for a further 20 years upon NORI reaching the minimum recovery level under an ISA Exploitation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 NORI has begun discussions with the Government of Nauru to renegotiate the existing sponsorship agreement and has committed to paying corporate income tax within Nauru.</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Exploration Contract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we acquired TOML from Deep Sea Mining Finance Limited, providing us with exclusive rights to explore a 74,713 square kilometers area of the CCZ seabed. TOML holds an exploration contract granted by the ISA and sponsored by the Kingdom of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TOML Exploration Contract was granted pursuant to the ISA’s Regulations, as well as Article 153 of UNCLOS, and formalized a 74,713 square kilometers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ISA requirements contractors are required to submit five-year work programs. The first TOML five-year work program was completed in 2016 and reviewed and accepted by the ISA in late 2016. In 2021, TOML submitted a review of the implementation of the plan of work for the period from 2017 to 2021 to the ISA. The review included a proposed plan of work for the next five-year period from 2022 to 2026.</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23, 2022, the ISA accepted TOML’s proposed program of activities for the 2022-2026 five-year period.</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ISA Council may suspend or terminate the TOML Exploration Contract, without prejudice to any other rights that the ISA may have, if any of the following events occur:</w:t>
      </w:r>
    </w:p>
    <w:p>
      <w:pPr>
        <w:spacing w:after="0" w:line="162" w:lineRule="exact"/>
        <w:rPr>
          <w:sz w:val="20"/>
          <w:szCs w:val="20"/>
          <w:color w:val="auto"/>
        </w:rPr>
      </w:pPr>
    </w:p>
    <w:p>
      <w:pPr>
        <w:jc w:val="both"/>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spite of written warnings by the ISA, TOML has conducted its activities in such a way that results in serious persistent and willful violations of the fundamental terms of this contract, Part XI of UNCLOS, the 1994 Agreement and the rules, regulations and procedures of the ISA: to this point, TOML is compliant and has never received a written warning from the ISA;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has failed to comply with a final binding decision of the dispute settlement body applicable to it;</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TOML becomes insolvent or commits an act of bankruptcy or enters into any agreement for composition with its creditors or goes into liquidation or receivership, whether compulsory or voluntary; or</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petitions or applies to any tribunal for the appointment of a receiver or a trustee for itself or commences any proceedings relating to bankruptcy, insolvency or readjustment of debt law, whether now or hereafter in effect, other than for the purpose of reconstruction.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TOML Sponsorship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Unless otherwise terminated by the parties, the term for the TOML Sponsorship Agreement is for the duration of TOML’s ISA Exploration Contract and will automatically extend for a further 25 years upon TOML being granted an ISA Exploitation Contract. Upon reaching the minimum recovery level within the tenement area, TOML has agreed to pay Tonga a seabed mineral recovery payment based on the polymetallic nodules recovered from the tenement area. In addition, TOML will pay an administration fee each year to Tonga for such administration and sponsorship, which is subject to review and increase in the event that TOML is granted an ISA Exploitation Contract. TOML expects to renegotiate the existing sponsorship agreement with Tonga prior to entering into operations in the TOML area and has committed to paying corporate income tax within Tonga.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Royalties and taxes payable on any future production from the CCZ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open-ended working group has been formed and has met numerous times to discuss potential ISA royalty and sponsoring State taxation regimes supported by modelling conducted by the Massachusetts Institute of Technology. A final royalty and payment regime has not been agreed.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NORI Sponsorship Agreement between Nauru and NORI and under the TOML Sponsorship Agreement between Tonga and TOML, upon reaching a minimum recovery level within the tenement areas, NORI and TOML have agreed to pay Nauru and Tonga a seabed mineral recovery payment for polymetallic nodules recovered from the tenement area, annually adjusted (from year 5) on a compounding basis based on the official inflation rate in the U.S. In addition, NORI and TOML will pay an administration fee each year to Nauru and Tonga for such administration and sponsorship, which is subject to review and increase in the event that NORI or TOML are granted an ISA Exploitation Contract. NORI and TOML have both committed to paying corporate income tax within Nauru and Tonga,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ISA is mandated through UNCLOS to “preserve and protect the marine environment” while developing the resources within the Area. Given the location of the NORI Contract Area, the ISA is responsible for assessing the ESIA prepared by NORI and for granting the relevant permits.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ISA has issued Regulations on Prospecting and Exploration for Polymetallic Nodules (adopted on July 13, 2000, updated on July 25, 2013). The regulations are complemented by the LTC’s recommendations for the guidance of contractors on assessing the environmental impacts of exploration. The exploitation regulations on deep-seabed collection will be complemented by various standards and guidelines, and environmental thresholds. The ISA is currently developing these standards and guidelines, and thresholds which are expected to be finalized by the LTC and adopted by the Council. The ISA has divided the required standards and guidelines in three phases.</w:t>
      </w:r>
    </w:p>
    <w:p>
      <w:pPr>
        <w:spacing w:after="0" w:line="187" w:lineRule="exact"/>
        <w:rPr>
          <w:sz w:val="20"/>
          <w:szCs w:val="20"/>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Standards and guidelines deemed necessary to be in place by the time of adoption of the draft regulations on exploitation.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Standards and guidelines deemed necessary to be in place prior to the receipt of an application of a plan of work for exploitation.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Standards and guidelines deemed necessary to be in place before commercial mining activities commence in the Area.</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Ten standards and guidelines have been prepared in Phase 1, provided to stakeholders for comment, reviewed and amended by the LTC and provided to Council for consideration and approval. Additional standards and guidelines will be drafted as part of the development of Phase 2 and 3.</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that the ISA requires the completion of baseline studies and Environmental Impact Assessment (“EIA”), culminating in an EIS for proposed commercial operations, prior to collection. An EIS and an EMMP, will be required as part of the application for an ISA Exploitation Contract for operations in the CCZ. Environmental and social baseline studies are being conducted, and NORI has engaged several leading deep-sea research institutions and scientists to contribute to our environmental and social impact assessment program, consisting of over 100 discrete studies.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high-resolution imagery, full column physical and chemical oceanographic data and environmental baseline studies. Our last offshore campaign to collect environmental baseline data was completed in 2022. An integrated collector test involving trialing of collector vehicle and riser system took place in 2022. The environmental impacts of this test were monitored from a separate research vessel. An additional environmental campaign was executed in 2023 to return to the site 12 months after the test. Data collected from the test monitoring campaign and 12-month revisit campaigns will be used to forecast the impacts for a full-scale commercial operation in NORI’s EIS. 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are required.</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Article 165(2)(b) of the Convention and Paragraph 11(a) of the 1994 Agreement, an application for a Plan of Work is first reviewed by the LTC and a recommendation concerning the approval of the Plan of Work is submitted by the LTC to the Council. Rule 44 of the LTC’s Rules of Procedure requires decision making by consensus. If all efforts to reach consensus have been exhausted, however, then a decision by voting shall be taken by a majority of members present and voting.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positive recommendation is submitted by the LTC to the Council concerning the approval of a Plan of Work, the Council is required to approve the LTC’s recommendation unless a two-thirds majority of its members present and voting, including a majority of members present and voting in each of the chambers of the Council, decides to disapprove the Plan of Work. If the Council does not take a decision on the LTC’s recommendation within 60 days, the recommendation shall be deemed to have been approved by the Council.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sponsoring State has a responsibility to put in place legislation to ensure the entity it has sponsored complies with UNCLOS and ISA rules and regulations. Nauru implemented the Nauru International Seabed Minerals Act in 2015, which was amended and renamed to Nauru Seabed Minerals Authority Act in 2024, that NORI is required to comply with.</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NORI’s assessment is that it is in compliance with existing exploration permits and contracts. In addition to working on key engineering aspects of the project such as designing the final nodule collector and the dewatering facility, NORI is also continuing the following tasks:</w:t>
      </w:r>
    </w:p>
    <w:p>
      <w:pPr>
        <w:spacing w:after="0" w:line="176"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delineating nodule mineralization;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characterizing the nature of any materials returned to the environment;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oceanographic and physical information to inform models (e.g., sediment plume models);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other plans, including the EMMP and the various subordinate plans.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2023, we entered into a binding MoU with PAMCO whereby they must complete a feasibility study (anticipated to be completed in mid-2025) to toll treat 1.3 million tonnes of wet polymetallic nodules per year at its Hachinohe, Japan smelting facility. PAMCO’s Hachinohe facility is located on the coast in northern Japan and is equipped with port and processing infrastructure required to receive and process polymetallic nodules and to ship products to customers. This is an existing facility that has processed laterite ores since the mid 1960’s and has all the required operating permits to do so. The planned metallurgical process is expected to generate near-zero solid waste products. The deleterious elements’ (for example, cadmium and arsenic) content of the nodules is understood to be very low, indicating that with careful management, the environmental impacts of the processing operation are expected to be low. PAMCO are working with Japanese authorities to ensure that the environmental impacts of treating nodules are minimized and can be undertaken within PAMCO existing permissions or ensuring appropriate permissions are issued if required.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conclusively state that any pending applications, existing or future intellectual property will be definitively useful in protecting or promoting our business and growth plans.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information on the risks associated with our intellectual property strategy and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we employed forty-seven (47) employees and contractors. None of our staff are covered by collective bargaining agreements.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Attracting Talent</w:t>
      </w:r>
      <w:r>
        <w:rPr>
          <w:rFonts w:ascii="Times New Roman" w:cs="Times New Roman" w:eastAsia="Times New Roman" w:hAnsi="Times New Roman"/>
          <w:sz w:val="18"/>
          <w:szCs w:val="18"/>
          <w:color w:val="auto"/>
        </w:rPr>
        <w:t>. Our team is comprised of highly skilled individuals from a variety of fields. Geographically, our staff are located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Tonga, Nauru, U.S., Canada, Australia, United Kingdom and United Arab Emirates. We are committed to attracting, developing and retaining world-class talent that is inclusive of a diverse range of perspectives, age, gender, gender identity, race, sexual orientation, physical capability, neurological difference, ethnicity and belief. Our goal is to develop cultural competency by seeking knowledge, increasing awareness, modeling respect and promoting inclusion.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People Engagement</w:t>
      </w:r>
      <w:r>
        <w:rPr>
          <w:rFonts w:ascii="Times New Roman" w:cs="Times New Roman" w:eastAsia="Times New Roman" w:hAnsi="Times New Roman"/>
          <w:sz w:val="18"/>
          <w:szCs w:val="18"/>
          <w:color w:val="auto"/>
        </w:rPr>
        <w:t>. As a company working to pioneer a new industry and new ways of doing things, our success depends on attracting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retaining strong, independent, entrepreneurial, and multi-talented team members capable of dealing with high levels of uncertainty and adversity. Our team is distributed across several continents and several time zones, with remote working being the norm for most of our staff and multi-week offshore campaigns being the norm for our offshore team.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video communication and creating opportunities for in-person gatherings. We offer our team members flexible work schedules and autonomy in managing their time while encouraging them to set boundaries between work on our shared mission and their home lives.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compensate our staff competitively, striving to be in the 50th-60th percentile of our peers for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benefits. In addition to salaries, our compensation and benefits program includes annual discretionary bonuses, 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Environment, Health &amp; Safety (EHS). </w:t>
      </w:r>
      <w:r>
        <w:rPr>
          <w:rFonts w:ascii="Times New Roman" w:cs="Times New Roman" w:eastAsia="Times New Roman" w:hAnsi="Times New Roman"/>
          <w:sz w:val="18"/>
          <w:szCs w:val="18"/>
          <w:color w:val="auto"/>
        </w:rPr>
        <w:t>Our EHS vision is to fully integrate environmental, health and safety into our operations,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 a workplace free of incidents. In 2024, we relied on the EHS programs of our partners Allseas and an offshore support service provider to conduct our operations in a safe manner and in compliance with applicable safety laws, rules and regulations. These all involve EHS systems incorporating thorough planning, risk assessment and disciplined implementation of controls as well as culturally-based safety observations systems like safe act observations and obligation of “stop work if it is unsafe to proceed”.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 metals.co</w:t>
      </w:r>
      <w:r>
        <w:rPr>
          <w:rFonts w:ascii="Times New Roman" w:cs="Times New Roman" w:eastAsia="Times New Roman" w:hAnsi="Times New Roman"/>
          <w:sz w:val="18"/>
          <w:szCs w:val="18"/>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 We include our website address in this Annual Report only as an inactive textual reference. Information contained in our website does not constitute a part of this Annual Report or our other filings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corporation existing under the laws of British Columbia, Canada. Our registered and records office is located at 1111 West Hastings Street, 15th Floor, Vancouver, British Columbia V6E 2J3, Canada, and our telephone number is (888) 458-3420. We do not have a physical office in Vancouver, British Columbia, our directors and executive officers work remotely in various countries around the world, and the Vancouver, British Columbia address disclosed is our registered and records office required under the Business Corporations Act (British Columbia)</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If any such risks and uncertainties actually occur, our business, prospects, financial condition and results of operations could be materially and adversely affected. The risks described below are not the only risks that we face. Additional risks and uncertainties not currently known to us, or that we currently deem to be immaterial may also materially adversely affect our business, prospects, financial condition and results of operations. The risk factors described below should be read together with the other information set forth in this Annual Report, including our consolidated financial statements and the related notes, as well as in other documents that we file with the SEC.</w:t>
      </w:r>
    </w:p>
    <w:p>
      <w:pPr>
        <w:spacing w:after="0" w:line="183" w:lineRule="exact"/>
        <w:rPr>
          <w:sz w:val="20"/>
          <w:szCs w:val="20"/>
          <w:color w:val="auto"/>
        </w:rPr>
      </w:pPr>
    </w:p>
    <w:p>
      <w:pPr>
        <w:jc w:val="center"/>
        <w:ind w:right="5180"/>
        <w:spacing w:after="0"/>
        <w:rPr>
          <w:sz w:val="20"/>
          <w:szCs w:val="20"/>
          <w:color w:val="auto"/>
        </w:rPr>
      </w:pPr>
      <w:r>
        <w:rPr>
          <w:rFonts w:ascii="Times New Roman" w:cs="Times New Roman" w:eastAsia="Times New Roman" w:hAnsi="Times New Roman"/>
          <w:sz w:val="17"/>
          <w:szCs w:val="17"/>
          <w:b w:val="1"/>
          <w:bCs w:val="1"/>
          <w:color w:val="auto"/>
        </w:rPr>
        <w:t>Summary of the Material Risks Associated with Our Business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risks include, but are not limited to, the following:</w:t>
      </w:r>
    </w:p>
    <w:p>
      <w:pPr>
        <w:spacing w:after="0" w:line="225" w:lineRule="exact"/>
        <w:rPr>
          <w:sz w:val="20"/>
          <w:szCs w:val="20"/>
          <w:color w:val="auto"/>
        </w:rPr>
      </w:pPr>
    </w:p>
    <w:p>
      <w:pPr>
        <w:ind w:left="68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numerous regulatory uncertainties which, if not resolved in our favor, would have a material adverse impact on our business.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resource development activities are subject to changes in government regulation and political instability.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of the laws, rules, regulations or policies to which we are subject could have a significant impact on our business.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collecting, shipping,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grade and quality of the polymetallic nodule deposits that we intend to develop are estimates, and there are no guarantees that such deposits will be suitable for collecting or commercialization.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seafloor polymetallic nodule deposit has ever been commercially collected, and our offshore collection technology and development plans and processes may not be sufficient to accomplish our objectives.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from the contract areas of NORI and TOML are only estimates.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significant risks, and we may never develop minerals in sufficient grade or quantities to justify commercial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our estimates of polymetallic nodule deposits could result in lower-than-expected revenues and higher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there are no assurances that our efforts will be successful.</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market prices of nickel, manganese, copper, cobalt, and other commodities will have a material impact on our ability to achieve commercial success.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fluctuations in demand for nickel, manganese, copper, cobalt, and other commodities.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perceptions related to the offshore collection of polymetallic nodules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and our shareholders may be adversely impacted by pressure and lobbying from non - governmental organizations.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collection and onshore processing and refining operations pose inherent risks and costs that may negatively impact our business.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contingent on our ability to successfully identify, collect, ship and process polymetallic nodules profitably, and in doing so, we will need to rely on certain existing and future strategic relationships, some of which we may be unable to maintain and/or develop.</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offshore equipment that we will need to accomplish our objectives has not been manufactured and/or tested.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substantially dependent on our strategic relationship with Allseas. If we and Allseas are unable to successfully maintain and expand this relationship, our business may be materially harmed.</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and polymetallic nodule collecting activities may be affected by natural hazards, which could have a material adverse effect on our business.</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there can be no assurance that we will be able to commercially develop our resource areas or achieve profitability in the future.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for the success of our business. The loss of key personnel or the hiring of ineffective personnel could negatively impact our operations and profitability.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information technology systems, which are subject to cyber threats, disruption, damage and failure.</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6"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comply with the continued listing standards of Nasdaq.</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implement and maintain effective internal controls over financial reporting, investors may lose confidence in the accuracy and completeness of our financial reports and we may face litigation.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vis-à-vis our multi-national operations, which could adversely affect our business.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classified as a PFIC in any taxable year, which could result in adverse U.S. federal income tax consequences to U.S. holders.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20" w:hanging="288"/>
        <w:spacing w:after="0"/>
        <w:tabs>
          <w:tab w:leader="none" w:pos="6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and Environmental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regulatory uncertainties which, if not resolved in our favor, would have a material adverse impact on our business.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no commercial collection (also referred to as “mining,” “exploitation” or “harvesting”) of nodules has occurred on the seafloor in the area of the high seas beyond the limits of national jurisdiction (the “Area”), which includes the CCZ. Moreover, despite the release by the ISA of the Draft Regulations on Exploitation of Mineral Resources (the “Draft Regulations”), finalization of such regulations remains subject to approval and adoption by the ISA. Once adopted, these regulations will add to the legal and technical framework for exploitation of the polymetallic nodules in the NORI and TOML contract areas.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 paragraph 15 of the 1994 Agreement Relating to the Implementation of Part XI of UNCLOS (the “1994 Agreement”)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June 25, 2021, Nauru submitted such a notice, with an effective date of July 9, 2021, to the ISA requesting that it complete the adoption of rules, regulations and procedures (“RRPs” or the “Mining Code”)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The road map included three scheduled ISA Council meetings through July 2024 to elaborate on the Mining Code. The Mining Code was not completed at the July 2024 ISA Council meetings and during these meetings, the ISA agreed to continue the negotiations of the Mining Code with a continued view to its adoption during the 30th Session of the ISA in 2025. The ISA Council has scheduled two ISA Council meetings, one in March 2025 and the other of which is expected to occur in July 2025, to progress the Mining Code. Although we believe the ISA will adopt the Mining Code, there can be no assurances that the Mining Code will be adopted in 2025, or at all, as a result of actions of ISA member States or otherwise. For example, at least 32 ISA member States out of the 170 ISA members have expressed reservations about the timing of commercialization of seafloor mineral resources and have called for a ban, moratorium, or precautionary pause on the commercialization of these resources. In addition, although the Draft Regulations and several supporting standards and guidelines are at an advanced stage, there remains uncertainty regarding the final form that these will take, as well as the impact that such regulations, standards and guidelines will have on our ability to meet our objectives.</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the ISA Council did not complete the adoption and elaboration of the Mining Code by the prescribed deadline of July 9, 2023, pursuant to Section 1, Paragraph 15(c) of the Annex to the 1994 Agreement, if an application for a plan of work for exploitation is now submitted to the ISA, the ISA is nonetheless required to consider and provisionally approve such a plan of work based on: (i) the provisions of the UNCLOS; (ii) any rules, regulations and procedures that the ISA may have adopted provisionally, (iii) the basis of the norms contained in the UNCLOS and (iv) the terms and principles contained in the 1994 Agreement, including the principle of non-discrimination among contractors.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NORI intends to submit an application to the ISA for an exploitation contract, which will include a plan of work for exploitation for the NORI contract area, expected to be filed on June 27, 2025. If the ISA has not adopted the final Mining Code by the time NORI submits this application, we believe that the ISA will review and provisionally approve the plan of work for exploitation included therein pursuant to Section 1, Paragraph 15(c) of the Annex to the 1994 Agreement discussed above. The ISA released its road map to finalize the Mining Code at its July 2023 session and at its July 2024 session agreed to continue the negotiations of the Mining Code with a continued view to its adoption during the 30th Session of the ISA in 2025, however, it has also stated that the commercial exploitation of mineral resources in the ISA’s jurisdictional area should not be carried out in the absence of RRPs relating to exploitation. In addition, there can be no assurances that the ISA will come to a consensus as to the interpretation of Section 1, Paragraph 15(c) of the Annex to the 1994 Agreement. Although we believe the ISA will accept and consider an application for a plan of work for exploitation in the absence of the final Mining Code, there is no consensus within the ISA as to the process to be followed for its consideration of such an application, including the involvement of the LTC and whether and how long the ISA could delay its consideration of an application past the proscribed 60-day period. As a result, and to provide clarity on the application review process and timeline, the Republic of Nauru, in consultation with NORI, formally requested that this issue be added to the agenda of the Council’s March 2025 meeting. Nauru’s proposed agenda item was strongly opposed by Chile, and it is unlikely for there to be an agreed upon process until after an application is received. In light of some ISA Member States calling for a ban, moratorium or precautionary pause on the commercialization of seafloor mineral resources, there can be no assurance that the ISA will provisionally approve our plan of work for exploitation, within one year from submission thereof, or at all, or that such provisional approval would lead to the issuance of an exploitation contract with the ISA. On August 2, 2024, the ISA Assembly elected Leticia Carvalho of Brazil as the new Secretary-General of the ISA for the period 2025-2028. There can be no assurances that the ISA’s stated target for adoption of the Mining Code of 2025 will be met or that any application for an exploitation contract will be approved before the final Mining Code is adopted.</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UNCLOS, the collection of polymetallic nodules under our ISA exploration contracts, will require approval of an ISA Exploitation Contract (which will authorize commercial collection activities). As part of the application for an ISA Exploitation Contract, all contractors are required to complete baseline studies and an Environment and Social Impact Assessment (ESIA), culminating in an EIS, prior to collecting nodules at a commercial scale. The EIS would be accompanied by an Environmental Monitoring and Management Plan (EMMP) which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move our exploration projects into commercial production, our wholly owned subsidiaries, NORI and TOML will each need to receive an exploitation contract with the ISA, in addition to obtaining related permits that may be required by our commercial partners. There can be no assurance that the ISA will approve our application for a plan of work for exploitation and issue an exploitation contract to our subsidiaries in a timely manner or at all. Even if the ISA timely evaluates such applications(s), our subsidiaries may be required to submit a supplementary EIS or perform additional studies or campaigns before obtaining approval. As such, there is a risk that an exploitation contract may not be granted by the ISA, may not be granted on a timely basis, thereby delaying our potential timeline for commercial exploitation, or may be granted on uneconomic terms.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Tonga and Nauru, respectively. Each subsidiary has been registered and incorporated within such host nation and each host nation has maintained effective control, supervision, regulation, and sponsorship over the conduct of such subsidiary. While we have beneficial ownership over such subsidiaries, each subsidiary operates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the rates of payments are yet to be set by the ISA, the 1994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a Mining Code in a timely manner or at all. Such regulations may also impose burdensome obligations or restrictions on us, and/or may contain terms that do not enable us to develop our projects.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hold exclusive exploration rights through our subsidiaries NORI and TOML to two polymetallic nodule areas in the CCZ. The exploration contracts for each of these areas require us to conduct certain activities in accordance with approved plans of work. The suspension or termination of our exploration contract for the NORI area would, and any of our other exploration contracts could, have a material and adverse effect on our future business prospects and financial condition.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2024, the LTC of the ISA established a new process to identify contractors who may be at risk of non-compliance with obligations under their respective exploration contract. In August 2024, as a result of this new process, the ISA sent notifications of such potential risk of non-compliance to TOML. The LTC’s notification to TOML cited concerns, which relate mainly to the failure to conduct planned sampling campaigns, the need to submit digital data in the revised reporting templates, delays in surveys for environmental baseline development, and the delay in submission of its scoping report. TOML responded by the November 30, 2024 deadline and is positioned to take corrective action if necessary. If the LTC deems TOML’s response incomplete or does not effectively address the LTC’s concerns, the LTC, in line with its established process, may report TOML to the ISA Council for further consideration and action. If TOML is deemed to have not remedied all issues raised by the LTC and the ISA then determines that TOML is not in compliance with its obligations under its exploration contract, the ISA could impose monetary sanctions on TOML, suspend some or all rights under the exploration contract, which could include halting exploration activities, or terminate TOML’s exploration contract, any of which could have a material and adverse effect on our future business prospects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resource development activities are subject to changes in government regulation and political instability.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UNCLOS, parties carrying out exploration and collection operations in the CCZ must be sponsored by a State that is a member of the ISA. The Sponsoring States of our subsidiaries NORI and TOML are Nauru and Tonga, respectively. If Nauru and Tonga cease such sponsorship, our subsidiaries would need to seek sponsorship elsewhere, which could impact our operations as a group.</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under UNCLOS to cease activities in the CCZ.</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explore a regulatory pathway for deep-sea nodule production under the U.S. Deep Seabed Hard Mineral Resources Act may subject us to conflicting regulatory requirements and other operational risks.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recently announced a plan to consider a U.S.-based regulatory pathway with NOAA and the U.S. Department of Commerce under the DSHMRA for the exploration and commercial recovery of deep-sea polymetallic nodules in the CCZ. Pursuing this pathway will likely introduce new uncertainties into our business, such as differing and potentially contradictory environmental, permitting and legal requirements, which could negatively impact our expected timelines, costs, ability to secure commercialization rights and operating results. In addition, reliance on a U.S.-based regulatory regime will require support from U.S. policy makers, which support can change over time, depending on a variety of factors.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believe the U.S.-based regulatory pathway potentially offers a clear and predictable route to securing an exploration license and a commercial recovery permit for polymetallic nodules found in the CCZ, we are in the initial planning stages of this strategy and there are no assurances that we will be able to secure any exploration license and a commercial recovery permit under the DSHMRA in a timely manner, or at all, or that our ability to secure any such rights will be on economically viable terms. To date, NOAA has not granted any commercialization rights to seafloor nodule production. In addition, although we do not believe there are any provisions under UNCLOS or other ISA regulations that prohibit us from simultaneously seeking rights under this alternative regulatory pathway, the announcement of this strategy may cause additional regulatory and political instability, prolong the ISA’s review and approval of the final Mining Code and negatively impact our interactions with the ISA and ability to secure an exploitation contract from the ISA.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any of the laws, rules, regulations or policies to which we are subject could have a significant impact on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phases of exploring for and collecting and processing polymetallic nodules are subject to environmental regulation in various jurisdictions and under national as well as international laws and conventions. No seafloor polymetallic nodule deposit has been developed commercially to date, and it is not clear what environmental parameters may need to be measured to satisfy regulatory authorities for an ISA Exploitation Contract to be granted. A full ESIA for deep-sea collecting operations has yet to be completed and approved by the ISA, and the full impact of any polymetallic nodule collecting operation on the environment has yet to be determined. Further, the required standards for an ESIA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Nodule collection operations in the CCZ are certain to disturb wildlife in the operating area and may impact ecosystem function. The nature and severity of these impacts on CCZ wildlife are expected to vary by species and are currently subject to significant uncertainty. Our campaigns to baseline wildlife and ecosystem function, pilot the nodule collection system and monitor impacts arising from the use of this system have been completed. Data processing and analysis is in progress and, similar to studies conducted in respect of land-based mining, may not definitively establish the impacts of activities on the biodiversity in the CCZ. Given the significant volume of deep water and the difficulty of sampling and retrieving biological specimens, a complete biological inventory might never be established as is the case in terrestrial environments. Accordingly, impacts on CCZ biodiversity may never be, completely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also currently not definitively known whether the risk of biodiversity loss in the CCZ could be eliminated through setting aside large representative areas of CCZ under protection (13 areas currently set aside by the ISA covering 43% of the CCZ) or reduced through mitigation strategies inside operating areas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zones, would aid recruitment and recovery of any potential nodule-dependent species in impacted areas will depend on factors like habitat connectivity, which is an area that is still under study.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we intend to collect seafloor polymetallic nodules in a way that mitigates and reduces potential damage to the seafloor, marine life and ecosystem function, we do not know whether the ISA or any other regulatory body will seek to impose onerous methods for the restoration of the disturbed area or rehabilitation obligations on our collecting process. Any such obligations, to the extent they are overly burdensome, could result in material changes to our business as currently contemplated.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NORI and TOML contract areas.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our subsidiary may be required to submit a supplementary EIS before being approved. This may result in delays that could impact our projected timeframe. Furthermore, in the event that the ISA evaluates and approves an application in a timely manner, any aspect of such application and approval theoretically could be subject to legal challenges which could result in further delays that could detrimentally impact our business. For example, certain conservation groups have called for a ten-year moratorium on all deep-sea mineral exploration and exploitation activities. While this agenda does not appear to have directly impacted the development of proposed Final Regulations and Standards and Guidelines by the ISA, any such moratorium would have a material adverse effect on our business.</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environmental permitting process, which includes considerations of the impacts of our activities on the biodiversity of the CCZ, is expected to involve a series of checks and balances with reviews being conducted by the ISA, including technical evaluations by the ISA Secretariat and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the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environmental liabilities as a result of noncompliance with existing or future regulations.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Resource and Market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precise form of mineral occurrence, grade, abundance, and tonnage, which is projected based on the mapping and analysis of samples, is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seafloor polymetallic nodule deposit has ever been commercially collected, and our offshore collection technology and development plans and processes may not be sufficient to accomplish our objectives.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Seafloor polymetallic nodules have never been commercially mined, and there is a risk that our offshore collection and recovery methods and the equipment that we intend to utilize during this process, including transferring nodules to transport vessels and delivering of nodules to port,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transportation and development techniques for the prevailing material and seafloor conditions would have a material adverse effect on the business of our subsidiaries, and the results of their operations and financial condition. As a result, even if the ISA timely reviews and approves our expected application for an exploitation contract, which will include a plan of work for exploitation, for NORI Area D, there are no assurances that we will have successfully completed all development and pre-production work necessary to start commercial production. We have partnered with Allseas, a leading global offshore contractor, to undertake a pre-production pilot collection system test in which a collector vehicle, a riser and lift system and surface production vessel have been tested. Although the pilot collection system test was successful, there can be no assurance that their technology will eventually be adequate for full scale commercial production.</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the Project Zero Offshore Nodule Collection System. NORI and Allseas intend to equally finance all costs related to developing and getting Project Zero Offshore Nodule Collection System into production currently. The parties intend to detail and revise these cost estimates in three definitive agreements for the engineering, build and operations phases which the parties expect to enter into before the submission of our exploitation application on June 27, 2025. There can be no assurances, however, that we will enter into the binding Heads of Terms and definitive agreements with Allseas in a particular time period, or at all, or on terms similar to those set forth in the non-binding term sheet, or that if such definitive agreements are entered into by us that the proposed commercial systems and second production vessel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or become outdated over time or as our plans change,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estimates from the contract areas of NORI and TOML are only estimates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on a commercial scale,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 Area D resource is classified into indicated and measured categories.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significant risks, and we may never develop minerals in sufficient grade or quantities to justify commercial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that seafloor polymetallic nodules in the contract areas of our subsidiaries account for some of the world’s largest aggregated estimated deposits of the four critical metals contained in nodules,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in our estimates of polymetallic nodule deposits could result in lower-than-expected revenues and higher costs.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89" w:lineRule="exact"/>
        <w:rPr>
          <w:sz w:val="20"/>
          <w:szCs w:val="20"/>
          <w:color w:val="auto"/>
        </w:rPr>
      </w:pPr>
    </w:p>
    <w:p>
      <w:pPr>
        <w:ind w:left="68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geological, geotechnical, collecting and processing conditions that may not be fully identified by available data or that may differ from experience;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strategic approach to collecting and processing, which will depend in large part on market demand, corporate strategy and other prevailing economic and financial conditions;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concerning future prices of products (including, most notably, critical metals and manganese ore) foreign exchange rates, production rates, process recovery rates, transportation costs, operating costs, capital costs and reclamation costs; and</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there are no assurances that our efforts will be successful.</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critical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two contracts held by our subsidiaries and partners, 15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Some of these contract holders may possess greater financial and/or technical resources.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profitability of our nodule collection operations is significantly affected by changes in the market price of critical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the four critical metals contained in nodules from mine production, inventories and recycled metal; sales by holders and producers of these critical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commodity hedging contracts, as we do not yet have any production. Debt financing may not be available on commercially reasonable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fluctuations in demand for nickel, manganese, copper, cobalt, and other commodities.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China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Demand for our minerals may be impacted by changes in supply dynamics and sources, and changes in demand for downstream products, including batteries for EV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difficulty in creating market acceptance for a novel manganese product.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be producing a novel manganese silicate product which does not yet have recognition in the marketplace with customers. Metallurgical test work, market studies by CRU International Limited, value-in-use studies by SINTEF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manganese silicate is not a conventional mineral product and may require additional approvals for export and import from our processing facilities to our future customers.</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will be diminished if we are unable to compete with substitutions for the minerals that we intend to process or adapt to shifts in end-market demand.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Technology changes rapidly in the industries and end markets that utilize the four metals contained in polymetallic nodules found in the CCZ, nickel, manganese, cobalt and copper. Some of these changes have resulted, and may continue to result, in decreased use of nickel, manganese, cobalt and/or copper in these industries and end markets. For instance, the adoption of lithium iron phosphate, or LFP, battery chemistries has grown substantially from 4% of the batteries used in passenger EVs in 2015 to an estimated 42% in 2023. The continuation of this trend in the use of LFP battery chemistries will decrease the overall demand for nickel- and cobalt-rich battery chemistries in EV use. Additionally, copper is increasingly being substituted with aluminum or other materials in electrical and infrastructure applications, potentially reducing the overall market demand for copper.</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are actively monitoring these technological changes and shifts in end-market demand and taking steps designed to diversify the potential applications and markets for our metals, as these industries shift to new or substitute technologies or products or if these industries and end markets otherwise use less of the metals that we intend to collect and process, and our diversification efforts are not successful, there could be a decline in demand for our metal products. If the demand for our metal products decreases, it will have a material adverse effect on our business and the results of our operations and financial condition.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Social License and Public Perceptions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perceptions related to the offshore collection of polymetallic nodules could have a material adverse effect on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exist certain negative perceptions related to acquiring metals produced from deep-sea minerals. Under pressure from non-governmental organizations, some governments and companies in the EV supply chain have expressed reservations about using critical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critical metals sourced from polymetallic nodules, it could have a material impact on our business and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growth in the adoption of electric vehicles by consumers may change our strategy and our business and operating results may be impacted.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Given that we have focused part of our operating plan on the sale of nodule-derived critical metals into the EV supply chain, our growth may be affected by the consumer adoption of EVs. The market for EV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EVs will surge over time, if the market for EVs does not develop as we expect, or develops more slowly than we expect, our business and operating results may be impacted, as we refocus on other industrial uses of the metals we plan to produce.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our partners and our shareholders may be adversely impacted by pressure and lobbying from non-governmental organizations.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Like other businesses that operate in the resources industry, we along with our partners, and our shareholders are subject to pressure and lobbying from non-governmental organizations, particularly with respect to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non-governmental environmental groups could physically impact ongoing operation during exploration, project development and commercial operations. As seen during the coordinated and disruptive activities by Greenpeace International during Campaign 8A, designed to prevent and obstruct the campaign, such activities can have significant impacts from a timing, financial and safety perspective. There can be no assurances that such activities by Greenpeace and other stakeholder will not materially impact our ongoing operations.</w:t>
      </w:r>
    </w:p>
    <w:p>
      <w:pPr>
        <w:spacing w:after="0" w:line="188"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Offshore and Onshore Technology Risks and Operational Risks.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Offshore collection and onshore processing and refining operations pose inherent risks and costs that may negatively impact our business.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Offshore collection and onshore processing and refining operations involve many hazards and uncertainties, including, among others:</w:t>
      </w:r>
    </w:p>
    <w:p>
      <w:pPr>
        <w:spacing w:after="0" w:line="162"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and operational challenges in the offshore collection operations and scaling up of such operations;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and delays caused by transferring nodules to transport vessels and delivering nodules to port (including limited availability of and cost to secure the equipment to allow the activity);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accidents;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and unexpected maritime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seafloor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onshore metallurgical or other processing problems;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environmental conditions, including contamination or leakage;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interruptions due to inclement or hazardous weather conditions or other acts of nature;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 and disruptive action by non-governmental actors opposed to deep-sea mineral extraction;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organized labor disputes or work slowdowns;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equipment failure and facility performance problems;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market demand, critical technology and equipment, and skilled labor;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suppliers to provide key process inputs like electricity, gas, coal and processing reagents on a timely basis at the prices that have been forecast.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polymetallic nodules that we may recover may require specialized transfer and delivery equipment and processes, and there is no certainty that we will be able to develop or otherwise access such transfer and delivery equipment or processes that are suitable for our purposes.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polymetallic nodules that we may collect may require specialized equipment and processes in connection with the transfer of such nodules to transport vessels and delivery of the nodules to port. To date, we have not transferred significant quantities of nodules to transport vessels nor delivered significant quantities of nodules to port. The anticipated cost to develop this equipment and processes is significant. There is a risk that the equipment and/or processes necessary to transfer commercial quantities of nodules to transport vessels and deliver them to port may be economically prohibitive.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are currently negotiating with third-party shipping companies to transfer nodules to transport vessels and to deliver nodules to port, our future needs with respect to the required equipment and processes have yet to be fully determined, and as such, the capital costs, performance, reliability, and maintenance of such equipment and processes is currently uncertain and may be more expensive and take longer to develop than we currently estimate. In addition, the required equipment and processes may not be developed or become available at commercial scale in the time frame we require, which could have a material negative impact on our short-term operations and financial results.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contingent on our ability to successfully identify, collect, ship and process polymetallic nodules profitably, and in doing so, we will need to rely on certain existing and future strategic relationships, some of which we may be unable to maintain and/or develop.</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example, we have been working with Hatch, a global engineering, project management, and professional services firm, to support the development of onshore processing technology for the production of readily saleable copper and manganese products, as well as products such as high-grade nickel and cobalt sulfates for the electric vehicle battery markets. In connection therewith, Hatch has supported us with the development of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developed a test system and demonstrated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 We are also in discussions with third party shipping companies to develop a system and method to transfer nodules to transport vessels and deliver nodules to 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continue to maintain and develop our existing relationships, or that we will be able to form the new relationships that are required for our business to be successful. There can be no assurances that we will be able to find additional partners with the correct capabilities to support our development efforts or whether we will be able to engage these partners on acceptable terms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the offshore equipment that we will need to accomplish our objectives has not been manufactured and/or tested.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subsidiaries will need to rely on high-value equipment for the offshore collection and transport of materials. Notwithstanding the successful collector test completed in 2022, much of the commercial-scale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We have not yet identified a third-party shipping company with the necessary equipment to transfer nodules to transport vessels and deliver nodules to port. Moreover, our future needs with respect to commercial-scale subsea engineering and recovery systems have yet to be fully determined, and as such, the capital costs, performance, reliability, and maintenance associated with the necessary equipment is currently unknown. There can be no guarantees that the necessary commercial-scale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substantially dependent on our strategic relationship with Allseas. If we and Allseas are unable to successfully maintain and expand this relationship, our business may be materially harmed.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have partnered with Allseas, a leading global offshore contractor and significant shareholder in our Company, to undertake the development of many of the offshore systems we expect to utilize in our potential commercialization efforts (including equipment required for the transfer of nodules to transport vessels and delivery to port). We are also in discussions with Allseas to enter into binding agreements with them for the future development and operation of the Project Zero Offshore Nodule Collection System and other services. Allseas also provides us with exclusive access to the earlier of the development of the Project Zero Offshore Nodule Collection System and December 31, 2026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the converted drillship expected to be converted into a production vessel by Allseas for our commercial use. In addition, Allseas, and related companies, have provided us financial support through equity investments, unsecured credit facilities and short-term and working capital loans. We cannot provide any assurance with respect to the success of our continued relationship with Allseas, that we will be able to enter into additional binding agreements with Allseas on commercially reasonable terms, or at all, that Allseas will continue to devote its resources to its relationship with us, continue to provide us financial support or otherwise perform its obligations under its current and future arrangements with us as expected, as a result of its limited experience in the collection and transportation of seafloor polymetallic nodules or otherwise, the result of any of which would have a material adverse effect on our business, financial condition, liquidity, and results of operations. As a result, we may need to engage and depend on other third parties for the services and funding Allseas currently provides to us and is expected to continue doing so. If these new relationships are not timely entered into or not entered into on commercially reasonable terms, or at all, or if any such relationship is not successful, this would likely have a material adverse effect on our business, financial condition, liquidity, and results of operations.</w:t>
      </w:r>
    </w:p>
    <w:p>
      <w:pPr>
        <w:spacing w:after="0" w:line="19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polymetallic nodules that we may recover may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there are presently unknown technical aspects that render the selected flowsheet unsuitable for processing to the products as described.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the metallurgical recovery estimates have been derived from commercial operation benchmarking, benchscale and pilot scale testwork, the commercial metal recoveries to products could vary significantly from these estimates.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Should our offshore nodule collection plans become successful, we intend to partner with existing onshore processing partners to produce and develop new build onshore processing plants as we scale up production. Our future needs with respect to such processing plants have yet to be fully determined, and as such, the capital costs, performance, reliability, and maintenance of such plants are currently uncertain.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identified potential tolling facilities to process nodules into two products, manganese silicate and nickel-copper-cobalt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(through tolling arrangements), there is no guarantee that we will be able to provide them with the required nodule feedstocks at the required times.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that we have identified specific sites for the potential construction of nodule processing plants (based on factors such as proximity to deep-water ports, cost of access to renewable electric power and natural gas, and proximity to customers), there is a risk that we will be unable to secure one or more of these sites on suitable terms. In the event that we are unable to secure one or more of the sites we have identified, or if modification scope identification, development and associated construction delays of this scope implementation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including, without limitation, the transfer of nodules to transport vessels and delivery to port, may be subject to interruptions resulting from weather and related marine conditions that adversely affect our collection operations or the ports of delivery, and any such delays could have a material adverse effect on our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Fluctuations in transportation costs or disruptions in transportation, processes or services, or damage or loss during transport could decrease our profitability or impair our ability to supply polymetallic nodules, processed minerals or products to our customers, which could adversely affect our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Once our subsidiaries have been able to successfully collect the polymetallic nodules, they will be required to transport them to onshore facilities for processing, including the transfer of nodules to transport vessels and delivery to port.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sanctions, government restrictions, work stoppages, pandemics, derailments, damage or loss events, adverse weather conditions, vessel groundings inhibiting access to key navigation routes, other environmental events, changes to rail or ocean freight systems, availability of appropriate equipment or processes for transfer of nodules to transport vessels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this Annual Report or that we otherwise estimate from time to time.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or that we otherwise estimate from time to time and there can be no assurance that any of our development activities will result in profitable operations.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For example, since 2021, we have continued to define our resource in the NORI area, with the goal to develop project economics to pre-feasibility level and are working towards a pre-feasibility study, which is nearing completion. As part of our ongoing refinement of our business plans and resource definition work, we are now pursuing a low-CAPEX approach to our development and commercialization of operations for our NORI Area D project where we reuse existing production assets opposed to the high-CAPEX approach where the majority of offshore and onshore production assets would be newly built by us as assumed in the 2021 economic analysis included in the NORI Technical Report Summary. As a result of these changes and the general passage of time since the valuation date of January 1, 2021, the 2021 point-in-time economic analysis included in Section 19 of the NORI Technical Report Summary and the estimated capital and operating costs set forth in Section 18 of the NORI Technical Report Summary, including any references thereto throughout the NORI Technical Report Summary, should no longer be relied upon or used by investors for any reason. In addition, as we continue our work towards the completion of a pre-feasibility study, any economic analysis resulting from this work as to the cash flows from or valuation of the potential extraction of nodules form NORI Area D or elsewhere may differ significantly from earlier or current estimates and any resulting analyses that are lower than earlier or current estimates or lower than those expected by investors or other stakeholders could have a material adverse effect on our share and warrant prices and results or operations. The same material adverse effects could occur if we are unable to complete the pre-feasibility study in a timely manner or at all.</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there can be no assurance that we will be able to commercially develop our resource areas or achieve profitability in the future.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There can be no assurance that we will be able to commercially develop these properties or that it will be able to generate profits in the future.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 of expenses associated with our exploration, development, and commercialization processes will prove to be accurate.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shortage of skilled technicians and engineers may further increase operating costs, which could materially adversely affect our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will depend on our ability to execute on our plans and expand our operations and controls while maintaining effective cost controls.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information technology systems, which are subject to cyber threats, disruption, damage and failure.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risks, some of which may not be covered by our future or existing insurance policies.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w:t>
      </w:r>
    </w:p>
    <w:p>
      <w:pPr>
        <w:ind w:left="400" w:hanging="392"/>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damage, (iv)  delays  in  collecting,  transporting  or  processing,  (v)  monetary  losses,  (vi)  natural  disasters,</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w:t>
        <w:tab/>
        <w:t>Intellectual Property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80" w:lineRule="exact"/>
        <w:rPr>
          <w:sz w:val="20"/>
          <w:szCs w:val="20"/>
          <w:color w:val="auto"/>
        </w:rPr>
      </w:pPr>
    </w:p>
    <w:p>
      <w:pPr>
        <w:ind w:left="68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prohibited from, or delayed in, selling or licensing some of our products or using some of our processes unless the patent holder licenses the patent to us, which it is not required to do;</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pay substantial royalties or grant a cross license to our patents to another patent holder; or</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redesign a product or process so it does not infringe a third-party’s patent, which may not be possible or could require substantial funds and time.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could be subject to claims that our employees, or we, have inadvertently or otherwise used or disclosed trade secrets or other proprietary information of third parties.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172" w:lineRule="exact"/>
        <w:rPr>
          <w:sz w:val="20"/>
          <w:szCs w:val="20"/>
          <w:color w:val="auto"/>
        </w:rPr>
      </w:pPr>
    </w:p>
    <w:p>
      <w:pPr>
        <w:ind w:left="3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Public Company Risks and Risks Related to our Securities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 plan of work for exploitation for NORI Area D, by negotiating the settlement of program expenditures with our equity whenever possible in order to preserve our cash, and by utilizing existing assets for offshore and onshore production. The continuing exploration and development of the NORI and TOML contract areas, however, will depend upon our ability to obtain dilutive and/or non-dilutive financing through stake sales in our assets, offtakes with prepayments, debt financing, equity financing, joint ventures, project-based or asset-based financing or other means. The actual amount of capital needed or that we raise for our projects, however, may vary materially from our current estimates. We currently expect that we will raise additional funds to finance our operations. There is no assurance that we will be successful in obtaining the required financing for these or other purposes, including for general working capital, or that any funds raised will be sufficient for the purposes contemplated, which could negatively impact our operating plans, financial results and ability to continue as a going concern. We will not initially have any producing properties and will have no source of significant operating cash flow until we are granted an exploitation contract and begin commercial production. There is no precedent for projects like ours, and therefore, financing may not be available on acceptable terms or at all. Failure to obtain additional financing on a timely basis could cause us to reduce or terminate our operations. Organizations such as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spacing w:after="0" w:line="19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U.S. and global economic uncertainty, higher interest rates and diminished credit availability may limit our ability to incur indebtedness on favorable terms.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impact of geopolitical tension, such as a deterioration in the bilateral relationship between the U.S. and China or an escalation in conflict between Russia and Ukraine, or the ongoing conflict in Israel and Gaza, including any resulting sanctions, export controls or other restrictive actions, could also lead to disruption, instability and volatility in the global markets, which may have an impact on our ability to obtain additional funding.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at December 31, 2024, we had 340,708,460 Common Shares, 14,300,575 Short-Term Incentive Plan (“STIP”) options, 9,644,875 Long-Term Incentive Plan (“LTIP”) options in each case issued under the 2018 Stock Option Plan (“2018 Plan”), 3,940,000 options issued under the 2021 Incentive Equity Plan and 38,180,770 warrants to acquire Common Shares issued and outstanding, which does not include the 5,000,000 Common Shares and 2,500,000 Class B warrants issued after December 31, 2024 as part of the financing we announced in November 2024.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70,262,856 Common Shares are reserved for issuance under the 2021 Incentive Equity Plan, including 13,628,338 shares added to the plan in January 2025 pursuant to the plan’s evergreen provision, of which 51,090,231 are available for future issuance, and 14,395,117 Common Shares are reserved for issuance under our 2021 Employee Stock Purchase Plan (the “ESPP”), including 3,407,085 shares added to the plan in January 2025, pursuant to the plan’s evergreen provision, of which 14,055,707 are available for future purchase, in each case,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upon exercise of warrants, upon conversion of the Special Shares or under the 2018 Plan, 2021 Incentive Equity Plan, the ESPP or other equity incentive plans that we may adopt in the future, would dilute the percentage ownership held by you.</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issuance of additional Common Shares or other equity securities of equal or senior rank would have the following effects:</w:t>
      </w:r>
    </w:p>
    <w:p>
      <w:pPr>
        <w:spacing w:after="0" w:line="225" w:lineRule="exact"/>
        <w:rPr>
          <w:sz w:val="20"/>
          <w:szCs w:val="20"/>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proportionate ownership interest in us will decrease;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share may be diminished;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Shares may decline.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sales of substantial amounts of our common shares in the public market, or the perception that such sales will occur, could adversely affect the market price of our Common Shares.</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outstanding warrants are exercised, the number of shares eligible for future resale in the public market will increase and result in dilution to our shareholders. You will likely experience further dilution if we issue common shares in future financing transactions.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15,000,000 outstanding Public Warrants to purchase 15,000,000 Common Shares and 9,500,000 Private Warrants outstanding exercisable for 9,500,000 shares of our Common Shares at an exercise price of $11.50 per share, which warrants became exercisable beginning on October 9, 2021. In addition, there are 6,230,770 Class A Warrants outstanding to purchase 6,230,770 Common Shares, issued as part of the August 2023 registered direct offering, and 7,450,000 Class B Warrants outstanding to purchase 7,450,000 Common Shares, issued as part of the November 2024 registered direct offering. Both Class A Warrants and Class B Warrants have an exercise price of $2.00 per share. In certain circumstances, the Public Warrants, Private Warrants, Class A Warrants and Class B Warrants may be exercised on a cashless basis and the proceeds from the exercise of such warrants will decrease.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exchangeable or exercisable for common stock, our shareholders will experience additional dilution, and new investors could have rights superior to existing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Private Warrants, Class A Warrants and Class B Warrants will be in the money, and they may expire worthless.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exercise price for the outstanding Public Warrants and Private Warrants is $11.50 per Common Share. There can be no assurance that such warrants will be in the money prior to their expiration, and as such, such warrants may expire worthless. Since the closing of the Business Combination through March 20, 2025, the price of our Common Shares has ranged from a high of $10.38 to a low of $0.55 and as of March 21, 2025, the closing price of our Common Shares was $1.82. Based on the current trading price of our common shares we do not expect to receive any proceeds from exercise of the Public Warrants and Private Warrants unless there is a significant increase in the price of our Common Shares.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are currently outstanding an aggregate of 38,180,770 warrants to acquire our Common Shares, which comprise 9,500,000 Private Warrants, 15,000,000 Public Warrants and 6,230,770 Class A Warrants and 7,450,000 Class B Warrants (including 2,500,000 Class B Warrants issued after December 31, 2024). All of our warrants are currently exercisable for one common share in accordance with their terms. Therefore, as of December 31, 2024, if we assume that each outstanding whole warrant is exercised and one common share is issued as a result of such exercise, with payment of the exercise price ranging from $2.00 to $11.50 per share, our fully-diluted share capital would increase by a total of 38,180,770 shares, with approximately $309.1 million paid to us to exercise the warrants assuming the warrants are not cashless exercised. Furthermore, even if the warrants are in the money following the time they become exercisable, the holders of the warrants are not obligated to exercise their warrants, and we cannot predict whether holders of the warrants will choose to exercise all or any of their warrants.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5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to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and the appeal was heard by the Court on November 8, 2024. In December 2024, the NY Appellate Division issued a ruling upholding the lower court’s ruling, moving the case into the discovery phase.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20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8, 2024, a shareholder filed a putative class action against us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our initial classification of this non-financial asset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our securities between May 12, 2023, and March 25, 2024, and seeks to recover compensable damages caused by the alleged wrongdoings. We intend to defend against the lawsuit. There can be no assurance, however, that we will be successful in our defense, or that insurance will be available or adequate to fund any settlement or judgment or the litigation costs of this action. Due to the early stage of this litigation, such losses or range of possible losses cannot be reliably estimated.</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although we commenced litigation against two investors who failed to fund their commitment to purchase approximately $220 million in connection with the financing at the close of the Business Combination, we may not recover any amounts from these investors.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seek to incur debt in the future to fund our exploration and operational programs, which would reduce our financial flexibility and could have a material adverse effect on our business, financial condition or results of operation.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Should we incur debt, including through the drawdown of our credit facility with ERAS Capital LLC and Gerard Barron,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Shares and warrants may not be sustained, which would adversely affect the liquidity and price of our securities.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Common Shares and Public Warrants are traded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76"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closing bid price of our Common Shares has been below the Nasdaq’s minimum $1.00 per share for extended periods of time in 2022, 2023 and 2024. As a result, we received written notices from the Nasdaq in 2022, 2023 and 2024 notifying us that the closing bid price of the Common Shares over 30 consecutive trading days had fallen below the minimum $1.00 per share. Although we regained compliance with the Nasdaq’s minimum closing bid price on each occurrence, we may not be able to continue to meet this Nasdaq listing requirement. If the closing bid price of our Common Shares falls below $1.00 per share for another consecutive 30 trading days, we expect to receive another notification from the Nasdaq to that effect. If this were to happen, in accordance with Nasdaq Listing Rule 5810(c)(3)(A), we expect to have 180 calendar days from the notice date to regain compliance. To regain compliance, the closing bid price of our Common Shares must be at least $1.00 per share for a minimum of 10 consecutive trading days. If we do not regain compliance in this 180-day period and we are not otherwise able to transfer our listing to another Nasdaq market and regain compliance with the $1.00 minimum closing bid price, the Nasdaq could delist our Common Shares and Public Warrants.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controls over financial reporting, investors may lose confidence in the accuracy and completeness of our financial reports and we may face litigation.</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public company, we are required to implement and maintain internal controls over financial reporting and to report any material weaknesses in such internal controls. There is no guarantee we will maintain effective internal controls in the future.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during the evaluation and testing process, we identify one or more material weaknesses in the design or effectiveness of our internal control over financial reporting or determine that existing material weaknesses have not been remediated,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valuation of our common stock could be adversely affected.</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For example, as previously disclosed, management identified a material weakness in the operating effectiveness of our internal control over the accounting for significant, non-routine transactions that resulted from the inadequate and untimely involvement of stakeholders and technical advisors with an appropriate level of expertise to account for significant, non-routine transactions. Although we have taken steps to remediate this material weakness which we believe worked effectively for a recent significant, non-routine transaction, the new internal control needs to be in operation and tested for sufficient instances to be considered effective and, therefore, these changes can only be deemed effective once they have been in place over a longer time period and applied in additional instances. Although we will continue to review the effectiveness of our newly implemented controls and make improvements as warranted, there is no assurance, however, that these control modifications will ultimately have the intended effects or that the material weakness will be remediated. In addition, as set forth above, a shareholder filed a putative class action lawsuit against us and certain of our executives following our announcement of this material weakness and the associated restatements to our previously issued financial statements for the three months ended March 31, 2023, the six months ended June 30, 2023 and the nine months ended September 30, 2023 contained in its Quarterly Reports on Form 10-Q for the quarter ended March 31, 2023, June 30, 2023 and September 30, 2023, respectively, filed with the SEC. We can provide no assurance that additional litigation or disputes will not arise in the future as a result of this or other material weaknesses or restatements. Any such litigation or dispute, whether successful or not, could have a material adverse effect on our business, results of operations and financial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volatile, which could cause the value of your investment to decline.</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regional conflicts, geopolitical events and natural disasters),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thereby making the warrants worthless.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Public Warrants and Private Warrants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Our Class A Warrants have a similar call provision if the price of our Common Shares is over $6.50 per share (subject to adjustments) for 30 consecutive trading days at a price per warrant share of $0.0001. Our Class B Warrants have a similar call provision if the price of our Common Shares is over $5.00 per share (subject to adjustments) for 30 consecutive trading days at a price per warrant share of $0.0001.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analyst coverage, if no analysts commence coverage of us, the market price and volume for our Common Shares could be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not a reporting issuer in Canada, our Common Shares and Special Shares may be subject to restrictions on resale in Canada.</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Canadian Owners will be freely transferable by the Canadian Owners.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vis-à-vis our multi-national operations, which could adversely affect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PFIC in any taxable year which could result in adverse U.S. federal income tax consequences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0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we are classified as a PFIC, such status may have adverse U.S. federal income tax consequences to U.S. Holders (as defined in the section titled “Material U.S. Federal Income Tax Considerations”). The rules governing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ending December 31, 2024. However, the application of the PFIC rules is subject to uncertainty in several respects, and we cannot assure you the U.S. Internal Revenue Service will not take a contrary position. Furthermore, where we are classified as a PFIC this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Times New Roman" w:cs="Times New Roman" w:eastAsia="Times New Roman" w:hAnsi="Times New Roman"/>
          <w:sz w:val="18"/>
          <w:szCs w:val="18"/>
          <w:i w:val="1"/>
          <w:iCs w:val="1"/>
          <w:color w:val="auto"/>
        </w:rPr>
        <w:t>U.S. Federal Income Tax Considerations — Tax Consequences of Ownership and Disposition of Public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Warrants — Passive Foreign Investment Company Rules</w:t>
      </w:r>
      <w:r>
        <w:rPr>
          <w:rFonts w:ascii="Times New Roman" w:cs="Times New Roman" w:eastAsia="Times New Roman" w:hAnsi="Times New Roman"/>
          <w:sz w:val="18"/>
          <w:szCs w:val="18"/>
          <w:color w:val="auto"/>
        </w:rPr>
        <w:t>” included in our registration statement on Form S-1 filed with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October 7, 2021 for a more detailed discussion with respect to our PFIC status and the application of the PFIC rules. U.S. Holders of our Common Shares and Public Warrants are urged to consult their tax advisors regarding the application of the PFIC rules to them.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instance, our Notice of Articles and Articles contain provisions that establish certain advance notice procedures for nomination of candidates for election as directors at shareholders’ meetings.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Limitations on the ability to acquire and hold Common Shares may also be imposed by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(Canada). This legislation permits the Commissioner of Competition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and obtain approval of the Minister prior to acquiring control of a “Canadian business” within the meaning of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where prescribed financial thresholds are exceeded.</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Notice of Articles and Articles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Notice and Articles permit us to issue an unlimited number of Common Shares and preferred shares without seeking approval of the holders of our Common Shares.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Notice of Articles and Articles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Notice of Articles and Articles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recognize the critical importance of maintaining the trust and confidence of investors, business partners and employees toward our business and are committed to protecting the confidentiality, integrity and availability of our business operations and systems. Our board of directors is involved in oversight of our risk management activities, and cybersecurity represents an important element of our overall approach to risk management. Our cybersecurity policies, standards, processes and practices are based on recognized frameworks established by the National Institute of Standards and Technology (“NIST”) and the International Organization for Standardization (“ISO”).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 Effect of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security monitoring for internal and external threats to ensure the confidentiality and integrity of our information assets. We consider risks from cybersecurity threats alongside other company risks as part of our overall risk assessment process.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 mitigate these risks, we have implemented technology solutions that are designed to recognize anomalous activity and behavior on systems used by our employees, alongside other technical safeguards including:</w:t>
      </w:r>
    </w:p>
    <w:p>
      <w:pPr>
        <w:spacing w:after="0" w:line="162"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 Application Firewalls (WAF)</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Intrusion detection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Antivirus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Endpoint protection and response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Event and Incident Management (SIEM)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and Access management (IAM)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Multi-factor authentication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utilize a third-party consultancy to provide services including security audits, CISO, risk management and response strategies. This consultancy provides the Chief Technology Officer, who is responsible for leading our cyber security strategy, guidance on policy, standards and processes alongside managing the risk management process.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identify our cybersecurity threat risks by comparing our processes to standards set by the NIST and the ISO specifically basing our policies and procedures on ISO27001 guidelines.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provide for the availability of critical data and systems, maintain regulatory compliance, manage our material risks from cybersecurity threats, and protect against and respond to cybersecurity incidents, we undertake the following activities:</w:t>
      </w:r>
    </w:p>
    <w:p>
      <w:pPr>
        <w:spacing w:after="0" w:line="162" w:lineRule="exact"/>
        <w:rPr>
          <w:sz w:val="20"/>
          <w:szCs w:val="20"/>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emerging data protection laws and implement changes to our processes that are designed to comply with such laws;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policies, practices and contracts (as applicable), require employees, as well as third parties that provide services on our behalf, to treat confidential information and data with care;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7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regular, mandatory training for our employees and contractors regarding cybersecurity threats as a means to equip them with effective tools to address cybersecurity threats, and to communicate our evolving information security policies, standards, processes and practices;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regular phishing email simulations for all employees and contractors with access to our email systems to enhance awareness and responsiveness to possible threats;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dark web scanning to determine any leaked credentials both corporate and personal for key employees.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NIST incident handling framework and our MSPs to help us identify, protect, detect, respond and recover when there is an actual or potential cybersecurity incident;</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information security risk insurance that provides protection against the potential losses arising from a cybersecurity incident;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part of the above processes, we regularly engage with consultants, auditors and other third parties, including annually having a third-party review our cybersecurity program to help identify areas for continued focus, improvement and compliance.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suppliers and manufacturers or who have access to employee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are dependent upon information technology systems, which are subject to cyber threats, disruption, damage and failure” which disclosures are incorporated by reference herein.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last three fiscal years, we have not experienced any material cybersecurity incidents and the expenses we have incurred from cybersecurity incidents were immaterial. This includes penalties and settlements, of which there were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 Management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management. The audit committee of our board of directors is responsible for the oversight of risks from cybersecurity threats, as part of our Enterprise Risk Management system. In the event of a cybersecurity incident that meets established reporting thresholds, our audit committee will receive prompt and timely information regarding such incident, as well as ongoing updates until it has been addressed.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cybersecurity risk management and strategy processes, which are discussed in greater detail above, are led by our Chief Technology Officer with guidance from external security consultant. Such individuals have collectively over 40 years of prior work experience in various roles involving managing information security, developing cybersecurity strategy, implementing effective information and cybersecurity programs, as well as relevant degrees and certifications, including Certified Information Security Manager and Certified CISO.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NORI Contract Area</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incorporated by reference as Exhibit 96.1 to this Annual Report. The NORI Technical Report Summary is incorporated herein by reference and made a part hereof. In the event that we determine that any modifying factors, estimates and other scientific and technical information in the report materially change, we may update or file a new technical report in the future. The NORI Contract Area is an exploration stage property.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NORI Area and access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NORI Contract Area is located within the CCZ of the northeast Pacific Ocean. The CCZ is located in international waters between Hawaii and Mexico. The western-end of the CCZ is approximately 1,000 kilometers south of the Hawaiian island group. From here, the CCZ extends almost 5,000 kilometers east-northeast, in an approximately 600 kilometers wide trend, with the eastern limits approximately 2,000 kilometers west of southern Mexico. The region is well-located to ship nodules to the American continent or across the Pacific to Asian markets. The NORI Contract Area comprises four separate blocks (A, B, C and D) in the CCZ with a combined area of 74,830 square kilometers.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130810</wp:posOffset>
            </wp:positionV>
            <wp:extent cx="4920615" cy="3806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20615"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NORI Contract Area extents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UTM</w:t>
            </w:r>
          </w:p>
        </w:tc>
        <w:tc>
          <w:tcPr>
            <w:tcW w:w="0" w:type="dxa"/>
            <w:vAlign w:val="bottom"/>
          </w:tcPr>
          <w:p>
            <w:pPr>
              <w:spacing w:after="0"/>
              <w:rPr>
                <w:sz w:val="1"/>
                <w:szCs w:val="1"/>
                <w:color w:val="auto"/>
              </w:rPr>
            </w:pPr>
          </w:p>
        </w:tc>
      </w:tr>
      <w:tr>
        <w:trPr>
          <w:trHeight w:val="148"/>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Area</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Latitude</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Latitude</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Longitude</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Longitude</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UTM X</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UTM X</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UTM Y</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UTM Y</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gridSpan w:val="2"/>
            <w:vMerge w:val="continue"/>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(DD)</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(DD)</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(DD)</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(DD)</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Zone</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(134.5830)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(133.8330)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545220.4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627276.0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1271339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1437255</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13.5801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(134.0000)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(133.2000)</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607995.7</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694759.8</w:t>
            </w:r>
          </w:p>
        </w:tc>
        <w:tc>
          <w:tcPr>
            <w:tcW w:w="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1501590</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1548425</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(123.0000)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(120.5000)</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500000.0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769458.3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1326941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1652649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9.8950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11.08333</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(117.8167)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(116.0667)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410465.2</w:t>
            </w: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602326.1</w:t>
            </w:r>
          </w:p>
        </w:tc>
        <w:tc>
          <w:tcPr>
            <w:tcW w:w="1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1093913</w:t>
            </w: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1225353</w:t>
            </w: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 — Decimal degrees, UTM — Universal Transverse Mercator map projection</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NORI Technical Report Summary for further specific information of the location of the NORI Contract Area.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Business Regulations-The NORI Exploration Contract, Business Regulations-The NORI Sponsorship Agreement and Business Regulations- International Seabed Authority above for information related to tenements and permits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obligations and sponsorship</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Business Regulations-The NORI Exploration Contract, Business Regulations-The NORI Sponsorship Agreement above for information related to this agreement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Business Regulations-Royalties and taxes above for information with respect to our obligations for royalties and taxes in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NORI Contract Area</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meters of water. Approximately 800 tonnes of nodules were recovered.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Using a different system to OMI, Ocean Mining Associates recovered approximately 500 tonnes of nodules during its trial collection in the 1970s.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NORI Technical Report Summary for further specific information of the history of previous exploration of the NORI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high Ni and Cu grade nodules.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CCZ seafloor forms part of the Abyssal Plains, which are the largest physiographic province on Earth.</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average depth of the seafloor in the Project Area is 3,800 to 4,200 meters. Overall, the seafloor slopes at approximately 0.57˚ (1 meter per kilometer) but the Abyssal Plains are traversed by ridges, with amplitude of 50 to 300 meters (maximum 1,000 meters) and wavelength of 1 to 10 kilometers. The Abyssal Plains are punctuated by extinct volcanoes rising 500 to 2,000 meters above the seafloor.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Nodules are abundant in abyssal areas with oxygenated bottom waters and low sedimentation rates (less than 10 cm per thousand years). Nodules generally range from about 1 to 12 cm in their longest dimension. Nodules of 1 to 5 cm are typically the most common in NORI Area D, where they have been classified as Type 1 nodules.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NORI completed offshore exploration campaigns in 2012, 2013, 2018, 2019 and 2020. During these campaigns a variety of data was collected including:</w:t>
      </w:r>
    </w:p>
    <w:p>
      <w:pPr>
        <w:spacing w:after="0" w:line="162" w:lineRule="exact"/>
        <w:rPr>
          <w:sz w:val="20"/>
          <w:szCs w:val="20"/>
          <w:color w:val="auto"/>
        </w:rPr>
      </w:pPr>
    </w:p>
    <w:p>
      <w:pPr>
        <w:jc w:val="both"/>
        <w:ind w:left="680" w:hanging="321"/>
        <w:spacing w:after="0" w:line="266"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seafloor survey work with an autonomous underwater vehicle (AUV), utilizing an MBES, Side Scan Sonar (SSS), Sub-Bottom Profiler (SBP), and camera payload; and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252 box core samples collected using a 0.75 square meters box corer, mainly on a 10 kilometers by 10 kilometers square grid were used for resource evaluation.</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NORI exploration campaigns in 2012, 2013, 2018, 2019 and 2020, see Section 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measured mineral resource was assigned to the area within NORI Area D where box-core sampling was conducted on a nominal 7 kilometers by 7 kilometers spacing and infilled with estimates of nodule abundance from seafloor photography to a spacing of 3.5 kilometers by 3.5 kilometers.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indicated mineral resource was assigned to the area within NORI Area D where box-core sampling was conducted on a nominal spacing of 7 kilometers by 7 kilometers or 10 kilometers by 10 kilometers but without additional photo-estimates of nodule abundance.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mineral resource estimate for NORI Area D at a 4 kilogram/square meters abundance cut-off is set forth below. This cut-off is derived from the estimates of costs and revenues presented in the NORI Technical Report Summary, generalized as follows: 1.7 Mt minimum annual tonnage mined; $0.25 million/square kilometers for offshore operating costs; 1,036 square kilometers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19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2024, as none of the mineral resources in these areas were depleted by mining or any other activities. We do not believe there have been any other material changes to the estimated mineral resources since the 2021 determination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NORI Area D December 31, 2024 In-Situ Mineral Resource estimate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NORI Area</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Tonnes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Abundance</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Nickel</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Copper</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Cobalt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Manganese</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Silicon</w:t>
            </w:r>
          </w:p>
        </w:tc>
        <w:tc>
          <w:tcPr>
            <w:tcW w:w="0" w:type="dxa"/>
            <w:vAlign w:val="bottom"/>
          </w:tcPr>
          <w:p>
            <w:pPr>
              <w:spacing w:after="0"/>
              <w:rPr>
                <w:sz w:val="1"/>
                <w:szCs w:val="1"/>
                <w:color w:val="auto"/>
              </w:rPr>
            </w:pPr>
          </w:p>
        </w:tc>
      </w:tr>
      <w:tr>
        <w:trPr>
          <w:trHeight w:val="175"/>
        </w:trPr>
        <w:tc>
          <w:tcPr>
            <w:tcW w:w="34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(Mt (wet))</w:t>
            </w:r>
          </w:p>
        </w:tc>
        <w:tc>
          <w:tcPr>
            <w:tcW w:w="880" w:type="dxa"/>
            <w:vAlign w:val="bottom"/>
            <w:gridSpan w:val="2"/>
          </w:tcPr>
          <w:p>
            <w:pPr>
              <w:spacing w:after="0" w:line="176" w:lineRule="exact"/>
              <w:rPr>
                <w:sz w:val="20"/>
                <w:szCs w:val="20"/>
                <w:color w:val="auto"/>
              </w:rPr>
            </w:pPr>
            <w:r>
              <w:rPr>
                <w:rFonts w:ascii="Times New Roman" w:cs="Times New Roman" w:eastAsia="Times New Roman" w:hAnsi="Times New Roman"/>
                <w:sz w:val="14"/>
                <w:szCs w:val="14"/>
                <w:b w:val="1"/>
                <w:bCs w:val="1"/>
                <w:color w:val="auto"/>
              </w:rPr>
              <w:t>(wet kg/m</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4"/>
                <w:szCs w:val="14"/>
                <w:b w:val="1"/>
                <w:bCs w:val="1"/>
                <w:color w:val="auto"/>
              </w:rPr>
              <w:t>)</w:t>
            </w:r>
          </w:p>
        </w:tc>
        <w:tc>
          <w:tcPr>
            <w:tcW w:w="6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Measured</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Indicated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Measured +</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w:t>
            </w:r>
          </w:p>
        </w:tc>
        <w:tc>
          <w:tcPr>
            <w:tcW w:w="1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Indicated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Inferred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62"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was chosen for the NORI Contract Area, based on the estimates of costs and revenues presented in the initial assessment contained in the NORI Technical Report Summary. The metal prices assumed in the calculation of the cut-off were: nickel metal $16,472/t; copper metal $6,872/t; cobalt metal $46,333/t; cobalt in manganese in manganese silicate $4.50/dmtu. The price estimates are long term (2034 – 2046) forecasts provided in a report by CRU International Limited (CRU, October 23, 2020). The Qualified Person considered that this timeframe is reasonable in view of the likely time required to bring the majority of the NORI mineral resources into production.</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Sampling of NORI Area D at a spacing of 10 kilometers by 10 kilometers during the 2019 campaign confirmed that the nodules have low variability and high continuity. The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resource estimate is also slightly higher in abundance (5.4% higher), and nickel (6.1% higher), cobalt (5.4% higher) and manganese (2.2% higher) grades than the 2018 estimate.</w:t>
      </w:r>
    </w:p>
    <w:p>
      <w:pPr>
        <w:spacing w:after="0" w:line="187"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Comparison of the area covered by inferred, indicated and measured mineral resource for the estimate and the same area in the 2018 model shows that nickel grade has increased by 6% (1.32% to 1.40% Ni) while abundance has increased by 6% (16.0 to 17.0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Mineral resource tonnage has increased by 10% (from 10 to 11 Mt) in the inferred area and 7% (from 320 to 341 Mt) in the indicated area. The positive conversion rates arising from infilling the sampling grid with high-quality box core sample data (rather than extending the area sampled) are exceptionally high compared to the typical outcomes from infill sampling of terrestrial mineral deposits.</w:t>
      </w:r>
    </w:p>
    <w:p>
      <w:pPr>
        <w:spacing w:after="0" w:line="202"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at a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20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estimated mineral resources were determined in 2021 as of December 31, 2020 and also reflect the estimated mineral resources as of December 31, 2024, as none of the mineral resources in these areas were depleted by mining or any other activities. We do not believe there have been any other material changes to the estimated mineral resources since the 2021 determination thereof.</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NORI Area A, B and C December 31, 2024 In-Situ Mineral Resource estimate at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abundance cut-off</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NORI Area</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Nodule tonnage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Abundance</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Ni</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Cu</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w:t>
            </w: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Mn</w:t>
            </w:r>
          </w:p>
        </w:tc>
        <w:tc>
          <w:tcPr>
            <w:tcW w:w="0" w:type="dxa"/>
            <w:vAlign w:val="bottom"/>
          </w:tcPr>
          <w:p>
            <w:pPr>
              <w:spacing w:after="0"/>
              <w:rPr>
                <w:sz w:val="1"/>
                <w:szCs w:val="1"/>
                <w:color w:val="auto"/>
              </w:rPr>
            </w:pPr>
          </w:p>
        </w:tc>
      </w:tr>
      <w:tr>
        <w:trPr>
          <w:trHeight w:val="175"/>
        </w:trPr>
        <w:tc>
          <w:tcPr>
            <w:tcW w:w="3420" w:type="dxa"/>
            <w:vAlign w:val="bottom"/>
            <w:gridSpan w:val="3"/>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(Mt (wet))</w:t>
            </w:r>
          </w:p>
        </w:tc>
        <w:tc>
          <w:tcPr>
            <w:tcW w:w="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4"/>
                <w:szCs w:val="14"/>
                <w:b w:val="1"/>
                <w:bCs w:val="1"/>
                <w:color w:val="auto"/>
              </w:rPr>
              <w:t>(wet kg/m</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4"/>
                <w:szCs w:val="14"/>
                <w:b w:val="1"/>
                <w:bCs w:val="1"/>
                <w:color w:val="auto"/>
              </w:rPr>
              <w:t>)</w:t>
            </w: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3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Inferred</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Inferred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Inferred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NORI Technical Report Summary and in this Annual Report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 not to assume that any part or all of the mineral deposits in these categories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ever be converted into mineral reserves, as defined by the SEC.</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Area D resource is defined in the measured and indicated categories. </w:t>
      </w:r>
      <w:r>
        <w:rPr>
          <w:rFonts w:ascii="Times New Roman" w:cs="Times New Roman" w:eastAsia="Times New Roman" w:hAnsi="Times New Roman"/>
          <w:sz w:val="18"/>
          <w:szCs w:val="18"/>
          <w:b w:val="1"/>
          <w:bCs w:val="1"/>
          <w:color w:val="auto"/>
        </w:rPr>
        <w:t>Therefore, you are cautioned not to assume that all or any part of an inferred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 The development plan has been refined since the creation of the NORI Technical Report Summary.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proposed seafloor development phases are as follows:</w:t>
      </w:r>
    </w:p>
    <w:p>
      <w:pPr>
        <w:spacing w:after="0" w:line="225" w:lineRule="exact"/>
        <w:rPr>
          <w:sz w:val="20"/>
          <w:szCs w:val="20"/>
          <w:color w:val="auto"/>
        </w:rPr>
      </w:pPr>
    </w:p>
    <w:p>
      <w:pPr>
        <w:jc w:val="both"/>
        <w:ind w:left="680" w:hanging="321"/>
        <w:spacing w:after="0" w:line="261"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Collector Test was designed to perform proof of concept for the methods of collecting and lifting the nodules while acquiring sufficient data to design a commercial system. The Collector Test used a converted sixth generation drillship,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Nodules collected during the test were stored on the</w:t>
      </w:r>
      <w:r>
        <w:rPr>
          <w:rFonts w:ascii="Times New Roman" w:cs="Times New Roman" w:eastAsia="Times New Roman" w:hAnsi="Times New Roman"/>
          <w:sz w:val="18"/>
          <w:szCs w:val="18"/>
          <w:i w:val="1"/>
          <w:iCs w:val="1"/>
          <w:color w:val="auto"/>
        </w:rPr>
        <w:t xml:space="preserve"> Hidden Gem </w:t>
      </w:r>
      <w:r>
        <w:rPr>
          <w:rFonts w:ascii="Times New Roman" w:cs="Times New Roman" w:eastAsia="Times New Roman" w:hAnsi="Times New Roman"/>
          <w:sz w:val="18"/>
          <w:szCs w:val="18"/>
          <w:color w:val="auto"/>
        </w:rPr>
        <w:t>and brought to shore for use in large scale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pilot testing. The test did not demonstrate the transshipment of nodules to a shore-based facility.</w:t>
      </w:r>
    </w:p>
    <w:p>
      <w:pPr>
        <w:spacing w:after="0" w:line="177"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Project Zero System would be an extension of the Collector Test using an upgrade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produce a sufficient and continuous quantity of nodules to support commercial operation commencing at 1.3 Mtpa increasing in staged increments to 3.0 Mtpa of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18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Zero Plan of Work application contemplates that an increase in production is achieved via the introduction of another production vessel with the capacity of up to 3.0 Mtpa.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processing of the polymetallic nodules would also be ramped up in phases: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53"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Zero, NORI proposes to toll-treat polymetallic nodules at existing RKEF smelters, utilizing excess industry capacity. NORI advises there is significant interest from many parties in China, Indonesia and Japan to utilize RKEF plants which may become stranded as a result of the Indonesian government nickel laterite ore export ban restricting supply of the nickel laterite feedstock that they currently utilize and the significant recent build-out of capacity in Indonesia which may have resulted in processing capacity oversupply. These RKEF plants were originally built to convert nickel laterite to nickel pig iron and could be converted to smelt polymetallic nodules with minor modifications. Furthermore, in November 2023, we entered into a binding MoU with PAMCO whereby they must complete a feasibility study (anticipated to be completed in mid-2025) to toll treat 1.3 million tonnes of wet polymetallic nodules per year at its Hachinohe, Japan smelting facility. PAMCO’s Hachinohe facility is located on the coast in northern Japan and is equipped with port and processing infrastructure required to receive and process polymetallic nodules and to ship products to customers.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20" w:hanging="321"/>
        <w:spacing w:after="0" w:line="26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Project One, a purpose-built process plant may be constructed, including pyrometallurgical (~50% of Project One production, with the other ~50% tolled through existing RKEF facilities) and hydrometallurgical circuits (100% of Project One production). Nodule production would be increased in phases by treatment in this new plant and existing RKEFs.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main items of offshore infrastructure are the nodule collector vehicles, the riser, and three production support vessels (“PSV”):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Drill Ship 2; and Collector Ship 1. Collector Ship 1 is intended to be supported by a collector support vessel.</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up to 15 MPa.</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 in size to an Aframax or New Panamax class of tanker, displacing approximately 103,000 tonnes, and housing a crew of around 120 personnel. Nodules are planned to be discharged from the RALS to the PSVs, where they are expected to be dewatered and temporarily stored or transferred directly to a transport vessel.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separate collector support vessel is expected to remain at sea to support Collector Ship 1. It is expected to be configured as a subsea support platform, as commonly used in the oil industry, with a displacement of around 17,250 t. The function of the collector support vessel will be to facilitate collector maintenance and repair.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NORI Technical Report Summary assumes that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Deep Reach Technology (“DRT”) (2015)).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Mineral Resource modifying factors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Modifying factors</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24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Resource area efficiency</w:t>
            </w: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top w:val="single" w:sz="8" w:color="CCEEFF"/>
            </w:tcBorders>
            <w:shd w:val="clear" w:color="auto" w:fill="CCEEFF"/>
          </w:tcPr>
          <w:p>
            <w:pPr>
              <w:spacing w:after="0"/>
              <w:rPr>
                <w:sz w:val="16"/>
                <w:szCs w:val="16"/>
                <w:color w:val="auto"/>
              </w:rPr>
            </w:pPr>
          </w:p>
        </w:tc>
        <w:tc>
          <w:tcPr>
            <w:tcW w:w="63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The resource area efficiency factor is defined as the width of the collector divided by</w:t>
            </w:r>
          </w:p>
        </w:tc>
      </w:tr>
      <w:tr>
        <w:trPr>
          <w:trHeight w:val="216"/>
        </w:trPr>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width of the collector path. A 0.5 m undisturbed strip is to be left either side of the</w:t>
            </w:r>
          </w:p>
        </w:tc>
      </w:tr>
      <w:tr>
        <w:trPr>
          <w:trHeight w:val="234"/>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collector. For a 12 m wide collector, the resource area efficiency is calculated as 12/13.</w:t>
            </w:r>
          </w:p>
        </w:tc>
      </w:tr>
      <w:tr>
        <w:trPr>
          <w:trHeight w:val="198"/>
        </w:trPr>
        <w:tc>
          <w:tcPr>
            <w:tcW w:w="27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Collector pick-up efficiency</w:t>
            </w:r>
          </w:p>
        </w:tc>
        <w:tc>
          <w:tcPr>
            <w:tcW w:w="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7"/>
                <w:szCs w:val="17"/>
                <w:color w:val="auto"/>
              </w:rPr>
            </w:pPr>
          </w:p>
        </w:tc>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 picked-up up</w:t>
            </w:r>
          </w:p>
        </w:tc>
      </w:tr>
      <w:tr>
        <w:trPr>
          <w:trHeight w:val="234"/>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by the collector head.</w:t>
            </w:r>
          </w:p>
        </w:tc>
      </w:tr>
      <w:tr>
        <w:trPr>
          <w:trHeight w:val="198"/>
        </w:trPr>
        <w:tc>
          <w:tcPr>
            <w:tcW w:w="27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Collector underflow efficiency</w:t>
            </w:r>
          </w:p>
        </w:tc>
        <w:tc>
          <w:tcPr>
            <w:tcW w:w="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that is picked-up up that is passed to the</w:t>
            </w:r>
          </w:p>
        </w:tc>
      </w:tr>
      <w:tr>
        <w:trPr>
          <w:trHeight w:val="234"/>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collector underflow.</w:t>
            </w:r>
          </w:p>
        </w:tc>
      </w:tr>
      <w:tr>
        <w:trPr>
          <w:trHeight w:val="198"/>
        </w:trPr>
        <w:tc>
          <w:tcPr>
            <w:tcW w:w="27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Nodule attrition</w:t>
            </w:r>
          </w:p>
        </w:tc>
        <w:tc>
          <w:tcPr>
            <w:tcW w:w="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17"/>
                <w:szCs w:val="17"/>
                <w:color w:val="auto"/>
              </w:rPr>
            </w:pPr>
          </w:p>
        </w:tc>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mass of nodule lost through attrition from the seafloor to</w:t>
            </w:r>
          </w:p>
        </w:tc>
      </w:tr>
      <w:tr>
        <w:trPr>
          <w:trHeight w:val="234"/>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trans-shipment. It is included in the trans-shipment efficiency.</w:t>
            </w:r>
          </w:p>
        </w:tc>
      </w:tr>
      <w:tr>
        <w:trPr>
          <w:trHeight w:val="198"/>
        </w:trPr>
        <w:tc>
          <w:tcPr>
            <w:tcW w:w="27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Trans-shipment efficiency</w:t>
            </w:r>
          </w:p>
        </w:tc>
        <w:tc>
          <w:tcPr>
            <w:tcW w:w="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transferred from the production vessel to trans-</w:t>
            </w:r>
          </w:p>
        </w:tc>
      </w:tr>
      <w:tr>
        <w:trPr>
          <w:trHeight w:val="234"/>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shipment.</w:t>
            </w:r>
          </w:p>
        </w:tc>
      </w:tr>
      <w:tr>
        <w:trPr>
          <w:trHeight w:val="198"/>
        </w:trPr>
        <w:tc>
          <w:tcPr>
            <w:tcW w:w="27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Overall collector efficiency</w:t>
            </w:r>
          </w:p>
        </w:tc>
        <w:tc>
          <w:tcPr>
            <w:tcW w:w="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7"/>
                <w:szCs w:val="17"/>
                <w:color w:val="auto"/>
              </w:rPr>
            </w:pPr>
          </w:p>
        </w:tc>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This is the percentage of nodule mass passed over by the collector that is delivered to</w:t>
            </w:r>
          </w:p>
        </w:tc>
      </w:tr>
      <w:tr>
        <w:trPr>
          <w:trHeight w:val="216"/>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the transport vessel. It includes losses in the pick-up, overflow, attrition and trans-</w:t>
            </w:r>
          </w:p>
        </w:tc>
      </w:tr>
      <w:tr>
        <w:trPr>
          <w:trHeight w:val="234"/>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shipment (90%*95%*100%*93%).</w:t>
            </w:r>
          </w:p>
        </w:tc>
      </w:tr>
      <w:tr>
        <w:trPr>
          <w:trHeight w:val="198"/>
        </w:trPr>
        <w:tc>
          <w:tcPr>
            <w:tcW w:w="27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Overall resource recovery factor</w:t>
            </w:r>
          </w:p>
        </w:tc>
        <w:tc>
          <w:tcPr>
            <w:tcW w:w="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 the product of the resource area efficiency * collector pick-up efficiency * collector</w:t>
            </w:r>
          </w:p>
        </w:tc>
      </w:tr>
      <w:tr>
        <w:trPr>
          <w:trHeight w:val="216"/>
        </w:trPr>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flow efficiency * (1 — nodule attrition (%)), * trans-shipment efficiency</w:t>
            </w:r>
          </w:p>
        </w:tc>
      </w:tr>
      <w:tr>
        <w:trPr>
          <w:trHeight w:val="234"/>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(92%*90%*95%*100%*93%).</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polymetallic nodule collection methods, see Section 13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sulfate powder, copper cathode and manganese silicate, from polymetallic nodules. This is expected to allow for the proportion of toll treatment to be reduced.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Four RKEF lines and two hydrometallurgical refineries are expected to be required to meet our expected production demand.</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average targeted processing rate for the new processing plant at full capacity is expected to be 6.4 Mtpa of nodules (dry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location and host country of the processing operation has not yet been determined. Engineering design has not yet been undertaken.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metallurgical recoveries are summarized in the table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Nickel</w:t>
            </w: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8"/>
              </w:rPr>
              <w:t>Cobalt</w:t>
            </w:r>
          </w:p>
        </w:tc>
        <w:tc>
          <w:tcPr>
            <w:tcW w:w="124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Copper</w:t>
            </w:r>
          </w:p>
        </w:tc>
        <w:tc>
          <w:tcPr>
            <w:tcW w:w="0" w:type="dxa"/>
            <w:vAlign w:val="bottom"/>
          </w:tcPr>
          <w:p>
            <w:pPr>
              <w:spacing w:after="0"/>
              <w:rPr>
                <w:sz w:val="1"/>
                <w:szCs w:val="1"/>
                <w:color w:val="auto"/>
              </w:rPr>
            </w:pPr>
          </w:p>
        </w:tc>
      </w:tr>
      <w:tr>
        <w:trPr>
          <w:trHeight w:val="148"/>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Process Step</w:t>
            </w:r>
          </w:p>
        </w:tc>
        <w:tc>
          <w:tcPr>
            <w:tcW w:w="122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Recovery</w:t>
            </w:r>
          </w:p>
        </w:tc>
        <w:tc>
          <w:tcPr>
            <w:tcW w:w="120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Recovery</w:t>
            </w:r>
          </w:p>
        </w:tc>
        <w:tc>
          <w:tcPr>
            <w:tcW w:w="12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Recovery</w:t>
            </w:r>
          </w:p>
        </w:tc>
        <w:tc>
          <w:tcPr>
            <w:tcW w:w="0" w:type="dxa"/>
            <w:vAlign w:val="bottom"/>
          </w:tcPr>
          <w:p>
            <w:pPr>
              <w:spacing w:after="0"/>
              <w:rPr>
                <w:sz w:val="1"/>
                <w:szCs w:val="1"/>
                <w:color w:val="auto"/>
              </w:rPr>
            </w:pPr>
          </w:p>
        </w:tc>
      </w:tr>
      <w:tr>
        <w:trPr>
          <w:trHeight w:val="173"/>
        </w:trPr>
        <w:tc>
          <w:tcPr>
            <w:tcW w:w="6260" w:type="dxa"/>
            <w:vAlign w:val="bottom"/>
            <w:gridSpan w:val="2"/>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matte</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Hydrometallurgical products before recycle</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98.9 %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96.2 %</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Recycled residue</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86.5 %</w:t>
            </w:r>
          </w:p>
        </w:tc>
        <w:tc>
          <w:tcPr>
            <w:tcW w:w="0" w:type="dxa"/>
            <w:vAlign w:val="bottom"/>
          </w:tcPr>
          <w:p>
            <w:pPr>
              <w:spacing w:after="0"/>
              <w:rPr>
                <w:sz w:val="1"/>
                <w:szCs w:val="1"/>
                <w:color w:val="auto"/>
              </w:rPr>
            </w:pP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Overall recovery</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94.6 %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86.2 %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14 of the NORI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 has commenced the ESIA process in support of an application for an exploitation contract for the commercial collection of deep-sea polymetallic nodules. A comprehensive program of metocean and biological data acquisition was completed, which required to characterize the baseline conditions at a designated Collector Test site and control sites in the NORI Contract Area.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CCZ. No significant commercial fishing is carried out in the area. The project is expected to provide a source of revenue to our sponsor country, Nauru, and the ISA.</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onshore environmental and social impacts are in the process of being evaluated as part of the feasibility being undertaken by PAMCO under the binding MoU signed in November 2023 for nodules that would be processed at their existing facility in Hachinohe, Japan. This is an existing facility that has processed laterite ores since the mid 1960’s and has all the required operating permits to do so. PAMCO are working with Japanese authorities to ensure that the environmental impacts of treating nodules are minimized and can be undertaken within PAMCO existing permissions or ensuring appropriate permissions are issued if required.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It is likely that additional facilities beyond PAMCO will be required as production expands. This could involve processing through additional tolling facilities or potentially newly built facilities. The onshore environmental and social impacts of these facilities have not been assessed because the tolling facilities have not been identified or a new-build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economic analysis and non-reliance thereon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the NORI Technical Report Summary, we developed in-house a point-in-time financial model based on estimates of future cash flows derived from extraction of nodules from the NORI Area D project, which AMC reviewed the logic, input assumptions and integrity of the calculations and forecasts. This preliminary point-in-time economic analysis set forth in Section 19 of the NORI Technical Report Summary presented a post-tax, real (uninflated) cash flows analysis as of a valuation date of January 1, 2021 based in part on the estimated capital and operating costs set forth in Section 18 of the NORI Technical Report Summary. As part of its review of the economic analysis, AMC cautioned that a pre-feasibility study had not been undertaken and recommended that further data gathering, analysis, design and cost estimation be undertaken to advance the project.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continued to define our resource in the NORI area, with the goal to develop project economics to pre-feasibility level and are working towards a pre-feasibility study, which is nearing completion. As part of our ongoing refinement of our business plans and resource definition work, we are now pursuing a low-CAPEX approach to our development and commercialization of operations for our NORI Area D project where we reuse existing production assets opposed to the high-CAPEX approach where the majority of offshore and onshore production assets would be newly built by us as assumed in the 2021 economic analysis included in the NORI Technical Report Summary.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these changes and the general passage of time since the valuation date of January 1, 2021, the 2021 point-in-time economic analysis included in Section 19 of the NORI Technical Report Summary and the estimated capital and operating costs set forth in Section 18 of the NORI Technical Report Summary, including any references thereto throughout the NORI Technical Report Summary, should no longer be relied upon or used by investors for any reason.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note that we do not believe that there have been any material changes to the abundance cut-off grades used throughout the NORI Technical Report Summary or the Qualified Person’s opinion that the mineral resources included in the NORI Technical Report Summary have reasonable prospects of economic extraction.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NORI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TOML Contract Area</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incorporated by reference as exhibit 96.2 to this Annual Report. In the event that we determine that any of modifying factors, estimates and other scientific and technical information in the report materially change, we may update or file a new technical report in the future. The TOML Contract Area is an exploration stage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of the TOML Contract Area and access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TOML Contract Area is located within the CCZ of the northeast Pacific Ocean. The CCZ is located in international waters between Hawaii and Mexico. The western-end of the CCZ is approximately 1,000 kilometers south of the Hawaiian island group. From here, the CCZ extends over 4,500 kilometers east-northeast, in an approximately 600 kilometers wide trend, with the eastern limits approximately 2,000 kilometers west of southern Mexico. The region is well-located to ship nodules to the American continent or across the Pacific to Asian markets. The TOML Contract Area comprises six separate blocks (A through F) in the CCZ with a combined area of 74,713 square kilometers.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130810</wp:posOffset>
            </wp:positionV>
            <wp:extent cx="4954905" cy="383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5490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TOML Contract Area extents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UTM</w:t>
            </w:r>
          </w:p>
        </w:tc>
        <w:tc>
          <w:tcPr>
            <w:tcW w:w="0" w:type="dxa"/>
            <w:vAlign w:val="bottom"/>
          </w:tcPr>
          <w:p>
            <w:pPr>
              <w:spacing w:after="0"/>
              <w:rPr>
                <w:sz w:val="1"/>
                <w:szCs w:val="1"/>
                <w:color w:val="auto"/>
              </w:rPr>
            </w:pPr>
          </w:p>
        </w:tc>
      </w:tr>
      <w:tr>
        <w:trPr>
          <w:trHeight w:val="148"/>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Area</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Latitude</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Latitude</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Longitude</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Longitude</w:t>
            </w: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UTM X</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UTM X</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UTM Y</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UTM Y</w:t>
            </w: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00" w:type="dxa"/>
            <w:vAlign w:val="bottom"/>
            <w:gridSpan w:val="2"/>
            <w:vMerge w:val="continue"/>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(DD)</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(DD)</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(DD)</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Zone</w:t>
            </w:r>
          </w:p>
        </w:tc>
        <w:tc>
          <w:tcPr>
            <w:tcW w:w="0" w:type="dxa"/>
            <w:vAlign w:val="bottom"/>
          </w:tcPr>
          <w:p>
            <w:pPr>
              <w:spacing w:after="0"/>
              <w:rPr>
                <w:sz w:val="1"/>
                <w:szCs w:val="1"/>
                <w:color w:val="auto"/>
              </w:rPr>
            </w:pPr>
          </w:p>
        </w:tc>
      </w:tr>
      <w:tr>
        <w:trPr>
          <w:trHeight w:val="210"/>
        </w:trPr>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7.167 N</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8.167 N</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151.667 W</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152.510 W</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553972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647187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792205</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902968</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05N</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13.580 N</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14.667 N</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132.000 W</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133.200 W</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694518</w:t>
            </w: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824685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1502009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1623605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08P</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15.000 N</w:t>
            </w: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15.800 N</w:t>
            </w:r>
          </w:p>
        </w:tc>
        <w:tc>
          <w:tcPr>
            <w:tcW w:w="10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128.583 W</w:t>
            </w:r>
          </w:p>
        </w:tc>
        <w:tc>
          <w:tcPr>
            <w:tcW w:w="10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131.000 W</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284947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544791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1658371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1747847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09P</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13.125 N</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14.083 N</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123.583 W</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125.333 W</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247293</w:t>
            </w: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437022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1451031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1557860</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10P</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12.750 N</w:t>
            </w: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13.083 N</w:t>
            </w:r>
          </w:p>
        </w:tc>
        <w:tc>
          <w:tcPr>
            <w:tcW w:w="10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123.583 W</w:t>
            </w:r>
          </w:p>
        </w:tc>
        <w:tc>
          <w:tcPr>
            <w:tcW w:w="10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125.333 W</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246693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436796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1409563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1447513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10P</w:t>
            </w:r>
          </w:p>
        </w:tc>
        <w:tc>
          <w:tcPr>
            <w:tcW w:w="0" w:type="dxa"/>
            <w:vAlign w:val="bottom"/>
          </w:tcPr>
          <w:p>
            <w:pPr>
              <w:spacing w:after="0"/>
              <w:rPr>
                <w:sz w:val="1"/>
                <w:szCs w:val="1"/>
                <w:color w:val="auto"/>
              </w:rPr>
            </w:pP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9.895 N</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11.083 N</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117.817 W</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118.917 W</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289835</w:t>
            </w:r>
          </w:p>
        </w:tc>
        <w:tc>
          <w:tcPr>
            <w:tcW w:w="1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410804</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1093917</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1225828</w:t>
            </w: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11P</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880" w:right="4060" w:hanging="4872"/>
        <w:spacing w:after="0" w:line="783"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Decimal degrees, UTM — Universal Transverse Mercator map projection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CCZ lies between Hawaii and Mexico and is accessible by ship from various ports in the U.S.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Section 3 of the TOML Technical Report Summary for further specific information of the location of the TOML Contract Area.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Tenements and permits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Business Regulations-The TOML Exploration Contract, Business Regulations-The TOML Sponsorship Agreement and Business Regulations- International Seabed Authority above for information related to tenements and permits in the TOML Contract Area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obligations and sponsorship</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Business Regulations-The TOML Exploration Contract, Business Regulations-The TOML Sponsorship Agreement above for information related to this agreement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 and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Business Regulations-Royalties and taxes above for information with respect to our obligations for royalties and taxes in the TOML Contract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of previous exploration activities in the TOML Area</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 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Section 5 of the TOML Technical Report Summary for further specific information of the history of previous exploration of the TOML Contract Area.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Geology and sampling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kilometers in length and up to 600 kilometers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89"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was derived by dividing the weight of recovered nodules by the surface area covered by the open jaws of the sampler or corer (typically 0.25 to 0.75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the TOML exploration campaigns in 2013 and 2015, see Section 7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resource estimate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587-line kilometers). Only sample data within the TOML Contract Area was used to inform the estimates.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Six block models were constructed using the geostatistical modelling programs Gstat 1.1-3 and R 3.2.5, one for each TOML Exploration Area (A to F), in three passes. The first pass used a parent block dimension of 1.75 kilometers by 1.75 kilometers and filled the areas defined as measured mineral resource. The second pass for indicated mineral resource used a parent block size of 3.5 kilometers by 3.5 kilometers while the third pass for inferred mineral resource used a parent block size of 7.0 kilometers by 7.0 kilometers.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Inferred mineral resource classification was based on sampling by pioneer contractors on a nominal spacing of 20 kilometers, the variation and uncertainty in the sample quality, and the likely presence of short-range variation to nodule abundance.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Indicated mineral resource classification was based on box core sampling by TOML on a nominal spacing of approximately 7 kilometers by 7 kilometers (including photo profiling in some cases at 7 kilometers by 3 kilometers), supplemented by sampling by pioneer contractors.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Measured mineral resource was based on box core sampling by TOML on a nominal spacing of approximately 7 km by 7 kilometers plus photo-profiling on a nominal spacing of 3.5 kilometers by 3.0 kilometers, supplemented by sampling by pioneer contractors.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mineral resource estimate for the TOML Contract Area, and at a 4 kilogram/square meters abundance cut-off is set forth below. The estimated mineral resources were determined in 2021, as of December 31, 2020, and also reflect the estimated mineral resources as of December 31, 2024, as none of the mineral resources in these areas were depleted by mining or any other activities. We do not believe there have been any other material changes to the estimated mineral resources since the 2021 determination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b w:val="1"/>
          <w:bCs w:val="1"/>
          <w:color w:val="auto"/>
        </w:rPr>
        <w:t>Mineral Resource Estimate December 31, 2024, In-Situ, for the TOML Contract Area within the CCZ at a 4 kg/m</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b w:val="1"/>
          <w:bCs w:val="1"/>
          <w:color w:val="auto"/>
        </w:rPr>
        <w:t xml:space="preserve"> nodule abundance cut-off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Mineral Resource Classification</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Tonnes</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Abundance</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Ni</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Cu</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w:t>
            </w: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Mn</w:t>
            </w:r>
          </w:p>
        </w:tc>
        <w:tc>
          <w:tcPr>
            <w:tcW w:w="0" w:type="dxa"/>
            <w:vAlign w:val="bottom"/>
          </w:tcPr>
          <w:p>
            <w:pPr>
              <w:spacing w:after="0"/>
              <w:rPr>
                <w:sz w:val="1"/>
                <w:szCs w:val="1"/>
                <w:color w:val="auto"/>
              </w:rPr>
            </w:pPr>
          </w:p>
        </w:tc>
      </w:tr>
      <w:tr>
        <w:trPr>
          <w:trHeight w:val="176"/>
        </w:trPr>
        <w:tc>
          <w:tcPr>
            <w:tcW w:w="4340" w:type="dxa"/>
            <w:vAlign w:val="bottom"/>
            <w:gridSpan w:val="2"/>
            <w:vMerge w:val="continue"/>
          </w:tcPr>
          <w:p>
            <w:pPr>
              <w:spacing w:after="0"/>
              <w:rPr>
                <w:sz w:val="15"/>
                <w:szCs w:val="15"/>
                <w:color w:val="auto"/>
              </w:rPr>
            </w:pPr>
          </w:p>
        </w:tc>
        <w:tc>
          <w:tcPr>
            <w:tcW w:w="94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4"/>
                <w:szCs w:val="14"/>
                <w:b w:val="1"/>
                <w:bCs w:val="1"/>
                <w:color w:val="auto"/>
              </w:rPr>
              <w:t>(x10</w:t>
            </w:r>
            <w:r>
              <w:rPr>
                <w:rFonts w:ascii="Times New Roman" w:cs="Times New Roman" w:eastAsia="Times New Roman" w:hAnsi="Times New Roman"/>
                <w:sz w:val="20"/>
                <w:szCs w:val="20"/>
                <w:b w:val="1"/>
                <w:bCs w:val="1"/>
                <w:color w:val="auto"/>
                <w:vertAlign w:val="superscript"/>
              </w:rPr>
              <w:t>6</w:t>
            </w:r>
            <w:r>
              <w:rPr>
                <w:rFonts w:ascii="Times New Roman" w:cs="Times New Roman" w:eastAsia="Times New Roman" w:hAnsi="Times New Roman"/>
                <w:sz w:val="14"/>
                <w:szCs w:val="14"/>
                <w:b w:val="1"/>
                <w:bCs w:val="1"/>
                <w:color w:val="auto"/>
              </w:rPr>
              <w:t xml:space="preserve"> wet t)*</w:t>
            </w:r>
          </w:p>
        </w:tc>
        <w:tc>
          <w:tcPr>
            <w:tcW w:w="9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4"/>
                <w:szCs w:val="14"/>
                <w:b w:val="1"/>
                <w:bCs w:val="1"/>
                <w:color w:val="auto"/>
              </w:rPr>
              <w:t>(wet kg/m</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4"/>
                <w:szCs w:val="14"/>
                <w:b w:val="1"/>
                <w:bCs w:val="1"/>
                <w:color w:val="auto"/>
              </w:rPr>
              <w:t>)</w:t>
            </w: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 + Indicated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Inferred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spacing w:after="0" w:line="162"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totals are due to rounding of individual values. Mn, Ni, Cu and Co assays on samples dried at 105˚C</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above mineral resource estimate (measured, indicated and inferred mineral resources), which was informed by data collected by TOML in 2013 and 2015, is presented in Table 11.9 of the TOML Technical Report Summary.</w:t>
      </w:r>
    </w:p>
    <w:p>
      <w:pPr>
        <w:spacing w:after="0" w:line="162"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million/square kilometers for offshore operating costs; 1,036 square kilometers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copper metal $6,872/t; cobalt metal $46,333/t; manganese in manganese silicate $4.50/dmtu. The price estimates are long term (2034 – 2046) forecasts provided in a report by CRU International Limited (CRU, 2020). The Qualified Person considered that this timeframe is reasonable in view of the likely time required to bring the majority of the TOML mineral resources into production.</w:t>
      </w:r>
    </w:p>
    <w:p>
      <w:pPr>
        <w:spacing w:after="0" w:line="20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initial inferred mineral resource for the TOML Contract Area was reported on March 20, 2013 by Golder Associates. The changes in the above mineral resource estimate from 2013 for the TOML Contract Area are due to:</w:t>
      </w:r>
    </w:p>
    <w:p>
      <w:pPr>
        <w:spacing w:after="0" w:line="162" w:lineRule="exact"/>
        <w:rPr>
          <w:sz w:val="20"/>
          <w:szCs w:val="20"/>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Areas E and F for the first time, and high abundances and grades in Area F;</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nodule abundance sample information (from box core and photo profile) collected during the 2015 campaign;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abundance estimates within the no nodule domain to zero in areas covered by MBES (TOML Areas B, C, D, E, F);</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ordinary kriging (rather than inverse distance weighting) supported by short-range variogram to estimate abundance;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block model parent cell size related to improved sample spacing.</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Information concerning our mineral properties in the TOML Technical Report Summary and in this Annual Report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8"/>
          <w:szCs w:val="18"/>
          <w:b w:val="1"/>
          <w:bCs w:val="1"/>
          <w:color w:val="auto"/>
        </w:rPr>
        <w:t>You are specifically cautioned not to assume that any part or all of the mineral deposits in these categories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ever be converted into mineral reserves, as defined by the SEC.</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Times New Roman" w:cs="Times New Roman" w:eastAsia="Times New Roman" w:hAnsi="Times New Roman"/>
          <w:sz w:val="18"/>
          <w:szCs w:val="18"/>
          <w:b w:val="1"/>
          <w:bCs w:val="1"/>
          <w:color w:val="auto"/>
        </w:rPr>
        <w:t>Therefore, you are cautioned not to assume that all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Reasonable prospects for economic extraction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methods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collection methods.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main items of offshore infrastructure are the nodule collector vehicles, the riser, and three production support vessels (PSV).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Mineral processing and metallurgical testing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pyrometallurgical process is expected to form two byproducts as well as the matte for the hydrometallurgical refinery:</w:t>
      </w:r>
    </w:p>
    <w:p>
      <w:pPr>
        <w:spacing w:after="0" w:line="225" w:lineRule="exact"/>
        <w:rPr>
          <w:sz w:val="20"/>
          <w:szCs w:val="20"/>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electric furnace slag containing silica and 53% MnO that is intended to be sold as feed to the Si-Mn industry;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converter aisle slag that could be used for aggregate in road construction or other applications.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Selection of ammonia as a principal reagent in the hydrometallurgical refinery means that an additional by-product, ammonium sulfate, may be generated. This could be sold into the fertilizer industry.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production of battery-grade nickel and cobalt sulfates is targeted instead of nickel or cobalt cathodes or other intermediate products.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summary:</w:t>
      </w:r>
    </w:p>
    <w:p>
      <w:pPr>
        <w:spacing w:after="0" w:line="225" w:lineRule="exact"/>
        <w:rPr>
          <w:sz w:val="20"/>
          <w:szCs w:val="20"/>
          <w:color w:val="auto"/>
        </w:rPr>
      </w:pPr>
    </w:p>
    <w:p>
      <w:pPr>
        <w:ind w:left="680" w:right="2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parts of the proposed process have commercial precedents in similar or analogous industries, however not as a whole continuous flowsheet.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Pay-metals are recovered in the following forms: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cathodes with an expected quality of ≥99.9% Cu.</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nickel sulfate.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Battery-grade cobalt sulfate.</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Rather than generating large waste streams, the process is expected to produce by-products including high manganese content furnace slag and ammonium sulfate.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process assumptions used in this TOML Technical Report Summary will need to be verified as the project proceeds.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on mineral processing and metallurgical testing, see Section 10 of the TOML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studies, permitting, community, or social impact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TOML’s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environmental studies, permitting and social or community impact, see Section 17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 and data verification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sample data are supported by independent third-party data, have been reviewed by the ISA LTC during the process of granting licenses to the Pioneer Contractors, and are maintained by the independent ISA.</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76" w:lineRule="exact"/>
        <w:rPr>
          <w:sz w:val="20"/>
          <w:szCs w:val="20"/>
          <w:color w:val="auto"/>
        </w:rPr>
      </w:pPr>
    </w:p>
    <w:p>
      <w:pPr>
        <w:jc w:val="both"/>
        <w:ind w:left="680" w:hanging="321"/>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of the six independent data sets from the CCZ shows a high level of consistency in abundance and grade and, conversely, provides no evidence of bias or systematic error in the TOML data.</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TOML nodule sampling confirms the existence, and abundance and grade continuity of the polymetallic nodules within the TOML Exploration Areas.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Qualified Person considered the abundance estimates derived from photographs to date from TOML Areas B and C, to be suitable for estimating nodule abundance for the mineral resource.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quality control/quality assurance and data verification, see Section 8 and Section 9 of the TOML Technical Report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28, 2021, a shareholder filed a putative class action against us, one of our executive and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8, 2024, a shareholder filed a putative class action against us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our initial classification of this non-financial asset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our securities between May 12, 2023, and March 25, 2024, and seeks to recover compensable damages caused by the alleged wrongdoings. On February 6, 2025, the Court appointed a lead plaintiff. An amended complaint was filed on March 6, 2025. Pursuant to court-approved scheduling, we are expected to serve a motion to dismiss by April 10, 2025, the lead plaintiff is expected to file an opposition by May 15, 2025, and we are expected to reply by June 5, 2025. We intend to defend against the lawsuit. There can be no assurance, however, that we will be successful in our defense, or that insurance will be available or adequate to fund any settlement or judgment or the litigation costs of this action. Due to the early stage of this litigation, such losses or range of possible losses cannot be reliably estimated.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trade on The Nasdaq Global Select Market under the symbols “TMC” and “TMCWW,”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and Holders of Public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20, 2025, there were approximately 347,910,742 Common Shares issued and outstanding held of record by 79 holders, approximately 15,000,000 Public Warrants held of record by one holder exercisable for one Common Share at a price of $11.50 per share.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numbers do not include beneficial owners holding our securities through nominee names.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quarter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See Exhibit 4.1 to this Annual Report for a summary of certain ownership and exchange controls imposed by Canadian law or by our Notice of Articles and Articles on the right of a non-resident of Canada to hold or vote Common Shares or restricts the export or import of capital, or that would affect the remittance of dividends (if any) or other payments by us to a non-resident of Canada holder of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and Canadian Federal Income Tax Considerations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See Exhibit 4.1 to this Annual Report for summaries of the material U.S. federal income tax considerations applicable to you if you are a U.S. Holder (as defined below) of our Common Shares and/or Public Warrants and the material Canadian federal income tax considerations pursuant to the Income Tax Act (Canada) and the regulations thereunder (the “Tax Act”) that generally apply to the acquisition, holding and disposition of Common Shares and Public Warrants by a person who is neither resident nor deemed to be resident in Canada for purposes of the Tax Act and acquires a beneficial interest in Common Shares or Public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the financial condition and results of our operations should be read in conjunction with the financial statements and the notes to those statements appearing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You should read the risk factors set forth in Item 1A of this Annual Report for a discussion of important factors that could cause actual results to differ materially from the results described in or implied by the forward-looking statements contained in the following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CCZ, about 1,500 miles south-west of San Diego, California.</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in a single rock. These four metals contained in the polymetallic nodules are critical for the transition to low carbon energy. Our resource definition work to date shows that nodules in our contract areas represent the world’s largest estimated undeveloped source of the four critical metals contained in nodules. If we are able to collect polymetallic nodules from the seafloor on a commercial scale, we plan to use such nodules to produce three types of metal products: (i) feedstock for battery cathode precursors (nickel, and cobalt sulfates, or intermediate nickel-copper-cobalt matte or nickel-copper-cobalt alloy) for EV and energy storage markets, (ii) copper cathode for electric wiring,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Exploration and exploitation of seafloor minerals in international waters is regulated by the ISA, an intergovernmental organization established pursuant to the 1994 Agreement Relating to the Implementation of the UNCLOS. The ISA grants contracts to sovereign states or to private contractors who are sponsored by a sovereign state. The ISA requires that a contractor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two of the 17 polymetallic nodule contract areas in the CCZ through our subsidiaries NORI and TOML, sponsored by Nauru and Tonga, respectively.</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developed and tested a pilot collection system, and is now working to modify it into the first commercial production system and (ii) Glencore which holds offtake rights to 50% of the NORI nickel and copper production if produced from a DGE-owned or controlled facility. In addition, we have worked with engineering firm Hatch and consultants KPM to develop a near-zero solid waste flowsheet. The primary processing stages of the flowsheet from nodule to NiCuCo matte intermediate were demonstrated as part of our pilot plant program at FLSmidth and XPS’ facilities. The matte refining stages are being tested at SGS Lakefield. The near-zero solid waste flowsheet provides a design that is expected to serve as the basis for our onshore processing facilities. In November 2022, we entered into a non-binding MoU with Pacific Metals Co Ltd (PAMCO) of Japan pursuant to which PAMCO completed prefeasibility work assessing the prospect of processing nodules using their existing facilities. In November 2023, we entered into a binding MoU with PAMCO whereby they committed to completing a feasibility study (expected to be completed by mid-2025) to toll treat 1.3 million tonnes of wet polymetallic nodules per year at its Hachinohe, Japan smelting facility, provided we obtain an exploitation contract from the ISA. The toll treatment is intended to take place on a dedicated Rotary Kiln Electric Arc Furnace (“RKEF”) processing line and produce two products: nickel-copper-cobalt alloy, an intermediate product used as feedstock to produce lithium-ion battery cathodes, and a manganese silicate product used to make silico-manganese alloy, a critical input into steel manufacturing. We expect this partnership to progress to a definitive tolling agreement in 2025, subject to successful evaluation study outcomes and agreement to mutually acceptable commercial terms. There can be no assurance that we will enter into such definitive strategic alliance in a particular time period, or at all, or on terms similar to those set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forth in the binding MoU, or that if such definitive tolling agreement is entered into by us or that the existing facility will be able to successfully process nodules in a particular time period, or at all.</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currently focused on preparing our application for a plan of work to the ISA for our first exploitation contract for the NORI contract area. Given that it is unlikely that the ISA Council would consider any application for a plan of work for exploitation before its next session in March 2025 and to ensure clarity on the submission process, consideration of the Application, and timeline, the Republic of Nauru, in consultation with NORI, formally requested that this issue be added to the agenda of the Council’s March 2025 meeting. Nauru’s proposed agenda item was strongly opposed by Chile, and it is unlikely for there to be an agreed upon process until after an application is received. Based on the current timeline in the consolidated draft regulations issued February 2024, the ISA application review and approval process is expected to be approximately one year from the filing date. See “</w:t>
      </w:r>
      <w:r>
        <w:rPr>
          <w:rFonts w:ascii="Times New Roman" w:cs="Times New Roman" w:eastAsia="Times New Roman" w:hAnsi="Times New Roman"/>
          <w:sz w:val="18"/>
          <w:szCs w:val="18"/>
          <w:i w:val="1"/>
          <w:iCs w:val="1"/>
          <w:color w:val="auto"/>
        </w:rPr>
        <w:t>Project and Regulatory Updates - ISA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w:t>
      </w:r>
      <w:r>
        <w:rPr>
          <w:rFonts w:ascii="Times New Roman" w:cs="Times New Roman" w:eastAsia="Times New Roman" w:hAnsi="Times New Roman"/>
          <w:sz w:val="18"/>
          <w:szCs w:val="18"/>
          <w:color w:val="auto"/>
        </w:rPr>
        <w:t>” below for a further discussion on recent developments at the ISA.</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reach our objective and initiate commercial production,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alloy or matte product and/or end-products like nickel and cobalt sulfates, and copper cathode. In addition, we are also in the initial stages of considering the possibility of a U.S.-based regulatory pathway with the U.S. National Oceanic and Atmospheric Administration (“NOAA”) and the U.S. Department of Commerce under the U.S. Deep Seabed Hard Mineral Resources Act (“DSHMRA”) for the commercial production of deep-sea polymetallic nodules in the CCZ.</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In addition, we do not have the applicable environmental and other permits required to build and/or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Highlights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a few of the developments that occurred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with our Projects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27, 2025 Submission Date for Subsidiary NORI’s ISA Application, and Expanded Company Strategy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NORI has set the date of June 27, 2025 for its expected submission of its ISA exploitation application. According to the ISA Council’s decisions ISBA/28/C/24 and ISBA/28/C/25, if NORI submits an application for a plan of work for exploitation before the RRPs have been adopted, the ISA Council at its next meeting, as a matter of priority, will consider the process for considering such an application. The ISA Council is not scheduled to meet again until March 2025 and we believe it is unlikely that the ISA Council would consider an application for a plan of work for exploitation before this session. In light of this, Nauru formally requested that the ISA clarify the submission and review process for such an application at the March 2025 meetings before NORI submits the Application and, therefore, has decided to submit the Application after the March 2025 meetings on June 27, 2025. At the March 2025 meetings, Nauru’s proposed agenda item was strongly opposed by Chile, and it is unlikely for there to be an agreed upon process until after an application is received.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Marawa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14, 2024, DeepGreen Engineering Pte. Ltd. (“DeepGreen”) delivered a formal termination notice to Marawa Research and Exploration Limited, ending the Services Agreement dated October 1, 2013 (the “Agreement”), pursuant to DeepGreen’s right to terminate for convenience under the Agreement. The termination became effective on January 14, 2025, and we no longer have any exploration or other rights to the area of the CCZ that was covered by the Agreement. The termination is not expected to have a material adverse effect on our financial position or operations, with non-material ongoing costs and no termination penalties applicable under the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World-First Production of Nickel Sulfate from Deep-Seafloor Polymetallic Nodules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2024, we announced that we had successfully produced the world’s first nickel sulfate derived exclusively from seafloor polymetallic nodules during pilot-scale nodule processing. In partnership with SGS Canada Inc, the testing was undertaken on samples of nickel-cobalt-copper matte produced by us in 2021 using our efficient flowsheet to process high-grade nickel matte directly to nickel sulfate without making nickel metal, while producing fertilizer byproducts instead of solid waste or tailings.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Extensive Submission of Deep-Sea Environmental Data to the ISA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2024, we announced that our subsidiary NORI had made a second submission of key environmental data from all prior environmental baseline campaigns conducted in the NORI Area D exploration area up to January 2022 to DeepData, an open database of contractor data managed by the ISA. The submission of this batch of data includes an extensive set of geochemical and biological samples from across the water column.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World-First Cobalt Sulfate Produced from Deep-Seafloor Polymetallic Nodules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12, 2024, we announced that we successfully produced the world’s first cobalt sulfate derived exclusively from seafloor polymetallic nodules. The cobalt sulfate was generated during bench-scale testing of our hydrometallurgical flowsheet design with SGS Canada Inc. Based on samples of nickel-cobalt-copper matte first produced by us in 2021, SGS tested our efficient flowsheet to process high-grade nickel-copper-cobalt matte directly to high-purity cobalt sulfate without making cobalt metal, while producing fertilizer byproducts instead of solid waste or tailings. The milestone followed the news in May 2024 of our successful production of nickel sulfate, a key raw material input used in the production of energy-dense EV batteries.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Annual Impact Report Published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29, 2024, we published our third annual Impact Report to provide an update on key milestones achieved in our assessment of the environmental impacts of nodule collection including, what we believe, is the successful collection of sufficient quantities of environmental baseline and impact data to develop an Environmental Impact Statement and Environmental Mitigation and Management Plan (EMMP) for the world’s first deep-seafloor nodule collection project.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and PAMCO Successfully Produce Calcine in Commercial-Scale Processing of Polymetallic Nodules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2024, we announced that we had successfully produced high temperature material (calcine) during the first phase of a commercial-scale campaign to process a 2,000-tonne sample of deep-seafloor polymetallic nodules at our partner PAMCO’s Hachinohe Rotary Kiln Electric-Arc Furnace facility in Hachinohe, Japan. Approximately 500 tonnes of calcine were produced. On February 18, 2025, we announced that PAMCO had successfully smelted 450 tonnes of calcine into 35 tonnes of NiCuCo alloy and 320 tonnes of Mn silicate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ISA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ISA Consolidated Draft Regulations</w:t>
      </w:r>
    </w:p>
    <w:p>
      <w:pPr>
        <w:spacing w:after="0" w:line="22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February 2024, the ISA released the first consolidated draft regulations on exploitation of Mineral resources in the Area. The revised second consolidated text was released in November 2024. Negotiations on the revised second consolidated text began during part 1 of the ISA’s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Applauds U.S. Congressional Mandate for 2025 Defense Department Feasibility Study on Nodule Refining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30, 2024, we welcomed the signing of legislation calling for financial support from the Defense Department’s Industrial Base Policy office to “assess the feasibility of improving domestic capabilities for refining polymetallic nodule-derived intermediates into high-purity nickel, cobalt sulfate, and copper.” The legislation, signed into law by President Biden on December 23, 2024, was led by the HASC and calls for the completion of a feasibility study by the end of 2025 for a nodule-derived intermediate refinery which would bring the U.S. closer to addressing the biggest vulnerability in its domestic battery supply chains – nickel refining – as identified in Executive Order 14017 from 2021. In addition, our U.S. subsidiary has an outstanding application seeking a $9 million grant under the Defense Production Act Title III program for feasibility work on a domestic refinery for nodule-derived intermediate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Responsible Use of Seafloor Resources Act (RUSRA)</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March 2024, legislation was introduced in the U.S. House of Representatives calling for the U.S. to “support international governance of seafloor resource exploration and responsible polymetallic nodule collection by allied partners”, and to “provide financial, diplomatic, or other forms of support for seafloor nodule collection, processing and refining.”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CEO Testifies to U.S. House of Representatives on Benefits of Nodules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2024, our CEO Gerard Barron gave testimony during a meeting of the Critical Mineral Policy Working Group for the House Select Committee on the Chinese Communist Party to discuss the U.S.’ heavy reliance on Chinese imports of critical minerals and policy solutions to incentivize greater cooperation with allies to create alternative supplies. Mr. Barron spoke to the potential of seafloor nodules to secure U.S. supplies of key minerals for the energy transition and defense sectors.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Rebuttal to Publication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July 2024, Nature Geoscience published a paper claiming that seafloor nodules produce oxygen in the absence of sunlight. Since the paper’s publication, multiple rebuttals have been submitted to Nature warning of serious flaws with the paper’s methodology and claims, prompting calls for the paper to be retracted. Researchers at the University of Tokyo and University of Gothenburg are among the experts that have submitted pre-print rebuttals to the article’s author. Our own rebuttal, published September 19, 2024, notes selective reporting of data and omission of key evidence, including experiments that show oxygen levels increasing without nodules, directly contradicting the authors’ claims.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Announces Registered Direct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14, 2024, we entered into a securities purchase agreement with certain new and existing institutional investors for the sale of an aggregate of 17,500,000 common shares (the “Shares”) and accompanying Class B warrants (the “Class B Warrants”), in a registered direct offering (the “2024 Registered Direct Offering”). The offering price was $1.00 per Share, resulting in initial gross proceeds of $17.5 million ($16.5 million after associated fees), with each Share including an accompanying Class B Warrant to purchase 0.5 common shares. The Class B Warrants are exercisable immediately upon issuance at a price of $2.00 per share and expire five years from issuance. On November 26, 2024, we entered into the First Amendment to the Securities Purchase Agreement, increasing the offering by an additional 2,400,000 common shares and accompanying Class B Warrants to purchase 1,200,000 common shares on the same terms and conditions. As a result, the total number of Shares and accompanying Class B Warrants issued in the registered direct offering increased to 19,900,000 Shares and Class B Warrants to purchase 9,950,000 common shares, bringing the aggregate gross proceeds to $19.9 million, all of which has been received, before deducting offering expenses. The Class B Warrants include customary anti-dilution protections and a repurchase feature, permitting us to repurchase the warrants for $0.0001 per Common Share underlying the Class B Warrants if the volume-weighted average price of our common shares exceeds $5.00 per share for each trading day in a consecutive 30-trading-day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2023 Credit Facility with Allseas Affiliate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22, 2023, we entered into a $25 million Unsecured Credit Facility (the “2023 Credit Facility”) with Argentum Cedit Virtuti GCV, the parent of Allseas Investments S.A. (“Allseas Investments”) and an affiliate of Allseas, which was amended on July 31, 2023. On March 22, 2024, we entered into the Second Amendment to the Unsecured Credit Facility with Argentum Cedit Virtuti GCV to further extend the 2023 Credit Facility to August 31, 2025 and to provide that the underutilization fee thereunder shall cease to be payable after the date on which we or the Lender gives notice of termination of the agreement On August 16, 2024, the Company entered into the Third Amendment to the 2023 Credit Facility, to increase the borrowing limit of the 2023 Credit Facility to $27.5 million. On November 14, 2024, as a result of the 2024 Registered Direct Offering the borrowing limit of the 2023 Credit Facility was returned to $25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Credit Facility with ERAS Capital LLC and Gerard Barron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$20 million in the aggregate ($10 million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 (ii) in prepayments under an off-take agreement or similar commercial agreement. As of the date of this Annual Report, we have drawn $2.5 million from the 2024 Credit Facility. On August 13, 2024, we entered into the First Amendment to the 2024 Credit Facility with the 2024 Lenders to increase the borrowing limit of the 2024 Credit Facility to $25 million in the aggregate ($12.5 million from each of the 2024 Lenders). On November 14, 2024, we entered into the Second Amendment to the 2024 Credit Facility with the 2024 Lenders, to increase the borrowing limit to $38 million in the aggregate ($19 million from each of the 2024 Lenders) and to extend the maturity of the 2024 Credit Facility to December 31,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Board Appointments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Steve Jurvetson Joins TMC’s Board of Directors as Vice Chairman and Special Advisor to the CEO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10, 2024, renowned Silicon Valley investor Steve Jurvetson joined our board of directors as Vice Chairman and special advisor to the CEO. Mr. Jurvetson is an investor focused on founder-led, mission-driven companies at the cutting edge of disruptive technology and new industry formation. His investments include pioneering technology companies like Tesla, Planet Labs, SpaceX and Commonwealth Fusion Systems, and represent over $800 billion in aggregate value creation.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Prominent Sustainability Strategist Brendan May Joins TMC’s Board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3, 2024, we announced the appointment of Brendan May to our Board of Directors. As a former Chief Executive of the Marine Stewardship Council (MSC) and European Chairman of the Rainforest Alliance, Mr. May has spent over two decades at the forefront of sustainability challenges in globally significant ecosystems. In 2010, he formed renowned global sustainability consultancy, Robertsbridge, whose counsel has been sought by leading companies and NGOs around the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Subsequent to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TMC and PAMCO Achieve Nodule Processing Milestone, Unlocking Critical Battery &amp; Steelmaking Materials at Existing Facilities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18, 2025, we announced that PAMCO had successfully smelted 450 tonnes of calcine into 35 tonnes of NiCuCo alloy and 320 tonnes of Mn silicate products, during a commercial-scale campaign to process a 2,000-tonne sample of deep-seafloor polymetallic nodules at our partner PAMCO’s Hachinohe Rotary Kiln Electric-Arc Furnace facility in Hachinohe, Japan, demonstrating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process at scale. The process data and operational experience gathered during the commercial-scale processing trial will inform expected definitive processing agreements between the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of Credit Facility with ERAS Capital LLC and Gerard Barron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of Allseas Working Capital Loan Agreement and Termination of Allseas 2023 Credit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24,2025, we entered into a Letter Agreement (the “Letter Agreement”) with Allseas Investments and Argentum Cedit Virtuti GCV, pursuant to which the repayment date under our working capital loan agreement (“Working Capital Loan Agreement”) with Allseas Investments dated September 9, 2024 was extended to September 30, 2025.</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under the Letter Agreement, we and Argentum Cedit Virtuti GCV agreed to cancel the unsecured credit facility established in 2023 with no outstanding amounts remaining, other than our obligation to pay the underutilization fee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of Potential U.S.-Based Regulatory Pathway</w:t>
      </w:r>
    </w:p>
    <w:p>
      <w:pPr>
        <w:spacing w:after="0" w:line="22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On March 27, 2025, we announced that we initiated a process with NOAA and the U.S. Department of Commerce under the DSHMRA to consider a U.S.-based regulatory pathway for the commercial production of deep-sea polymetallic nodules in the CCZ. We believe this regulatory pathway potentially offers a clear and predictable route to securing an exploration license and a commercial recover permit to polymetallic nodules found in the CCZ. We are in the initial planning stages of this strategy, however, and there are no assurances that we will be able to secure any exploration or commercial recovery rights under the DSHMRA in a timely manner, or at all.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the Republic of Nauru and the Kingdom of Tonga, respectively.</w:t>
      </w:r>
    </w:p>
    <w:p>
      <w:pPr>
        <w:spacing w:after="0" w:line="16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Area”) covering 74,830 square kilometers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to undertake an Initial Economic Assessment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 See Item 2 entitled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included in this Annual Report for additional information about the 2021 economic analysis of NORI Area D.</w:t>
      </w: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74,713 square kilometers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(other than potential service revenue) until NORI receives an exploitation contract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Item 7A entitled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and Item 1A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Climate Change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adopting the Task Force on Climate-Related Financial Disclosures recommendations. In our Impact Report, we provided climate-related disclosure and shared how our vision is aligned with supporting the global energy transition and contributing to a circular metals economy. We recognize that climate change may have a meaningful impact on our financial performance over time, and we continue the process of assessing key risks and corresponding action plans to mitigate their negative impact of climate change on our operations.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climate related transition risks and opportunities are likely to be driven by changes in regulation, public policy, and technology as well as risk of business disruptions due to climate related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working on a plan for continuous reduction of emissions and aiming to develop operations with near zero emissions. When selecting the location of our onshore plant, one of our requirements is access to renewable energy as our metallurgical process will be the most energy intensive step in our operations. In addition, we are seeking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policy risks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zero emissions and are reviewing and designing technologies to achieve this goal. The location of our onshore plant will be key, and we will be working on science-based targets and scenario analysis.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support the EV and battery storage value chain, we are seeking to close the emerging supply gap of the critical metals contained in nodules needed for the transition to renewable energy and adoption of EVs. We plan to take advantage of this opportunity to supply these potentially lower carbon critical metals, avoid deforestation, and help reduce the cost of batteries.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risks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Physical risks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Inflation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global inflation rate rose sharply in 2022, and stayed relatively high in 2023 and 2024, marine fuel prices and vessel day rates remained high and have increased our exploration expenses beyond what was originally expected. Additionally, we are experiencing higher offshore labor costs through our contractors.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pre-revenue company, persistent inflation may affect our ultimate cash requirements prior to our ability to begin commercial production.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results are reported under Generally Accepted Accounting Principles in the United States (“U.S. GAAP”) and in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$81.9 million for the year ended December 31, 2024, compared to a net loss of $73.8 million in the prior year. We have an accumulated deficit of approximately $631.4 million from inception through December 31,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revenue (other than potential service revenue) until NORI receives an exploitation contract and we are able to successfully collect and process polymetallic nodules into saleable products on a commercial scale. Any revenue from initial production is difficult to predict.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wages and salaries,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income earned on our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Interest on Borrowings and Credit Facilities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Fees and interest on borrowings and credit facilities represent interest charged on our short-term debt and interest and underutilization fees associated with our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warrants liabilities primarily consists of the change in the fair value of the 9,500,000 warrants issued to Sustainable Opportunities Holdings LLC concurrently with SOAC’s initial public offering (the “Private Warrants”). For accounting purposes, we were considered to have issued the Private Warrants as part of the Business Combination, and we are required to re-measure the fair value of our Private Warrants at the end of each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60" w:type="dxa"/>
            <w:vAlign w:val="bottom"/>
          </w:tcPr>
          <w:p>
            <w:pPr>
              <w:spacing w:after="0"/>
              <w:rPr>
                <w:sz w:val="13"/>
                <w:szCs w:val="13"/>
                <w:color w:val="auto"/>
              </w:rPr>
            </w:pPr>
          </w:p>
        </w:tc>
        <w:tc>
          <w:tcPr>
            <w:tcW w:w="2600" w:type="dxa"/>
            <w:vAlign w:val="bottom"/>
            <w:gridSpan w:val="7"/>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0" w:type="dxa"/>
            <w:vAlign w:val="bottom"/>
            <w:gridSpan w:val="7"/>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except as noted)</w:t>
            </w:r>
          </w:p>
        </w:tc>
        <w:tc>
          <w:tcPr>
            <w:tcW w:w="160" w:type="dxa"/>
            <w:vAlign w:val="bottom"/>
          </w:tcPr>
          <w:p>
            <w:pPr>
              <w:spacing w:after="0"/>
              <w:rPr>
                <w:sz w:val="12"/>
                <w:szCs w:val="12"/>
                <w:color w:val="auto"/>
              </w:rPr>
            </w:pPr>
          </w:p>
        </w:tc>
        <w:tc>
          <w:tcPr>
            <w:tcW w:w="62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86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820" w:type="dxa"/>
            <w:vAlign w:val="bottom"/>
            <w:gridSpan w:val="2"/>
          </w:tcPr>
          <w:p>
            <w:pPr>
              <w:jc w:val="center"/>
              <w:ind w:lef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$ 26,677</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$ 50,643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$ 49,849</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8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30,644</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on termination of contract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120 %</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Fees and interest on borrowings and credit facilities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386 %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 after tax</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$ 33,459</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$ 81,943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$ 73,781</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2024 compared to Full Year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Exploration and evaluation expenses for the year ended December 31, 2024 were $50.6 million, or $0.8 million higher than the same period in 2023. The spending in 2024 as compared to the prior year reflects an increase of $7.5 million in mining, technological and process development mostly due to costs incurred for resource definition during Campaign 8, higher share-based compensation of $5.4 million primarily due to the amortization of the fair value of RSUs and options granted to officers in the second quarter of 2024. This was offset by lower spending on environmental studies as the cost for Campaign 8 which commenced in the fourth quarter of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was completed in the first quarter of 2024 and was lower than the cost of the environmental work in 2023 following the completion of the NORI pilot nodule collection system test.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(“G&amp;A”)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G&amp;A expenses for the year ended December 31, 2024 were $30.6 million compared to $22.5 million for the same period in 2023. The increase of $8.1 million in G&amp;A expenses was mainly the result of an increase in share-based compensation of $5.7 million due to the amortization of the fair value of RSUs and options granted to directors and officers in the second quarter of 2024, higher consulting and advisory fees of $1.9 million and higher personnel costs of $0.8 million. This increase was partially offset by decreased travel and insurance costs incurred in 2024 compared to the same period in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2024, we earned interest of $0.2 million, as compared to $1.3 million in 2023, mainly from the investment of our cash on hand.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the 9,500,000 Private Warrants. The credit recorded in 2024 reflects the decrease in the market price of our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Interest on Borrowings and Credit Facilities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interest charged on our short-term debt borrowings was $0.2 million in the year ended December 31, 2024 ($nil for the same period of 2023), while interest on drawn amounts on our credit facilities was $0.3 million and underutilization fees on these same facilities was $2.1 million in the year ended December 31, 2024 ($nil and $0.8 million over the same period in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sources of financing have come from private placements and public offerings of Common Shares and warrants, and the issuance of convertible debentures. As of December 31, 2024, we had cash on hand of $3.5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 and by utilizing existing assets for offshore and onshore production.</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a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or provisional approvals. While we have obtained financing in the past, there is no assurance that such financing will continue to be available on favorable terms, in sufficient amounts, or at all.</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particularly as we advance towards our application to the ISA for an exploitation contract and preparation for potential commercialization. Based on our cash balance and availability of borrowing under our credit facility with ERAS Capital LLC and Gerard Barron, when compared with our forecasted cash expenditures, we believe we will have sufficient funds to meet our obligations that become due within the next twelve months. Our estimates used in reaching this conclusion are based on information available as at the date of filing this Annual Report.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will however need and are seeking additional financing to fund our continued operations over time. These financings could include additional public or private equity, debt financings, equity-linked financings or other sources of financing, including through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16, 2022, we filed a registration statement on Form S-3 with the SEC, which the SEC declared effective on October 14, 2022, to sell up to $100 million of securities, which includes the $30 million that may be sold under the At-the-Market Equity Distribution Agreement discussed below and the Common Shares and shares underlying the Class A Warrants issued in the Registered Direct Offering. In addition, on November 30, 2023, we filed an additional registration statement on Form S-3 with the SEC, which the SEC declared effective on December 8, 2023, to sell up to an additional $100 million of securities.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On December 21, 2023, we amended the Sales Agreement to remove Stifel as a sales agent. The offer and sales of the shares are made under our effective “shelf” registration statement on Form S-3 filed with the SEC on September 16, 2022, which the SEC declared effective on October 14, 2022. No funds were raised from the Sales Agreement in the fourth quarter of 2024, while for the 2024 year, we sold 3,251,590 Common Shares for gross proceeds of $4.9 million under this offering.</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22, 2023, we entered into the 2023 Credit Facility with Argentum Cedit Virtuti GCV, the parent of Allseas Investments S.A. and an affiliate of Allseas, which was amended on July 31, 2023 and March 22, 2024, pursuant to which, we were able to borrow from the Lender up to $25 million in the aggregate, from time to time, subject to certain conditions. All amounts drawn under the 2023 Credit Facility bore interest at the 6-month SOFR, 180-day average plus 4.0% per annum payable in cash semi-annually (or plus 5% if paid-in-kind at maturity, our election) on the first business day of each of June and January. We agreed to pay an underutilization fee equal to 4.0% per annum payable semi-annually for any amounts that remain undrawn under the 2023 Credit Facility. We had the right to pre-pay the entire amount outstanding under the 2023 Credit Facility at any time, before the 2023 Credit Facility’s stated maturity of August 31, 2025. The 2023 Credit Facility also contained customary events of default. No amounts had been drawn under the 2023 Credit Facility. Pursuant to the Letter Agreement we entered into on March 24, 2025, we and Argentum Cedit Virtuti GCV agreed to cancel the 2023 Credit Facility with no outstanding amounts remaining, other than our obligation to pay the underutilization fee thereunder.</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14, 2023, we entered into a securities purchase agreement for a Registered Direct Offering of our Common Shares and Class A Warrants (the “2023 Offering”). The purchase price for each Common Share and Class A Warrant to purchase 0.5 Common Shares was $2.00 per unit. The exercise price to purchase one Common Share under the Class A Warrants is $3.00, subject to adjustment as provided in the warrant agreement. No investor elected to exercise its right to purchase additional Common Shares and accompanying Class A Warrants on or before September 15, 2023 under the terms of the securities purchase agreement. As of December 31, 2023, we had received gross proceeds of $15.9 million (approximately $14.6 million net of transaction fees) in the Registered Direct Offering. We received the remaining $9 million of gross proceeds on January 31, 2024, from an investor affiliated with us. As a result of the 2024 Purchase Agreement (as described below), the exercise price of the Class A Warrants was reset to $2.00 as the down round feature of the Class A Warrants agreement was triggered.</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22, 2024, we entered into the 2024 Credit Facility with Gerard Barron, our Chief Executive Officer and Chairman, and ERAS Capital LLC, the family fund of our director, Andrei Karkar, pursuant to which, we may borrow from the 2024 Lenders up to $25 million in the aggregate ($12.5 million from each of the 2024 Lenders), from time to time (was initially $20 million in the aggregate ($10 million from each of the 2024 Lenders), subject to certain conditions. All amounts drawn under the 2024 Credit Facility will bear interest at the 6-month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 (ii) in prepayments under an off-take agreement or similar commercial agreement. On August 13, 2024, we entered into the First Amendment to the 2024 Credit Facility to increase the borrowing limit to $25 million in the aggregate ($12.5 million from each of the 2024 Lenders). Under the terms of the First Amendment, the borrowing limit was due to return to the initial $20 million in the aggregate ($10 million from each of the 2024 Lenders) upon certain financing events. On November 14, 2024, we entered into the Second Amendment to the 2024 Credit Facility with ERAS Capital LLC and Gerard Barron, to increase the borrowing limit to $38 million in the aggregate ($19 million from each of the 2024 Lenders) and to extend the maturity of the 2024 Credit Facility to December 31, 2025. As per the Second Amendment, the rate of underutilization fee was retroactively increased from 4% to 6.5% on any undrawn amounts under the 2024 Credit Facility. On January 30, 2025, we repaid $1.8 million from the drawn amount, leaving a balance of $2.5 million drawn under the 2024 Credit Facility, as of the date of this Annual Report. With the January 2025 repayment, the borrowing limit on the 2024 Credit Facility was reduced to $36.2 million ($17.2 million from Gerard Barron and $19 million from ERAS Capital LLC). 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27, 2024, we entered into a short-term loan agreement with the Lender (Argentum Cedit Virtuti GCV), an affiliate of Allseas. In accordance with the agreement, the Lender provided a short-term loan amounting to $2 million (the “Loan”) on May 30, 2024. The Loan takes priority over the 2024 Credit Facility. The Loan matured on September 10, 2024 (maturity date) and accrued interest at a rate of 8% per annum. On the maturity date, Company repaid the entire Loan amounting to $2 million and the accrued interest amounting to $46 thousand.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9, 2024, we entered into a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is payable to the Lender on or before the earlier of (i) the occurrence of certain financing events and (ii) April 1, 2025 (the “Repayment Date”). The Working Capital Loan will bear interest based on the 6-month Secured Overnight Financing Rate, 180-day average plus a margin of 4.0% per annum and is payable in two installments on January 2, 2025, and the Repayment Date (or plus a margin of 5.0% if all interest payments are deferred to the Repayment Date, at our election). On October 18, 2024, we entered into the First Amendment to the Working Capital Loan Agreement with Allseas Investments, resulting in a further draw of $2.5 million by us and a total Working Capital Loan drawn amount of $7.5 million. On March 24, 2025, we entered into the Letter Agreement with Allseas Investments and Argentum Cedit Virtuti GCV, pursuant to which the repayment date under the Working Capital Loan Agreement was extended to September 30, 2025.</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14, 2024, we entered into a securities purchase agreement (the “2024 Purchase Agreement”) with certain new and existing institutional investors for the sale of an aggregate of 17,500,000 common shares (the “Shares”) and accompanying Class B warrants (the “Class B Warrants”), in a registered direct offering. The offering price was $1.00 per Share, with each Share including an accompanying Class B Warrant to purchase 0.5 common shares. The Class B Warrants are exercisable immediately upon issuance at a price of $2.00 per share and expire five years from issuance. On November 26, 2024, we entered into the First Amendment to the 2024 Purchase Agreement, pursuant to which we agreed to sell and issue an additional 2,400,000 common shares and accompanying Class B Warrants to purchase 1,200,000 common shares to new investors on the same terms and conditions as initially offered. Including the First Amendment to the 2024 Purchase Agreement, we agreed to sell and issue in aggregate 19,900,000 common shares and Class B Warrants to purchase 9,950,000 common shares. Pursuant to the 2024 Purchase Agreement, we agreed not to issue any Common Shares or Common Share equivalents with an effective price of less than $1.00 per share until May 18, 2025. As at December 31, 2024, we received gross proceeds of $14.9 million (net proceeds of $14.2 million, after offering expenses), with the final $5 million of gross proceeds received on February 6, 2025.</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receive up to approximately $309.1 million in aggregate gross proceeds from cash exercises of the Public Warrants, the Private Warrants, the Class A Warrants and the Class B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the warrants will be in the money, the holders of the warrants are not obligated to exercise their warrants, and we cannot predict whether holders of the warrants will choose to exercise all or any of their warrants. In addition, the exercise price to purchase one Common Share under the outstanding Class A Warrants and Class B Warrants is $2.00 (subject to customary adjustments) and there can be no assurance that such warrants will be exercised prior to their expiration, and as such, such warrants may expire and we will not receive any proceeds from the excise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Periods Ended December 31, 2024 and December 31, 2023</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sources and uses of cash for the three and twelve months ended December 31, 2024 and December 31, 2023.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1960" w:type="dxa"/>
            <w:vAlign w:val="bottom"/>
            <w:gridSpan w:val="5"/>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45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(15,214)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w:t>
            </w: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40,686</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w:t>
            </w:r>
          </w:p>
        </w:tc>
        <w:tc>
          <w:tcPr>
            <w:tcW w:w="8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(15,767)</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2024 compared to Full Year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major operating activities over this period involved Campaign 8, as well as advanced work on engineering and pre-feasibility studies as we advance towards our application to the ISA for a NORI exploitation contract and prepare for potential future commercial production. Net cash used in operating activities in the year ended December 31, 2024, amounted to $43.5 million, and consisted mainly of $14.7 million on Campaign 8 and various environmental work, $11.7 million on personnel costs, $9.2 million on legal, advisory and consulting, $2.4 million for sponsorship, training and stakeholder engagement support, $1.9 million spent on engineering and pre-feasibility studies, $1.7 million on communication and business development expenses, $0.9 million on and additional payments of $1.8 million for various expenses.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operating activities focused mainly on the continuation of environmental work following the completion of the NORI integrated collector test, as well as progressing on engineering work and pre-feasibility studies on the project. Net cash used in operating activities in the year ended December 31, 2023, amounted to $59.6 million, and consisted mainly of $32.2 million on various environmental work, $9.3 million on personnel costs, $4.4 million on legal costs, $3.2 million for sponsorship, training, and stakeholder engagement support, $2.8 million spent on engineering and pre-feasibility studies, $1.9 million on communication and business development and additional payments of $5.8 million for various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in/provided by Investing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in the year ended December 31, 2024 was $0.5 million, representing the purchase of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comparative year ended December 31, 2023, cash used in investing activities was $0.6 million for the purchase of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$40.7 million, which comprised of net proceeds received from the Registered Direct Offering announced in November 2024 of $14.7 million, net proceeds of $8.8 million from the 2023 Offering, proceeds from short-term debt and credit facilities of $11.8 million, proceeds from shares issued from ATM of $4.9 million and proceeds from the exercise of stock options and employee stock plans of $0.5 million. The year ended December 31, 2023 represents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mainly cash received from the Registered Direct Offering of $14.7 million and cash received of $5 million on closing of our investment in Low Carbon Royalties.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which included a five-year plan covering 2022 to 2026: NORI is currently implementing its approved five-year plan. The cost of the estimated work plan for 2025 onwards is dependent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us, agreed with the ISA and may be subject to change depending on our progress to date. NORI’s exploration contract expires on July 21, 2026. NORI is required to submit an application for extension no later than six months before the expiration of the contract. NORI intends to submit an application for a five-year extension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 TOML Exploration Contract with the ISA, TOML submitted a periodic review report to the ISA which included a five-year plan covering 2022 to 2026: TOML is currently implementing its approved plan,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Both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 assuming our future operations are ultimately profitable.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On September 23, 2021,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 assuming our future operations are ultimately profitable.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up to an estimated 3.0 million tonnes of wet nodules per year, to be delivered in stepped increments. NORI and Allseas intend to equally finance all costs related to developing and getting the first commercial system into production. Once in production, NORI is expected to pay Allseas a nodule collection and transshipment fee and, as Allseas scales up production to up to an estimated 3.0 million wet tonnes of nodules per year, it is expected that unit costs will be reduced. Following the successful completion of the NORI Area D pilot collection system trials in November 2022 and subsequent analysis of pilot data, the parties are reviewing Project Zero Offshore Nodule Collection System production targets, system design and cost estimates and intend to enter into a binding Heads of Terms by the end of 2024.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another Samsung 10000, with the potential for an additional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 December 31, 2024,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 2023, we entered into an Exclusive Vessel Use Agreement with Allseas pursuant to which Allseas will give us exclusive use of the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with Company Related to Allseas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Credit Facility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described above, on March 22, 2023, we entered into the 2023 Credit Facility with Argentum Cedit Virtuti GCV, an affiliate of Allseas, under which we may borrow up to $25.0 million pursuant to the terms and conditions of the 2023 Credit Facility, as amended, which has a maturity date of August 31, 2025. On August 16, 2024, we entered into the Third Amendment to the 2023 Credit Facility, to increase the borrowing limit of the 2023 Credit Facility to $27.5 million. Under the terms of the Third Amendment, upon closing of</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November 2024 Registered Direct Offering discussed above, the borrowing limit returned to $25 million. There was no outstanding balance under the 2023 Credit Facility as at December 31, 2024. Pursuant to the Letter Agreement entered into on March 24, 2025, we agreed to cancel the 2023 Credit Facility with no outstanding amounts remaining, other than our obligation to pay Argentum Cedit Virtuti GCV the underutilization fee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Short-Term Loan and Working Capital Loan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27, 2024, we entered into a short-term loan agreement with Argentum Cedit Virtuti GCV whereby we borrowed $2 million (the “Loan”) on May 30, 2024. The Loan matured on September 10, 2024 (maturity date) and accrued interest at a rate of 8% per annum. On the maturity date, we repaid the entire Loan amounting to $2 million and the accrued interest.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9, 2024, we entered into a working capital loan agreement (the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is payable to the Lender on or before the earlier of (i) the occurrence of certain financing events and (ii) April 1, 2025 (the “Original Repayment Date”). The Working Capital Loan will bear interest based on the 6-month Secured Overnight Financing Rate, 180-day average plus a margin of 4.0% per annum and is payable in two installments on January 2, 2025, and the Original Repayment Date (or plus a margin of 5.0% if all interest payments are deferred to the Original Repayment Date, at our election). On October 18, 2024, we entered into the First Amendment to the Working Capital Loan Agreement with Allseas Investments, resulting in a further draw of $2.5 million by us and a total Working Capital Loan drawn amount of $7.5 million. On March 24, 2025, we entered into a Letter Agreement with Allseas Investments and Argentum Cedit Virtuti GCV, pursuant to which the Original Repayment Date under the Working Capital Loan Agreement was extended to September 30, 2025, with principal and interest now repayable on that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Credit Facility with ERAS Capital LLC and Gerard Barron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22, 2024, we entered into an Unsecured Credit Facility with Gerard Barron, our Chief Executive Officer and Chairman, and ERAS Capital LLC, the family fund of our director, Andrei Karkar, pursuant to which, we may borrow from the 2024 Lenders up to $25 million in the aggregate ($12.5 million from each of the 2024 Lenders), from time to time, subject to certain conditions. All amounts drawn under the 2024 Credit Facility will bear interest at the 6-month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 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 (ii) in prepayments under an off-take agreement or similar commercial agreement. On August 13, 2024, we entered into the First Amendment to the 2024 Credit Facility with the 2024 Lenders, to increase the borrowing limit of the 2024 Credit Facility to $25 million in the aggregate ($12.5 million from each of the 2024 Lenders). On November 14, 2024, we entered into the Second Amendment to increase the borrowing limit to $38 million in the aggregate ($19 million from each of the 2024 Lenders) to the 2024 Credit Facility with ERAS Capital LLC and Gerard Barron, and to extend the maturity of the 2024 Credit Facility to December 31, 2025. As per the Second Amendment, the rate of underutilization fee was retroactively increased from March 22, 2024 to 6.5% on any undrawn amounts under the 2024 Credit Facility. On March 26, 2025, we entered into the Third Amendment to, among other things,increase the borrowing limit to $44 million in the aggregate ($22 million from each of the 2024 Lenders) and extend the maturity of the 2024 Credit Facility to June 30, 2026.</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we have drawn $4.3 million from the 2024 Credit Facility and incurred $0.2 million as interest expense. During 2024, we incurred $1.1 million, as underutilization fees, which would be payable only in the event the 2024 Credit Facility is not drawn down at the time such fees are payable. During 2024, we repaid interest amounting to $25 thousand, and underutilization fees amounting to $0.1 million to the 2024 Lenders. On January 31, 2025, we repaid the drawn amount and outstanding interest on the 2024 Credit Facility amounting to $1.8 million and $0.1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Annual Report. We have the critical accounting policies and estimates which are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of Common Share-Based Payments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76" w:lineRule="exact"/>
        <w:rPr>
          <w:sz w:val="20"/>
          <w:szCs w:val="20"/>
          <w:color w:val="auto"/>
        </w:rPr>
      </w:pPr>
    </w:p>
    <w:p>
      <w:pPr>
        <w:ind w:left="68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Shares on the Date of the Grant — We used the price of the most recent offerings of our Common Shares to assess the value of our shares on the date of the grant of incentive stock options.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Term — We used the term of the award when calculating the expected term due to insufficient historical exercise data.</w:t>
      </w:r>
    </w:p>
    <w:p>
      <w:pPr>
        <w:spacing w:after="0" w:line="236" w:lineRule="exact"/>
        <w:rPr>
          <w:rFonts w:ascii="Times New Roman" w:cs="Times New Roman" w:eastAsia="Times New Roman" w:hAnsi="Times New Roman"/>
          <w:sz w:val="17"/>
          <w:szCs w:val="17"/>
          <w:color w:val="auto"/>
        </w:rPr>
      </w:pPr>
    </w:p>
    <w:p>
      <w:pPr>
        <w:ind w:left="680" w:right="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As our Common Shares were not actively traded, the volatility is based on a benchmark of comparable companies within the mining industry.</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dividend rate used is zero as we have never paid any cash dividends on our Common Shares and do not anticipate doing so in the foreseeable future.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our Common Shares. Changes in these assumptions used to determine the fair value of incentive stock options, including the vesting timeline of granted stock options, could have a material impact on our loss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Warrants Liability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re-measure the fair value of the Private Warrants at the end of each reporting period. The fair value of the Private Warrants is estimated using a Black-Scholes option pricing model whereby the expected volatility is estimated by using a blended volatility calculated by assigning equal weights to both implied volatility of our Public Warrants and the historical volatility of our common share price. The expected volatility was estimated using a binomial model based on consideration of the implied volatility from our Public Warrants, adjusted to account for the call feature of the Public Warrants at prices above $18.00 during 20 trading days within any 30-trading-day period and historical volatility of the share price of our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assess quarterly whether we have the ability to meet its committed cash requirements for the next twelve months and continue to operate as a going concern. This assessment requires the use of forecasts of our business activities and related estimates of future cost obligations which can be subject to change. Changes in these assumptions could have a material impact on our assessment and related disclosures.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5 to the audited consolidated financial statements included in this Annual Report for more information about recent accounting pronouncements, the timing of their adoption, and our assessment, to the extent we have made one, of their potential impact on our financial condition and our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2025 fiscal year and we expect to continue to take advantage of the benefits of the extended transition period at least through the end of the 2025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December 31, 2024.</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the Great British Pound and the Euro. We primarily hold our cash in U.S. dollars and settle our foreign currency payables soon after the receipt of invoices thereby minimizing the foreign currency exposure.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91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777"/>
        </w:trPr>
        <w:tc>
          <w:tcPr>
            <w:tcW w:w="91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9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820" w:type="dxa"/>
            <w:vAlign w:val="bottom"/>
          </w:tcPr>
          <w:p>
            <w:pPr>
              <w:spacing w:after="0"/>
              <w:rPr>
                <w:sz w:val="24"/>
                <w:szCs w:val="24"/>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Page</w:t>
            </w:r>
          </w:p>
        </w:tc>
      </w:tr>
      <w:tr>
        <w:trPr>
          <w:trHeight w:val="234"/>
        </w:trPr>
        <w:tc>
          <w:tcPr>
            <w:tcW w:w="2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Index to Financial Statements and Financial Statement Schedules</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Number</w:t>
            </w:r>
          </w:p>
        </w:tc>
      </w:tr>
      <w:tr>
        <w:trPr>
          <w:trHeight w:val="426"/>
        </w:trPr>
        <w:tc>
          <w:tcPr>
            <w:tcW w:w="20" w:type="dxa"/>
            <w:vAlign w:val="bottom"/>
          </w:tcPr>
          <w:p>
            <w:pPr>
              <w:spacing w:after="0"/>
              <w:rPr>
                <w:sz w:val="24"/>
                <w:szCs w:val="24"/>
                <w:color w:val="auto"/>
              </w:rPr>
            </w:pPr>
          </w:p>
        </w:tc>
        <w:tc>
          <w:tcPr>
            <w:tcW w:w="9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90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1263)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at December 31, 2024 and 2023</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for the Years Ended December 31, 2024 and 2023</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2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2024 and 2023</w:t>
            </w:r>
          </w:p>
        </w:tc>
        <w:tc>
          <w:tcPr>
            <w:tcW w:w="860" w:type="dxa"/>
            <w:vAlign w:val="bottom"/>
            <w:tcBorders>
              <w:top w:val="single" w:sz="8" w:color="0000EE"/>
            </w:tcBorders>
          </w:tcPr>
          <w:p>
            <w:pPr>
              <w:spacing w:after="0"/>
              <w:rPr>
                <w:sz w:val="17"/>
                <w:szCs w:val="17"/>
                <w:color w:val="auto"/>
              </w:rPr>
            </w:pPr>
          </w:p>
        </w:tc>
        <w:tc>
          <w:tcPr>
            <w:tcW w:w="122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196"/>
        </w:trPr>
        <w:tc>
          <w:tcPr>
            <w:tcW w:w="20" w:type="dxa"/>
            <w:vAlign w:val="bottom"/>
          </w:tcPr>
          <w:p>
            <w:pPr>
              <w:spacing w:after="0"/>
              <w:rPr>
                <w:sz w:val="17"/>
                <w:szCs w:val="17"/>
                <w:color w:val="auto"/>
              </w:rPr>
            </w:pPr>
          </w:p>
        </w:tc>
        <w:tc>
          <w:tcPr>
            <w:tcW w:w="65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58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TMC the metals company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TMC the metals company Inc. (the “Company”) as of December 31, 2024 and 2023, the related consolidated statements of loss and comprehensive loss, changes in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8"/>
        </w:trPr>
        <w:tc>
          <w:tcPr>
            <w:tcW w:w="5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0" w:type="dxa"/>
            <w:vAlign w:val="bottom"/>
            <w:gridSpan w:val="3"/>
            <w:vMerge w:val="restart"/>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70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4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2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Exploration contracts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Right of use asset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Software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Investment</w:t>
            </w: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Short-term debt</w:t>
            </w: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8, 20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Royalty liability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Warrants liability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80,116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340,708,460</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(December 31, 2023 – 306,558,710))</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(631,435)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0" w:type="dxa"/>
            <w:vAlign w:val="bottom"/>
          </w:tcPr>
          <w:p>
            <w:pPr>
              <w:spacing w:after="0"/>
              <w:rPr>
                <w:sz w:val="1"/>
                <w:szCs w:val="1"/>
                <w:color w:val="auto"/>
              </w:rPr>
            </w:pPr>
          </w:p>
        </w:tc>
      </w:tr>
      <w:tr>
        <w:trPr>
          <w:trHeight w:val="425"/>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i w:val="1"/>
          <w:iCs w:val="1"/>
          <w:color w:val="auto"/>
        </w:rPr>
        <w:t>(Note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50,643</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termination of contract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Fees and interest on borrowings and credit facilities</w:t>
            </w: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8, 20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 before tax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81,895</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Expense</w:t>
            </w: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81,943</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 and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321,875,050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288,643,700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980" w:type="dxa"/>
            <w:vAlign w:val="bottom"/>
            <w:tcBorders>
              <w:top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60" w:type="dxa"/>
            <w:vAlign w:val="bottom"/>
          </w:tcPr>
          <w:p>
            <w:pPr>
              <w:spacing w:after="0"/>
              <w:rPr>
                <w:sz w:val="12"/>
                <w:szCs w:val="12"/>
                <w:color w:val="auto"/>
              </w:rPr>
            </w:pPr>
          </w:p>
        </w:tc>
        <w:tc>
          <w:tcPr>
            <w:tcW w:w="150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2"/>
                <w:szCs w:val="12"/>
                <w:color w:val="auto"/>
              </w:rPr>
            </w:pPr>
          </w:p>
        </w:tc>
        <w:tc>
          <w:tcPr>
            <w:tcW w:w="86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306,558,710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438,239</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122,797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(548,902)</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10,918</w:t>
            </w: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Shares and warrants issued under Registered Direct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19,400,000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17,190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23,213</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Offering, net of expenses (Note 13)</w:t>
            </w: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 to Class A Warrant (Note 15)</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10,734,581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14,954</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(14,954)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withheld for taxes (Note 17)</w:t>
            </w: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as per At-the-Market Equity</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3,251,588</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w:t>
            </w:r>
          </w:p>
        </w:tc>
        <w:tc>
          <w:tcPr>
            <w:tcW w:w="0" w:type="dxa"/>
            <w:vAlign w:val="bottom"/>
          </w:tcPr>
          <w:p>
            <w:pPr>
              <w:spacing w:after="0"/>
              <w:rPr>
                <w:sz w:val="1"/>
                <w:szCs w:val="1"/>
                <w:color w:val="auto"/>
              </w:rPr>
            </w:pPr>
          </w:p>
        </w:tc>
      </w:tr>
      <w:tr>
        <w:trPr>
          <w:trHeight w:val="17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 Agreement (Note 14)</w:t>
            </w: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17)</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715,772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26"/>
        </w:trPr>
        <w:tc>
          <w:tcPr>
            <w:tcW w:w="3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 purchase under Employee Share Purchase</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Plan (Note 17)</w:t>
            </w: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25,313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25,313</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 equity (Note 17)</w:t>
            </w: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(81,943)</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(81,943)</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340,708,460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477,217</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138,303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(1,203)</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(631,435)</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(17,118)</w:t>
            </w:r>
          </w:p>
        </w:tc>
        <w:tc>
          <w:tcPr>
            <w:tcW w:w="0" w:type="dxa"/>
            <w:vAlign w:val="bottom"/>
          </w:tcPr>
          <w:p>
            <w:pPr>
              <w:spacing w:after="0"/>
              <w:rPr>
                <w:sz w:val="1"/>
                <w:szCs w:val="1"/>
                <w:color w:val="auto"/>
              </w:rPr>
            </w:pPr>
          </w:p>
        </w:tc>
      </w:tr>
      <w:tr>
        <w:trPr>
          <w:trHeight w:val="371"/>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98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60" w:type="dxa"/>
            <w:vAlign w:val="bottom"/>
          </w:tcPr>
          <w:p>
            <w:pPr>
              <w:spacing w:after="0"/>
              <w:rPr>
                <w:sz w:val="12"/>
                <w:szCs w:val="12"/>
                <w:color w:val="auto"/>
              </w:rPr>
            </w:pPr>
          </w:p>
        </w:tc>
        <w:tc>
          <w:tcPr>
            <w:tcW w:w="150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2"/>
                <w:szCs w:val="12"/>
                <w:color w:val="auto"/>
              </w:rPr>
            </w:pPr>
          </w:p>
        </w:tc>
        <w:tc>
          <w:tcPr>
            <w:tcW w:w="86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2023</w:t>
            </w: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266,812,131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332,882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184,960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(475,121)</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41,505</w:t>
            </w: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Shares issued to Allseas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15,910</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 by Allseas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11,578,620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70,016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(69,900)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Shares and warrants issued under Registered Direct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7,961,540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11,420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14,599</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Offering, net of expenses</w:t>
            </w: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4,912,747</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(7,690)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withheld for taxes</w:t>
            </w: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Share purchase under Employee Share Purchase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173,672</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Plan</w:t>
            </w: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 equity</w:t>
            </w: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(73,781)</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(73,781)</w:t>
            </w: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306,558,710</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438,239</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122,797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(548,902)</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0" w:type="dxa"/>
            <w:vAlign w:val="bottom"/>
          </w:tcPr>
          <w:p>
            <w:pPr>
              <w:spacing w:after="0"/>
              <w:rPr>
                <w:sz w:val="12"/>
                <w:szCs w:val="12"/>
                <w:color w:val="auto"/>
              </w:rPr>
            </w:pPr>
          </w:p>
        </w:tc>
        <w:tc>
          <w:tcPr>
            <w:tcW w:w="15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(81,943)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on credit facilities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8, 20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and expenses settled with equity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termination of contract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 on Short-Term Debt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 and software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registered direct offering</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Expenses paid for registered direct offering</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Shares issued from ATM</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drawdown of Credit Facilities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Drawdown of Allseas Short-Term Debt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Allseas Short-Term Debt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drawdown of Allseas Working Capital Loan Agreement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Low Carbon Royalties Investment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warrants by Allseas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40,686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(3,297)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year</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year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3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has been operating as a corporation under the laws of the province of British Columbia, Canada since September 9, 2021. The Company’s corporate office, registered address and records office is located at 1111 West Hastings Street,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Vancouver, British Columbia, Canada, V6E 2J3. The Company’s common shares and warrants to purchase common shares are listed for trading on the Nasdaq Global Select Market (“Nasdaq”) under tickers “TMC” and “TMCWW”, respectively.</w:t>
      </w:r>
    </w:p>
    <w:p>
      <w:pPr>
        <w:spacing w:after="0" w:line="201"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four metals (nickel, copper, cobalt, manganese) which can be used as (i) feedstock for battery cathode precursors (nickel and cobalt sulfates, or intermediary nickel-copper-cobalt matte, or nickel-copper-cobalt alloy) for electric vehicles (“EV”) and energy storage markets, (ii) copper cathode for EV wiring, energy transmission and other applications and (iii) manganese silicate for manganese alloy production required for steel production.</w:t>
      </w:r>
    </w:p>
    <w:p>
      <w:pPr>
        <w:spacing w:after="0" w:line="187" w:lineRule="exact"/>
        <w:rPr>
          <w:rFonts w:ascii="Times New Roman" w:cs="Times New Roman" w:eastAsia="Times New Roman" w:hAnsi="Times New Roman"/>
          <w:sz w:val="18"/>
          <w:szCs w:val="18"/>
          <w:b w:val="1"/>
          <w:bCs w:val="1"/>
          <w:color w:val="auto"/>
        </w:rPr>
      </w:pPr>
    </w:p>
    <w:p>
      <w:pPr>
        <w:jc w:val="both"/>
        <w:ind w:left="3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 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square kilometers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square kilometers in the CCZ (“TOML Area”). In 2013, the Company through its subsidiary DeepGreen Engineering Pte. Ltd. (“DGE”) entered into an option agreement (the “Marawa Option Agreement”) with Marawa Research and Exploration Limited (“Marawa”) which granted DGE exclusive rights to manage and carry out all exploration and exploitation in the Marawa Area in return for a royalty payable to Marawa. On November 14, 2024, DGE issued a formal termination notice to Marawa pursuant to DGE’s right to terminate for convenience under the Agreement. The termination became effective on January 14, 2025.</w:t>
      </w:r>
    </w:p>
    <w:p>
      <w:pPr>
        <w:spacing w:after="0" w:line="197"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at commercial scale,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84" w:lineRule="exact"/>
        <w:rPr>
          <w:rFonts w:ascii="Times New Roman" w:cs="Times New Roman" w:eastAsia="Times New Roman" w:hAnsi="Times New Roman"/>
          <w:sz w:val="18"/>
          <w:szCs w:val="18"/>
          <w:b w:val="1"/>
          <w:bCs w:val="1"/>
          <w:color w:val="auto"/>
        </w:rPr>
      </w:pPr>
    </w:p>
    <w:p>
      <w:pPr>
        <w:ind w:left="340" w:right="7640" w:hanging="332"/>
        <w:spacing w:after="0" w:line="532" w:lineRule="auto"/>
        <w:tabs>
          <w:tab w:leader="none" w:pos="34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Statement of Compliance</w:t>
      </w:r>
    </w:p>
    <w:p>
      <w:pPr>
        <w:spacing w:after="0" w:line="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consolidated financial statements have been prepared in accordance with Generally Accepted Accounting Principles in the United States (“U.S. GAAP”) and include the accounts of TMC and its wholly-owned subsidiaries.</w:t>
      </w:r>
    </w:p>
    <w:p>
      <w:pPr>
        <w:spacing w:after="0" w:line="16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comparative figures reported in the Consolidated Balance Sheet for software development costs and equipment have been reclassified to conform to the current year’s presentation.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under the historical cost convention, except for warrants liability and royalty liability that have been measured at fair value and are presented in United States (“US”) dollars.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the financial statements of the Company and its subsidiaries. The principal subsidiaries of the Company, their activities, and their geographic locations as at December 31, 2024, were as follows: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8"/>
        </w:trPr>
        <w:tc>
          <w:tcPr>
            <w:tcW w:w="4520" w:type="dxa"/>
            <w:vAlign w:val="bottom"/>
            <w:gridSpan w:val="3"/>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21"/>
                <w:szCs w:val="21"/>
                <w:b w:val="1"/>
                <w:bCs w:val="1"/>
                <w:color w:val="auto"/>
                <w:vertAlign w:val="superscript"/>
              </w:rPr>
              <w:t>(1)</w:t>
            </w: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Principal Activity</w:t>
            </w:r>
          </w:p>
        </w:tc>
        <w:tc>
          <w:tcPr>
            <w:tcW w:w="1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Held</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by the Company</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Engineering Pte. Ltd.</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Mineral exploration</w:t>
            </w:r>
          </w:p>
        </w:tc>
        <w:tc>
          <w:tcPr>
            <w:tcW w:w="1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DeepGreen Metals ULC</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Mineral exploration</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Canada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Metals Company USA, LLC</w:t>
            </w: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USA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DeepGreen TOML Holding 1 Ltd.</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British Virgin Islands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DeepGreen TOML Holding 2 Ltd.</w:t>
            </w: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British Virgin Islands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DeepGreen TOML Singapore Ltd.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Mineral exploration</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Singapore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Koloa Moana Resources Ltd.</w:t>
            </w: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Canada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Nauru Ocean Resources Inc.</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Mineral exploration</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Minerals Pty. Ltd.</w:t>
            </w:r>
          </w:p>
        </w:tc>
        <w:tc>
          <w:tcPr>
            <w:tcW w:w="16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Mineral exploration</w:t>
            </w:r>
          </w:p>
        </w:tc>
        <w:tc>
          <w:tcPr>
            <w:tcW w:w="1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Australia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Metals Company Australia Pty Ltd</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Australia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TMC The Metals Company UK Limited</w:t>
            </w:r>
          </w:p>
        </w:tc>
        <w:tc>
          <w:tcPr>
            <w:tcW w:w="16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Holding Company</w:t>
            </w:r>
          </w:p>
        </w:tc>
        <w:tc>
          <w:tcPr>
            <w:tcW w:w="1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United Kingdom</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Tonga Offshore Mining Limited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Mineral exploration</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Kingdom of Tonga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452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Seafloor Mineral Ventures </w:t>
            </w:r>
            <w:r>
              <w:rPr>
                <w:rFonts w:ascii="Times New Roman" w:cs="Times New Roman" w:eastAsia="Times New Roman" w:hAnsi="Times New Roman"/>
                <w:sz w:val="26"/>
                <w:szCs w:val="26"/>
                <w:color w:val="auto"/>
                <w:vertAlign w:val="superscript"/>
              </w:rPr>
              <w:t>(2)</w:t>
            </w:r>
          </w:p>
        </w:tc>
        <w:tc>
          <w:tcPr>
            <w:tcW w:w="16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Mineral exploration</w:t>
            </w:r>
          </w:p>
        </w:tc>
        <w:tc>
          <w:tcPr>
            <w:tcW w:w="1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Indonesia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08"/>
        </w:trPr>
        <w:tc>
          <w:tcPr>
            <w:tcW w:w="246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220" w:hanging="321"/>
        <w:spacing w:after="0" w:line="208" w:lineRule="auto"/>
        <w:tabs>
          <w:tab w:leader="none" w:pos="680"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Company’s wholly owned subsidiaries Nauru Education and Training Foundation Inc. and Nauru Health and Foundation Inc. were voluntarily dissolved on June 30, 2024.</w:t>
      </w:r>
    </w:p>
    <w:p>
      <w:pPr>
        <w:spacing w:after="0" w:line="1" w:lineRule="exact"/>
        <w:rPr>
          <w:rFonts w:ascii="Times New Roman" w:cs="Times New Roman" w:eastAsia="Times New Roman" w:hAnsi="Times New Roman"/>
          <w:sz w:val="27"/>
          <w:szCs w:val="27"/>
          <w:color w:val="auto"/>
          <w:vertAlign w:val="superscript"/>
        </w:rPr>
      </w:pPr>
    </w:p>
    <w:p>
      <w:pPr>
        <w:ind w:left="680" w:hanging="321"/>
        <w:spacing w:after="0" w:line="180" w:lineRule="auto"/>
        <w:tabs>
          <w:tab w:leader="none" w:pos="680" w:val="left"/>
        </w:tabs>
        <w:numPr>
          <w:ilvl w:val="0"/>
          <w:numId w:val="5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PT Seafloor Mineral Ventures was incorporated on May 17, 2024.</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intra-group balances have been eliminated on consolidation.</w:t>
      </w:r>
    </w:p>
    <w:p>
      <w:pPr>
        <w:spacing w:after="0" w:line="221" w:lineRule="exact"/>
        <w:rPr>
          <w:sz w:val="20"/>
          <w:szCs w:val="20"/>
          <w:color w:val="auto"/>
        </w:rPr>
      </w:pPr>
    </w:p>
    <w:p>
      <w:pPr>
        <w:ind w:left="340" w:right="7200" w:hanging="332"/>
        <w:spacing w:after="0" w:line="503" w:lineRule="auto"/>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i. Foreign Currencies</w:t>
      </w: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functional currency is the currency of the primary economic environment in which the entity operates. The functional currency of the Company and all its subsidiaries is the U.S. Dollar.</w:t>
      </w:r>
    </w:p>
    <w:p>
      <w:pPr>
        <w:spacing w:after="0" w:line="16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Non-monetary items that are measured at historical cost in a foreign currency are not retranslated. All gains and losses on translation of these foreign currency transactions are included in the statements of loss and comprehensive loss.</w:t>
      </w:r>
    </w:p>
    <w:p>
      <w:pPr>
        <w:spacing w:after="0" w:line="17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reflected in these consolidated financial statements include, but are not limited to, the evaluation of going concern, the valuation of share-based payments, including valuation of incentive stock options (Note 17), as well as the valuation of warrants liability (Note 15), and the valuation of the royalty liability (Note 9). Actual results could differ materially from those estimates.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Loss Per Share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receivables, short-term debt, accounts payable and accrued liabilities which are recorded at cost as well as royalty liability and warrants to acquire common shares of the Company which are measured at fair value.</w:t>
      </w:r>
    </w:p>
    <w:p>
      <w:pPr>
        <w:spacing w:after="0" w:line="17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340"/>
        <w:spacing w:after="0" w:line="289" w:lineRule="auto"/>
        <w:rPr>
          <w:sz w:val="20"/>
          <w:szCs w:val="20"/>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2" w:lineRule="exact"/>
        <w:rPr>
          <w:sz w:val="20"/>
          <w:szCs w:val="20"/>
          <w:color w:val="auto"/>
        </w:rPr>
      </w:pPr>
    </w:p>
    <w:p>
      <w:pPr>
        <w:ind w:left="680" w:right="20" w:hanging="321"/>
        <w:spacing w:after="0" w:line="286"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154"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or liabilities.</w:t>
      </w:r>
    </w:p>
    <w:p>
      <w:pPr>
        <w:spacing w:after="0" w:line="15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years ended December 31,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December 31, 2024, and 2023, the carrying values of cash, receivables, short-term debt, accounts payable and accrued liabilities approximate their fair values due to the short-term nature of these instruments. The financial instruments also include royalty liability and warrants which are recorded at fair value as disclosed in Note 9.</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  Cash and Cash Equivalents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Cash includes cash on hand and term deposits with a remaining term to maturity at acquisition of three months or less. As at December 31, 2024 and 2023, the Company had no cash equivalents.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 Equipment and Software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major categories of equipment are amortized on a declining balance basis as follows: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other equipment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equipment are determined by comparing the proceeds with the carrying amount of the asset and are included in the statement of loss and comprehensive loss.</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Software is currently under development and is stated at cost. The software will be used to monitor nodule collection on the sea floor. The Company will amortize the cost of the software over its useful life after it is put in use, on commencement of nodule collection and treatment at a commercial scale.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viii. Exploration Contracts</w:t>
      </w:r>
    </w:p>
    <w:p>
      <w:pPr>
        <w:spacing w:after="0" w:line="229" w:lineRule="exact"/>
        <w:rPr>
          <w:sz w:val="20"/>
          <w:szCs w:val="20"/>
          <w:color w:val="auto"/>
        </w:rPr>
      </w:pPr>
    </w:p>
    <w:p>
      <w:pPr>
        <w:jc w:val="both"/>
        <w:ind w:left="340" w:firstLine="1"/>
        <w:spacing w:after="0" w:line="258" w:lineRule="auto"/>
        <w:rPr>
          <w:sz w:val="20"/>
          <w:szCs w:val="20"/>
          <w:color w:val="auto"/>
        </w:rPr>
      </w:pPr>
      <w:r>
        <w:rPr>
          <w:rFonts w:ascii="Times New Roman" w:cs="Times New Roman" w:eastAsia="Times New Roman" w:hAnsi="Times New Roman"/>
          <w:sz w:val="18"/>
          <w:szCs w:val="18"/>
          <w:color w:val="auto"/>
        </w:rPr>
        <w:t>The Company is in the exploration stage with respect to its investment in exploration contracts and follows the practice of capitalizing costs related to the acquisition of such exploration contracts. The cost of exploration contracts will be charged to operations using a unit-of-production method based on proven and probable reserves once commercial production commences in the future. The Company evaluates impairment indicators on its exploration contracts at each reporting period and adjusts its carrying value if an impairment is identified.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ix.  Exploration and Evaluation Expenses</w:t>
      </w:r>
    </w:p>
    <w:p>
      <w:pPr>
        <w:spacing w:after="0" w:line="175" w:lineRule="exact"/>
        <w:rPr>
          <w:sz w:val="20"/>
          <w:szCs w:val="20"/>
          <w:color w:val="auto"/>
        </w:rPr>
      </w:pPr>
    </w:p>
    <w:p>
      <w:pPr>
        <w:jc w:val="both"/>
        <w:ind w:left="340" w:firstLine="1"/>
        <w:spacing w:after="0" w:line="266" w:lineRule="auto"/>
        <w:rPr>
          <w:sz w:val="20"/>
          <w:szCs w:val="20"/>
          <w:color w:val="auto"/>
        </w:rPr>
      </w:pPr>
      <w:r>
        <w:rPr>
          <w:rFonts w:ascii="Times New Roman" w:cs="Times New Roman" w:eastAsia="Times New Roman" w:hAnsi="Times New Roman"/>
          <w:sz w:val="18"/>
          <w:szCs w:val="18"/>
          <w:color w:val="auto"/>
        </w:rPr>
        <w:t>While in the exploration phase, the Company expenses all costs related to exploration and development of exploration contracts. Such exploration and development costs include, but are not limited to, exploration contract management, geological, geochemical and geophysical studies, environmental studies and process development.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1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For stock options and restricted share units issued with performance conditions (Note 17),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14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For stock options and restricted share units issued with market conditions (Note 17),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43"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  Warrants Liability</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evaluates all of its financial instruments, including issued share purchase warrants, to determine if such instruments are derivatives or contain features that qualify as embedded derivatives, pursuant to U.S. GAAP Accounting Standard Coding (“ASC”) 480, Distinguishing Liability from Equity (“ASC 480”), and ASC 815, Derivatives and Hedging (“ASC 815”). The classification of derivative instruments, including whether such instruments should be recorded as liabilities or as equity, is re-assessed at the end of each reporting period.</w:t>
      </w:r>
    </w:p>
    <w:p>
      <w:pPr>
        <w:spacing w:after="0" w:line="143"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the 15,000,000 common share warrants issued by the Company as part of the units offered in its initial public offering (“Public Warrants”) were determined to meet the criteria for equity classification, while the 9,500,000 private placement common share warrants issued by the Company in a private placement simultaneously with the closing of the initial public offering (“Private Warrants”) did not meet the criteria for equity classification and were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Fair value changes in the Private Warrants are recognized in the Company’s statement of loss and comprehensive loss.</w:t>
      </w:r>
    </w:p>
    <w:p>
      <w:pPr>
        <w:spacing w:after="0" w:line="19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Company issued Class A Warrants and Class B Warrants in 2024. The Class A Warrants and Class B Warrants met the criteria for equity classification and were recorded under additional paid in capital (Note 15).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represents the sum of current tax expense and deferred tax expense.</w:t>
      </w:r>
    </w:p>
    <w:p>
      <w:pPr>
        <w:spacing w:after="0" w:line="22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 The Company’s policy is to account for income tax related interest and penalties in income tax expense in the accompanying statements of loss and comprehensive loss.</w:t>
      </w:r>
    </w:p>
    <w:p>
      <w:pPr>
        <w:spacing w:after="0" w:line="18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 carryforwards are recognized to the extent that realization of such benefits is considered more likely than not. The effect on deferred tax assets and liabilities of a change in tax rates is recognized in the consolidated income statement in the period that enactment occurs. When realization of deferred income tax assets does not meet the more likely than not criterion for recognition, a valuation allowance is provided.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xiii. Leases</w:t>
      </w:r>
    </w:p>
    <w:p>
      <w:pPr>
        <w:spacing w:after="0" w:line="22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determines if an arrangement contains a lease at inception. Specifically, a contract is or contains a lease when (1) the contract contains an explicitly or implicitly identified asset and (2) we obtain substantially all of the economic benefits from the use of that underlying asset and direct how and for what purpose the asset is used during the term of the contract in exchange for consideration. If an arrangement contains a lease, the Company performs a lease classification test to determine if the lease is an operating lease or a finance lease. Right-of-use (“ROU”) assets represent the right to use an underlying asset for the lease term and lease liabilities represent the Company’s obligation to make lease payments arising from the lease.</w:t>
      </w:r>
    </w:p>
    <w:p>
      <w:pPr>
        <w:spacing w:after="0" w:line="18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Lease liabilities are recognized on the commencement date of the lease based on the present value of the future lease payments over the lease term. The discount rate used to calculate the present value of lease payments is the rate implicit in the lease. Lease liabilities due within the subsequent 12 months of the reporting date are classified as current lease liabilities and are included in accounts payable and accrued liabilities on the Company’s condensed consolidated balance sheet. Lease liabilities payable after the subsequent 12 months of the reporting date are classified as non-current lease liabilities and are presented as non-current lease liability in the condensed consolidated balance sheet.</w:t>
      </w:r>
    </w:p>
    <w:p>
      <w:pPr>
        <w:spacing w:after="0" w:line="1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ROU assets are valued at the initial measurement of the lease liability, plus any indirect costs or rent prepayments, and reduced by any lease incentives and any deferred lease payments. ROU assets are recorded as Right-of-use assets, net of any amortization on the condensed consolidated balance sheet. Operating ROU assets are amortized on a straight-line basis over the lease term, whereas Finance ROU assets are amortized on a front-loaded basis. Depending on the nature of the ROU asset, the amortization expense is either included in exploration and evaluation expenses or in general and administrative expenses.</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subsequently measures the ROU assets for an operating lease at the amount of the remeasured lease liability (i.e. the present value of the remaining lease payments), adjusted for the remaining balance of any lease incentives received, any cumulative prepaid or accrued rent if the lease payments are uneven throughout the lease term and any unamortized initial direct costs. The ROU assets for a finance lease are subsequently measured by amortizing them on a straight-line basis over the shorter of the lease term or useful life and also adjustment for any impairments.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xiv. Investments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 xml:space="preserve">The Company consolidates investments over which it has control in accordance with ASC 810, Consolidation (“ASC 810”). Where the Company does not have control over the investment, but has significant influence, the Company records the investment in accordance with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whereby, after recording the initial investment, the Company recognizes its proportional share of results of operations of the affiliate in its consolidated financial statements. The value of the equity method investments is impaired if it is determined that there is an other-than-temporary decline in value.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xv. Short term debt</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records borrowings under its short-term debt and line of credit at the amount drawn, net of any directly attributable financing costs. Interest expense is recognized as incurred based on the interest rate specified in the debt and line of credit agreements (Notes 8 and 20). Short-term debt and outstanding balances under the line of credit, are stated under Short-term debt and classified as a current liability. The accrued interest payable amount on the short-term debt and line of credit is disclosed under Accounts payable and accrued liabilities and classified as current liability.</w:t>
      </w:r>
    </w:p>
    <w:p>
      <w:pPr>
        <w:spacing w:after="0" w:line="179"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Estimates and Judgements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183" w:lineRule="exact"/>
        <w:rPr>
          <w:rFonts w:ascii="Times New Roman" w:cs="Times New Roman" w:eastAsia="Times New Roman" w:hAnsi="Times New Roman"/>
          <w:sz w:val="18"/>
          <w:szCs w:val="18"/>
          <w:b w:val="1"/>
          <w:bCs w:val="1"/>
          <w:color w:val="auto"/>
        </w:rPr>
      </w:pPr>
    </w:p>
    <w:p>
      <w:pPr>
        <w:ind w:left="340" w:right="340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Significant management judgments and estimates were applied to the following areas: </w:t>
      </w:r>
      <w:r>
        <w:rPr>
          <w:rFonts w:ascii="Times New Roman" w:cs="Times New Roman" w:eastAsia="Times New Roman" w:hAnsi="Times New Roman"/>
          <w:sz w:val="18"/>
          <w:szCs w:val="18"/>
          <w:b w:val="1"/>
          <w:bCs w:val="1"/>
          <w:color w:val="auto"/>
        </w:rPr>
        <w:t>i. Evaluation of Going Concern</w:t>
      </w:r>
    </w:p>
    <w:p>
      <w:pPr>
        <w:spacing w:after="0" w:line="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evaluates its ability to operate as a going concern at each reporting period. This evaluation requires the Company to estimate its cash flow commitments over a forecast period of twelve months and whether it has the financial ability to pay for such commitments. Changes in these estimates and assumptions may have a material impact on this assessment.</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Valuation of Share-Based Payments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fair market value of share-based awards granted to employees, non-employees and directors is based on the closing market price of the Company’s shares, on the date these were granted (Note 17).</w:t>
      </w:r>
    </w:p>
    <w:p>
      <w:pPr>
        <w:spacing w:after="0" w:line="16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This valuation approach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Valuation of Warrants</w:t>
      </w:r>
    </w:p>
    <w:p>
      <w:pPr>
        <w:spacing w:after="0" w:line="229" w:lineRule="exact"/>
        <w:rPr>
          <w:sz w:val="20"/>
          <w:szCs w:val="20"/>
          <w:color w:val="auto"/>
        </w:rPr>
      </w:pPr>
    </w:p>
    <w:p>
      <w:pPr>
        <w:ind w:left="340" w:right="120"/>
        <w:spacing w:after="0" w:line="258"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(Note 15). The fair value of the Private Warrants was estimated using a Black-Scholes option pricing model whereby the expected volatility was estimated using a binomial model that assigned equal weight to the implied volatility of the Company’s Public Warrants, adjusted for the call feature triggered at prices above $18.00 over 20 trading days within any 30-day period, and the historical volatility of the common share price.</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During the year the Company issued Class A warrants and Class B warrants (Note 15). The warrants were valued using a Monte Carlo simulation by running 250,000 trials. The model assumed that the Company’s share price follows geometric Brownian motion which is a standard assumption used in Monte Carlo univariate pricing models. The valuation was calculated under a risk-neutral framework using a zero-coupon risk-free interest rate derived from the Treasury Constant Maturities yield curve for a term until the expiry of the Warrants. The Company’s share price was simulated up to the expiration date using a blended volatility, calculated by assigning equal weights to both implied volatility of the Company’s Public Warrants and the historical volatility of the Company’s share price.</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Valuation of Royalty Liability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re-measures the fair value of its royalty liability at each reporting date (Note 9). As NORI is in an advanced exploration stage and pre-production, the fair value of the royalty liability is measured by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of its royalty liability at the reporting date.</w:t>
      </w:r>
    </w:p>
    <w:p>
      <w:pPr>
        <w:spacing w:after="0" w:line="179"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Accounting Standard Update (“ASU”) 2023-07 was issued which improves disclosures about a public entity’s reportable segments and addresses requests from investors and other allocators of capital for additional, more detailed information about a reportable segment’s expenses and assets. The ASU applies to all public entities that are required to report segment information in accordance with ASC 280. The adoption of this update did not have a material impact on the Company’s consolidated financial statements or disclosures.</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 and Prepayments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amounts of outstanding receivables and prepayments at December 31, 2024 and 2023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9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 receivables</w:t>
            </w:r>
          </w:p>
        </w:tc>
        <w:tc>
          <w:tcPr>
            <w:tcW w:w="3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240" w:type="dxa"/>
            <w:vAlign w:val="bottom"/>
            <w:vMerge w:val="continue"/>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Prepayments</w:t>
            </w:r>
          </w:p>
        </w:tc>
        <w:tc>
          <w:tcPr>
            <w:tcW w:w="3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1,602</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2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1,851</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1639"/>
              <w:spacing w:after="0"/>
              <w:rPr>
                <w:sz w:val="20"/>
                <w:szCs w:val="20"/>
                <w:color w:val="auto"/>
              </w:rPr>
            </w:pPr>
            <w:r>
              <w:rPr>
                <w:rFonts w:ascii="Times New Roman" w:cs="Times New Roman" w:eastAsia="Times New Roman" w:hAnsi="Times New Roman"/>
                <w:sz w:val="18"/>
                <w:szCs w:val="18"/>
                <w:color w:val="auto"/>
              </w:rPr>
              <w:t>131</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and Software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movements in the Company’s capital equipment are as follows: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6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Software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for the year</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 for the year</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 2023</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20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4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80" w:hanging="321"/>
        <w:spacing w:after="0"/>
        <w:tabs>
          <w:tab w:leader="none" w:pos="680" w:val="left"/>
        </w:tabs>
        <w:numPr>
          <w:ilvl w:val="1"/>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software is under development and not in use.</w:t>
      </w:r>
    </w:p>
    <w:p>
      <w:pPr>
        <w:spacing w:after="0" w:line="193" w:lineRule="exact"/>
        <w:rPr>
          <w:rFonts w:ascii="Times New Roman" w:cs="Times New Roman" w:eastAsia="Times New Roman" w:hAnsi="Times New Roman"/>
          <w:sz w:val="27"/>
          <w:szCs w:val="27"/>
          <w:color w:val="auto"/>
          <w:vertAlign w:val="superscript"/>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Strategic Alliance with Allseas and Affiliates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of Project Zero Offshore Nodule Collection System</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a commercial nodule collection system. During the year ended December 31, 2024, Allseas provided the Company with engineering, project management and vessel use services consisting of lay-up and transit costs totaling $11.9 million, as part of the development of the commercial nodule collection system: these costs were recorded as mining, technological and process development within exploration and evaluation expenses (Note 10) (2023: $12.1 million).</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Vessel Use Agreement with Allseas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 2023, the Company entered into an Exclusive Vessel Use Agreement with Allseas pursuant to which Allseas will give exclusive use of the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to the Company in support of the development of the Project Zero Offshore Nodule Collection System until the system is completed or December 31, 2026, whichever is earlier. In consideration of the exclusivity term, the Company, on August 14, 2023, issued 4.15 million common shares to Allseas. Allseas can terminate the agreement if the Company ceases normal operations, assigns assets to creditors, initiates bankruptcy proceedings, or faces unresolved bankruptcy-related actions.</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recorded a lease liability and right-of-use asset of $6.5 million, which represents the fair value of 4.15 million common shares issued to Allseas on August 14, 2023, as consideration, and equal to the present value of the lease payments. As the entire lease liability was settled within 14 days of the commencement of the lease, the discount rate for calculating the present value of lease payments was determined to be insignificant.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has recognized $1.9 million as lease expense recorded as exploration and evaluation expense (December 31, 2023: $0.8 million).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2024, the net amount of the lease liability was $nil and right-of-use asset is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7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 Liability</w:t>
            </w: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at August 1, 2023</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r>
      <w:tr>
        <w:trPr>
          <w:trHeight w:val="216"/>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Payments made on August 14, 2023, by issuing 4.15 million common shares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w:t>
            </w: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2023 and 2024</w:t>
            </w: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72"/>
        </w:trPr>
        <w:tc>
          <w:tcPr>
            <w:tcW w:w="7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Right-of-use Asset</w:t>
            </w: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on August 1, 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r>
      <w:tr>
        <w:trPr>
          <w:trHeight w:val="216"/>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expense during the year</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5,721</w:t>
            </w:r>
          </w:p>
        </w:tc>
      </w:tr>
      <w:tr>
        <w:trPr>
          <w:trHeight w:val="216"/>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expense during the year</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1,907</w:t>
            </w: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2024</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3,814</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2023 Credit Facility and Loan Agreements with Company Related to Allseas</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March 22, 2023, the Company entered into an Unsecured Credit Facility Agreement, which was amended on July 31, 2023 (“2023 Credit Facility”), with Argentum Cedit Virtuti GCV (the “Lender”), the parent of Allseas Investments S.A. (“Allseas Investments”) and an affiliate of Allseas, pursuant to which, the Company may borrow from the Lender up to $25 million in the aggregate, from time to time, subject to certain conditions. All amounts drawn under the 2023 Credit Facility will bear interest based on the 6-month Secured Overnight Financing Rate, 180-day average plus a margin of 4.0% per annum payable in cash semi-annually (or plus a margin of 5% if paid-in-kind at maturity, at the Company’s election) on the first business day of each of June and January. The Company will pay an underutilization fee equal to 4.0% per annum payable semi-annually for any amounts that remain undrawn under the 2023 Credit Facility. The Company has the right to pre-pay the entire amount outstanding under the 2023 Credit Facility at any time before the 2023 Credit Facility’s maturity. The Company has the ability to settle certain charges under the 2023 Credit Facility in cash or in equity at the discretion of the Company. The 2023 Credit Facility also contains customary events of default. On March 22, 2024, the Company entered into the Second Amendment to the Unsecured Credit Facility with the Lender, to extend the 2023 Credit Facility to August 31, 2025 and to provide that the underutilization fee thereunder shall cease to be payable after the date on which the Company or the Lender gives notice of termination of the agreement. Under the amended 2023 Credit Facility, the Company may borrow from the Lender up to $25 million in the aggregate through August 31, 2025. On August 16, 2024, the Company entered into the Third Amendment to the 2023 Credit Facility, to increase the borrowing limit of the 2023 Credit Facility to $27.5 million. On November 14, 2024, as a result of the 2024 Registered Direct Offering (Note 13) the borrowing limit of the 2023 Credit Facility was returned to $25 million.</w:t>
      </w:r>
    </w:p>
    <w:p>
      <w:pPr>
        <w:spacing w:after="0" w:line="19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has not drawn any amount from the 2023 Credit Facility and has incurred $1 million as underutilization fees (December 31, 2023: $0.8 million).</w:t>
      </w:r>
    </w:p>
    <w:p>
      <w:pPr>
        <w:spacing w:after="0" w:line="16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May 27, 2024, the Company entered into a short-term loan agreement with the Lender. In accordance with the agreement, the Lender provided a short-term loan to the Company amounting to $2 million (the “Short-Term Loan”) on May 30, 2024. The Short-Term Loan matured on September 10, 2024 (maturity date) and accrued interest at a rate of 8% per annum. On the maturity date, Company repaid the entire Loan of $2 million and the accrued interest amounting to $46 thousand., which was recorded as interest expense.</w:t>
      </w:r>
    </w:p>
    <w:p>
      <w:pPr>
        <w:spacing w:after="0" w:line="183"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On September 9, 2024, the Company entered into a working capital loan agreement (the “Working Capital Loan Agreement”) with Allseas Investments, a company related to Allseas. In accordance with the Working Capital Loan Agreement, Allseas Investments provided a loan to the Company of $5 million (the “Working Capital Loan”) on September 10, 2024, to be used towards general corporate purposes and for the repayment of all outstanding amounts under the Short-Term Loan between the Company and the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Lender. The Working Capital Loan is payable to Allseas Investments on or before the earlier of (i) the occurrence of certain financing events and (ii) April 1, 2025 (the “Repayment Date”). The Working Capital Loan will bear interest based on the 6-month Secured Overnight Financing Rate, 180-day average plus a margin of 4.0% per annum and is payable in two installments on January 2, 2025, and the Repayment Date (or plus a margin of 5.0% if all interest payments are deferred to the Repayment Date, at the Company’s election). On October 18, 2024, the Company entered into the First Amendment to the Working Capital Loan Agreement with Allseas Investments, resulting in a further draw of $2.5 million by the Company and a total Working Capital Loan drawn amount of $7.5 million. On March 24, 2025, the Company entered into a Letter Agreement with Allseas Investments and Argentum Cedit Virtuti GCV, pursuant to which the Repayment Date under the Working Capital Loan Agreement was extended to September 30, 2025, with principal and interest now repayable on that date. Additionally, under the same Letter Agreement, the Company and Argentum Cedit Virtuti GCV agreed to cancel the unsecured credit facility established under the 2023 Facility Agreement with no outstanding amounts remaining, other than the Company’s obligation to pay Argentum the Underutilization Fee. During the year ended December 31, 2024, the Company incurred $0.2 million as interest expense.</w:t>
      </w:r>
    </w:p>
    <w:p>
      <w:pPr>
        <w:spacing w:after="0" w:line="19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at December 31, 2024, the total amount payable to Allseas and its affiliates was $33.3 million, with $7.5 million of this amount recorded as short-term debt and the remaining balance recorded in accrued liabilities in the Consolidated Balance Sheet (Note 12) (December 31, 2023: $13.8 million, recorded as accrued liabilities). As at December 31, 2024, Allseas and its affiliates owned 53.8 million TMC common shares (2023: 53.8 million TMC common shares) which constituted 15.8% (December 31, 2023: 17.6%) of total common shares outstanding.</w:t>
      </w:r>
    </w:p>
    <w:p>
      <w:pPr>
        <w:spacing w:after="0" w:line="179"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Low Carbon Royalties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21, 2023 (the “Closing Date”), the Company and its wholly-owned subsidiary, NORI, entered into an investment agreement (the “Royalty Agreement”) with Low Carbon Royalties Inc. (“Low Carbon Royalties”). In connection with the Royalty Agreement, NORI contributed a 2% gross overriding royalty (the “NORI Royalty”) on the Company’s NORI project area in the CCZ to Low Carbon Royalties. In consideration of the NORI Royalty, TMC received 35.0% of the common shares issued by Low Carbon Royalties and $5 million in cash, as of the Closing Date. On March 21, 2023, Low Carbon Royalties acquired additional gross overriding royalties on natural gas fields in Latin America. The royalty acquisitions were financed through the issuance of Low Carbon Royalties common shares to the third-party vendor of such royalties, thereby reducing the Company’s ownership in the Partnership to 32% from 35%. In connection with the Royalty Agreement the Company entered into an Investor Rights Agreement with Low Carbon Royalties and a shareholder of Low Carbon Royalties, pursuant to which the Company and this shareholder each have a right, subject to certain percentage maintenance, to nominate a director to Low Carbon Royalties’ board of directors, along with registration and information rights.</w:t>
      </w:r>
    </w:p>
    <w:p>
      <w:pPr>
        <w:spacing w:after="0" w:line="191"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of closing the Royalty Agreement, the parties entered into an agreement with Low Carbon Royalties to mitigate risks associated with the potential termination of the exploitation license granted for one of the royalty-producing natural gas fields in Latin America (the “Exploitation License”). As per the agreement, 5 million contingent value rights (“CVR”) were issued to NORI. The CVR would convert into 5 million additional shares of Low Carbon Royalties all of which would be issued to NORI, in the event the Exploitation License is found, in a final decision, to be invalid by the Colombian National Agency of Hydrocarbons prior to the earlier of (1) five years from the issuance of the CVR and (2) the date Low Carbon Royalties becomes a publicly listed entity.</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fair value of the NORI Royalty granted and the cash received, the Company recorded $9 million as investment in Low Carbon Royalties on the Closing Date. For the year ended December 31, 2024, the Company’s share of the net loss generated by the Low Carbon Royalties was $ 0.2 million (2023: 0.6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00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w:t>
            </w: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NORI Royalty</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8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Investment on Closing Date</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Equity-accounted investment loss for the year ended 2023</w:t>
            </w:r>
          </w:p>
        </w:tc>
        <w:tc>
          <w:tcPr>
            <w:tcW w:w="18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as at December 31, 2023</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Equity-accounted investment loss for the year ended 2024</w:t>
            </w:r>
          </w:p>
        </w:tc>
        <w:tc>
          <w:tcPr>
            <w:tcW w:w="18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as at December 31, 2024</w:t>
            </w:r>
          </w:p>
        </w:tc>
        <w:tc>
          <w:tcPr>
            <w:tcW w:w="18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8,203</w:t>
            </w:r>
          </w:p>
        </w:tc>
      </w:tr>
    </w:tbl>
    <w:p>
      <w:pPr>
        <w:spacing w:after="0" w:line="196"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color w:val="auto"/>
        </w:rPr>
        <w:t xml:space="preserve">The NORI Royalty was recorded as a royalty liability in the consolidated Balance Sheet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 The Company elected to account for the royalty liability at fair value through profit and loss. The fair value was determined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The fair value of the royalty liability as at December 31, 2024 remained unchanged at $14 million.</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results of Low Carbon Royalties as at and for the years ended December 31, 2024 and 2023 are summarized below:</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 at</w:t>
            </w:r>
          </w:p>
        </w:tc>
      </w:tr>
      <w:tr>
        <w:trPr>
          <w:trHeight w:val="148"/>
        </w:trPr>
        <w:tc>
          <w:tcPr>
            <w:tcW w:w="45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31,</w:t>
            </w:r>
          </w:p>
        </w:tc>
      </w:tr>
      <w:tr>
        <w:trPr>
          <w:trHeight w:val="173"/>
        </w:trPr>
        <w:tc>
          <w:tcPr>
            <w:tcW w:w="456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25,277</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26,315</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75"/>
        </w:trPr>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3"/>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16"/>
        </w:trPr>
        <w:tc>
          <w:tcPr>
            <w:tcW w:w="4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31,</w:t>
            </w:r>
          </w:p>
        </w:tc>
      </w:tr>
      <w:tr>
        <w:trPr>
          <w:trHeight w:val="199"/>
        </w:trPr>
        <w:tc>
          <w:tcPr>
            <w:tcW w:w="456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for the Year</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0"/>
        </w:trPr>
        <w:tc>
          <w:tcPr>
            <w:tcW w:w="4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Contracts</w:t>
      </w:r>
    </w:p>
    <w:p>
      <w:pPr>
        <w:spacing w:after="0" w:line="225" w:lineRule="exact"/>
        <w:rPr>
          <w:rFonts w:ascii="Times New Roman" w:cs="Times New Roman" w:eastAsia="Times New Roman" w:hAnsi="Times New Roman"/>
          <w:sz w:val="18"/>
          <w:szCs w:val="18"/>
          <w:b w:val="1"/>
          <w:bCs w:val="1"/>
          <w:color w:val="auto"/>
        </w:rPr>
      </w:pPr>
    </w:p>
    <w:p>
      <w:pPr>
        <w:ind w:left="340" w:right="684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Significant Exploration Agreements </w:t>
      </w:r>
      <w:r>
        <w:rPr>
          <w:rFonts w:ascii="Times New Roman" w:cs="Times New Roman" w:eastAsia="Times New Roman" w:hAnsi="Times New Roman"/>
          <w:sz w:val="17"/>
          <w:szCs w:val="17"/>
          <w:b w:val="1"/>
          <w:bCs w:val="1"/>
          <w:i w:val="1"/>
          <w:iCs w:val="1"/>
          <w:color w:val="auto"/>
        </w:rPr>
        <w:t>NORI Exploration Contract:</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wholly-owned subsidiary, NORI, was granted the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21) and provides NORI with the priority right to apply for an exploitation contract to collect polymetallic nodules in the same area.</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NORI has a right to renounce, without penalty, in whole or part of its rights in the NORI Area at any time and therefore does not have a fixed commitment with relation to the NORI Exploration Contract (Note 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TOML was granted the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March 31, 2020, the Company entered into an acquisition agreement with Deep Sea Mining Finance Ltd. to acquire TOML and other related entities in the group (the “TOML Acquisition”). Total purchase price of the TOML Acquisition, before transaction costs, was $32.0 million comprising of $42.7 million for exploration contracts offset by $10.7 million for deferred tax liability. TOML holds an ISA exploration contract in the CCZ (“TOML Exploration Contract”) and some exploration related equipment.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Reconciliation – Exploration Contracts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Company’s capitalized exploration contracts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NORI</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Termination of Marawa Agreement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42,701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detail of exploration and evaluation expenses is as follows: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NORI</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Pr>
          <w:p>
            <w:pPr>
              <w:spacing w:after="0"/>
              <w:rPr>
                <w:sz w:val="12"/>
                <w:szCs w:val="12"/>
                <w:color w:val="auto"/>
              </w:rPr>
            </w:pPr>
          </w:p>
        </w:tc>
        <w:tc>
          <w:tcPr>
            <w:tcW w:w="82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Exploration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9,424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22,392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Prefeasibility Studies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Permit Application Activities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46,818</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3,341</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50,643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3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NORI</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0" w:type="dxa"/>
            <w:vAlign w:val="bottom"/>
          </w:tcPr>
          <w:p>
            <w:pPr>
              <w:spacing w:after="0"/>
              <w:rPr>
                <w:sz w:val="12"/>
                <w:szCs w:val="12"/>
                <w:color w:val="auto"/>
              </w:rPr>
            </w:pPr>
          </w:p>
        </w:tc>
        <w:tc>
          <w:tcPr>
            <w:tcW w:w="82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Exploration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Prefeasibility Studies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45,853</w:t>
            </w:r>
          </w:p>
        </w:tc>
        <w:tc>
          <w:tcPr>
            <w:tcW w:w="4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Borders>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4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56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General and Administrative Expenses</w:t>
      </w: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8"/>
        </w:trPr>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460" w:type="dxa"/>
            <w:vAlign w:val="bottom"/>
            <w:tcBorders>
              <w:bottom w:val="single" w:sz="8" w:color="CCEEFF"/>
            </w:tcBorders>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8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Professional and consulting fees</w:t>
            </w:r>
            <w:r>
              <w:rPr>
                <w:rFonts w:ascii="Times New Roman" w:cs="Times New Roman" w:eastAsia="Times New Roman" w:hAnsi="Times New Roman"/>
                <w:sz w:val="24"/>
                <w:szCs w:val="24"/>
                <w:color w:val="auto"/>
                <w:vertAlign w:val="superscript"/>
              </w:rPr>
              <w:t>(1)</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sundry</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fees</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filing fees</w:t>
            </w: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4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30,644</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22,540</w:t>
            </w:r>
          </w:p>
        </w:tc>
      </w:tr>
      <w:tr>
        <w:trPr>
          <w:trHeight w:val="102"/>
        </w:trPr>
        <w:tc>
          <w:tcPr>
            <w:tcW w:w="246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tcPr>
          <w:p>
            <w:pPr>
              <w:spacing w:after="0"/>
              <w:rPr>
                <w:sz w:val="8"/>
                <w:szCs w:val="8"/>
                <w:color w:val="auto"/>
              </w:rPr>
            </w:pPr>
          </w:p>
        </w:tc>
      </w:tr>
    </w:tbl>
    <w:p>
      <w:pPr>
        <w:ind w:left="680" w:hanging="348"/>
        <w:spacing w:after="0"/>
        <w:tabs>
          <w:tab w:leader="none" w:pos="680" w:val="left"/>
        </w:tabs>
        <w:numPr>
          <w:ilvl w:val="1"/>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Professional and consulting fees include $1.2 million of expenses settled with RSUs in 2024 (2023: $0.4 million).</w:t>
      </w:r>
    </w:p>
    <w:p>
      <w:pPr>
        <w:spacing w:after="0" w:line="193" w:lineRule="exact"/>
        <w:rPr>
          <w:rFonts w:ascii="Times New Roman" w:cs="Times New Roman" w:eastAsia="Times New Roman" w:hAnsi="Times New Roman"/>
          <w:sz w:val="27"/>
          <w:szCs w:val="27"/>
          <w:color w:val="auto"/>
          <w:vertAlign w:val="superscript"/>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payable and accrued liabilities at December 31, 2024 and 2023 are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460" w:type="dxa"/>
            <w:vAlign w:val="bottom"/>
            <w:tcBorders>
              <w:bottom w:val="single" w:sz="8" w:color="CCEEFF"/>
            </w:tcBorders>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24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Accrued Liabilities </w:t>
            </w:r>
            <w:r>
              <w:rPr>
                <w:rFonts w:ascii="Times New Roman" w:cs="Times New Roman" w:eastAsia="Times New Roman" w:hAnsi="Times New Roman"/>
                <w:sz w:val="25"/>
                <w:szCs w:val="25"/>
                <w:color w:val="auto"/>
                <w:vertAlign w:val="superscript"/>
              </w:rPr>
              <w:t>(1)</w:t>
            </w:r>
          </w:p>
        </w:tc>
        <w:tc>
          <w:tcPr>
            <w:tcW w:w="4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36,556</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28,892</w:t>
            </w:r>
          </w:p>
        </w:tc>
      </w:tr>
      <w:tr>
        <w:trPr>
          <w:trHeight w:val="210"/>
        </w:trPr>
        <w:tc>
          <w:tcPr>
            <w:tcW w:w="246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42,754</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r>
      <w:tr>
        <w:trPr>
          <w:trHeight w:val="20"/>
        </w:trPr>
        <w:tc>
          <w:tcPr>
            <w:tcW w:w="24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46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6" w:lineRule="exact"/>
        <w:rPr>
          <w:sz w:val="20"/>
          <w:szCs w:val="20"/>
          <w:color w:val="auto"/>
        </w:rPr>
      </w:pPr>
    </w:p>
    <w:p>
      <w:pPr>
        <w:ind w:left="660" w:right="20" w:hanging="328"/>
        <w:spacing w:after="0" w:line="208" w:lineRule="auto"/>
        <w:tabs>
          <w:tab w:leader="none" w:pos="660" w:val="left"/>
        </w:tabs>
        <w:numPr>
          <w:ilvl w:val="1"/>
          <w:numId w:val="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at December 31, 2024, accrued liabilities totaled $36.5 million (December 31, 2023 - $28.9 million), of which $25.8 million relates to Allseas (Note 8) (December 31, 2023 - $13.8 million).</w:t>
      </w:r>
    </w:p>
    <w:p>
      <w:pPr>
        <w:spacing w:after="0" w:line="195" w:lineRule="exact"/>
        <w:rPr>
          <w:rFonts w:ascii="Times New Roman" w:cs="Times New Roman" w:eastAsia="Times New Roman" w:hAnsi="Times New Roman"/>
          <w:sz w:val="27"/>
          <w:szCs w:val="27"/>
          <w:color w:val="auto"/>
          <w:vertAlign w:val="superscript"/>
        </w:rPr>
      </w:pPr>
    </w:p>
    <w:p>
      <w:pPr>
        <w:ind w:left="340" w:hanging="332"/>
        <w:spacing w:after="0"/>
        <w:tabs>
          <w:tab w:leader="none" w:pos="3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Activity</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2023 Registered Direct Offering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14, 2023, the Company entered into a securities purchase agreement (the “2023 Purchase Agreement”) with certain investors, pursuant to which the Company agreed to sell and issue, in a registered direct offering (the “2023 Registered Direct Offering”) 12,461,540 common shares and issue Class A Warrants to purchase 6,230,770 common shares (“Class A Warrants”) (Note 15). Each common share and accompanying Class A Warrant were sold at a price of $2.00 per unit. The exercise price to purchase one common share under the Class A Warrants is $3.00, subject to adjustment as provided in the warrant agreement.</w:t>
      </w:r>
    </w:p>
    <w:p>
      <w:pPr>
        <w:spacing w:after="0" w:line="183"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30, 2024, the Company received the final balance of the committed funding amounting to $9 million (representing 4,500,000 common shares and 2,250,000 Class A Warrants) from an investor affiliated with the Company.</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2024, all common shares and Class A Warrants to purchase common shares under the 2023 Registered Direct Offering had been issued and the Company received gross proceeds amounting to $24.9 million. The Company incurred $1.3 million as offering expenses, resulting in net proceeds received of $23.6 million. Out of the total net proceeds received of $23.6 million, the net proceeds attributable to common shares were $18.9 million (Note 16) and the net proceeds attributable to Class A Warrants were $4.7 million (Note 15).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2024 Registered Direct Offering</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November 14, 2024, the Company entered into a securities purchase agreement (the “2024 Purchase Agreement”) with certain investors, pursuant to which the Company agreed to sell and issue, in a registered direct offering (the “2024 Registered Direct Offering”) 17,500,000 common shares and issue Class B Warrants to purchase 8,750,000 Common Shares (“Class B Warrants”) (Note 15). Each common share and accompanying Class B Warrant were sold at a price of $1.00 per unit. The exercise price to purchase one common share under the Class B Warrants is $2.00, subject to adjustment as provided in the 2024 Purchase Agreement.</w:t>
      </w:r>
    </w:p>
    <w:p>
      <w:pPr>
        <w:spacing w:after="0" w:line="1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November 26, 2024, the Company and the requisite initial investors entered into the First Amendment to the 2024 Purchase Agreement, pursuant to which the Company agreed to sell and issue an additional 2,400,000 common shares and accompanying Class B Warrants to purchase 1,200,000 common shares to new investors on the same terms and conditions as initially offered. Including the First Amendment to the 2024 Purchase Agreement, the Company agreed to sell and issue in aggregate 19,900,000 common shares and Class B Warrants to purchase 9,950,000 common shares.</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at December 31, 2024, 14,900,000 common shares and Class B Warrants to purchase 7,450,000 common shares under the 2024 Registered Direct Offering had been issued following the receipt of gross proceeds of $14.9 million. The Company incurred $0.7 million as offering expenses, resulting in net proceeds received of $14.2 million. Out of the total net proceeds received of $14.2 million, the net proceeds attributable to common shares were $9.7 million (Note 16) and the net proceeds attributable to Class B Warrants were $4.5 million (Note 15).</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February 6, 2025, the Company received the final balance of committed funding of $5 million (representing 5,000,000 common shares and 2,500,000 Class B Warrants).</w:t>
      </w:r>
    </w:p>
    <w:p>
      <w:pPr>
        <w:spacing w:after="0" w:line="158"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issued as per At-the-Market Equity Distribution Agreement (“ATM”)</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2022, the Company filed a prospectus supplement with the Securities and Exchange Commission to sell up to $30 million of the Company’s common shares from time to time through an ATM. In 2024, the Company issued 3,251,588 common shares (2023: nil) at an average share price of $1.53, resulting in net proceeds of $4.9 million, after incurring $113 thousand as commission and fees (Note 16).</w:t>
      </w:r>
    </w:p>
    <w:p>
      <w:pPr>
        <w:spacing w:after="0" w:line="175" w:lineRule="exact"/>
        <w:rPr>
          <w:rFonts w:ascii="Times New Roman" w:cs="Times New Roman" w:eastAsia="Times New Roman" w:hAnsi="Times New Roman"/>
          <w:sz w:val="18"/>
          <w:szCs w:val="18"/>
          <w:b w:val="1"/>
          <w:bCs w:val="1"/>
          <w:color w:val="auto"/>
        </w:rPr>
      </w:pPr>
    </w:p>
    <w:p>
      <w:pPr>
        <w:ind w:left="340" w:right="8380" w:hanging="332"/>
        <w:spacing w:after="0" w:line="532" w:lineRule="auto"/>
        <w:tabs>
          <w:tab w:leader="none" w:pos="34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b w:val="1"/>
          <w:bCs w:val="1"/>
          <w:i w:val="1"/>
          <w:iCs w:val="1"/>
          <w:color w:val="auto"/>
        </w:rPr>
        <w:t>Public Warrants</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December 31, 2024, 15,000,000 Public Warrants were outstanding. Each whole Public Warrant entitles the holder to purchase one common share at a price of $11.50 per share beginning on October 9, 2021, subject to restrictions as described further.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pacing w:after="0" w:line="187" w:lineRule="exact"/>
        <w:rPr>
          <w:rFonts w:ascii="Times New Roman" w:cs="Times New Roman" w:eastAsia="Times New Roman" w:hAnsi="Times New Roman"/>
          <w:sz w:val="17"/>
          <w:szCs w:val="17"/>
          <w:b w:val="1"/>
          <w:bCs w:val="1"/>
          <w:color w:val="auto"/>
        </w:rPr>
      </w:pPr>
    </w:p>
    <w:p>
      <w:pPr>
        <w:jc w:val="both"/>
        <w:ind w:left="340"/>
        <w:spacing w:after="0" w:line="27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w:t>
      </w:r>
    </w:p>
    <w:p>
      <w:pPr>
        <w:sectPr>
          <w:pgSz w:w="11900" w:h="16838" w:orient="portrait"/>
          <w:cols w:equalWidth="0" w:num="1">
            <w:col w:w="9920"/>
          </w:cols>
          <w:pgMar w:left="980" w:top="513" w:right="99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call the Public Warrants for redemption:</w:t>
      </w:r>
    </w:p>
    <w:p>
      <w:pPr>
        <w:spacing w:after="0" w:line="225" w:lineRule="exact"/>
        <w:rPr>
          <w:sz w:val="20"/>
          <w:szCs w:val="20"/>
          <w:color w:val="auto"/>
        </w:rPr>
      </w:pPr>
    </w:p>
    <w:p>
      <w:pPr>
        <w:ind w:left="1000" w:hanging="317"/>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9"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76" w:lineRule="exact"/>
        <w:rPr>
          <w:sz w:val="20"/>
          <w:szCs w:val="20"/>
          <w:color w:val="auto"/>
        </w:rPr>
      </w:pPr>
    </w:p>
    <w:p>
      <w:pPr>
        <w:jc w:val="both"/>
        <w:ind w:left="1000" w:hanging="317"/>
        <w:spacing w:after="0" w:line="257"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w:t>
      </w:r>
    </w:p>
    <w:p>
      <w:pPr>
        <w:spacing w:after="0" w:line="1"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Fair Market Value,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0.365.</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2024, the value of outstanding Public Warrants of $19.5 million was recorded in additional paid in capital.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at December 31, 2024,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80" w:lineRule="exact"/>
        <w:rPr>
          <w:sz w:val="20"/>
          <w:szCs w:val="20"/>
          <w:color w:val="auto"/>
        </w:rPr>
      </w:pPr>
    </w:p>
    <w:p>
      <w:pPr>
        <w:ind w:left="1000" w:hanging="317"/>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exercisable for cash or on a cashless basis, at the holder’s option, and</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are not redeemable by the Company.</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80" w:lineRule="exact"/>
        <w:rPr>
          <w:sz w:val="20"/>
          <w:szCs w:val="20"/>
          <w:color w:val="auto"/>
        </w:rPr>
      </w:pPr>
    </w:p>
    <w:p>
      <w:pPr>
        <w:jc w:val="both"/>
        <w:ind w:left="1000" w:hanging="317"/>
        <w:spacing w:after="0" w:line="261"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w:t>
      </w:r>
    </w:p>
    <w:p>
      <w:pPr>
        <w:spacing w:after="0" w:line="17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evaluated the Private Warrants under ASC 815-40, in conjunction with the SEC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8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that assigned equal weight to the implied volatility of the Company’s Public Warrants, adjusted for the call feature triggered at prices above $18.00 over 20 trading days within any 30-day period, and the historical volatility of the common share price.</w:t>
      </w:r>
    </w:p>
    <w:p>
      <w:pPr>
        <w:spacing w:after="0" w:line="183" w:lineRule="exact"/>
        <w:rPr>
          <w:sz w:val="20"/>
          <w:szCs w:val="20"/>
          <w:color w:val="auto"/>
        </w:rPr>
      </w:pPr>
    </w:p>
    <w:p>
      <w:pPr>
        <w:jc w:val="both"/>
        <w:ind w:left="340" w:firstLine="39"/>
        <w:spacing w:after="0" w:line="282" w:lineRule="auto"/>
        <w:rPr>
          <w:sz w:val="20"/>
          <w:szCs w:val="20"/>
          <w:color w:val="auto"/>
        </w:rPr>
      </w:pPr>
      <w:r>
        <w:rPr>
          <w:rFonts w:ascii="Times New Roman" w:cs="Times New Roman" w:eastAsia="Times New Roman" w:hAnsi="Times New Roman"/>
          <w:sz w:val="18"/>
          <w:szCs w:val="18"/>
          <w:color w:val="auto"/>
        </w:rPr>
        <w:t>As at December 31, 2024, the fair value of outstanding Private Warrants of approximately $0.9 million is recorded as warrants liability. The following table presents the changes in the fair value of warrants liability:</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Private</w:t>
            </w:r>
          </w:p>
        </w:tc>
      </w:tr>
      <w:tr>
        <w:trPr>
          <w:trHeight w:val="173"/>
        </w:trPr>
        <w:tc>
          <w:tcPr>
            <w:tcW w:w="79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1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December 31, 2023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16"/>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fair value of warrants liability</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09"/>
        </w:trPr>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December 31, 2024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at December 31, 2024, the fair value of the Private Warrants was estimated using the following assumptions: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40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7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4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108.97 %</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105.34 %</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1.69 years</w:t>
            </w:r>
          </w:p>
        </w:tc>
        <w:tc>
          <w:tcPr>
            <w:tcW w:w="3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 years</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4.14 %</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3.98 %</w:t>
            </w:r>
          </w:p>
        </w:tc>
      </w:t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0.0 %</w:t>
            </w:r>
          </w:p>
        </w:tc>
        <w:tc>
          <w:tcPr>
            <w:tcW w:w="3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A Warrants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Under the 2023 Registered Direct Offering (Note 13) which closed on August 14, 2023, the Company issued 3,980,770 Class A Warrants to purchase common shares at an exercise price of $3.00 per share. These Class A Warrants were valued on August 14, 2023, at a fair value of $0.80 per warrant, using a Monte Carlo valuation.</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Class A Warrants contain a call provision under which if the Volume Weighted Average Price “VWAP” for 30 consecutive trading days exceeds $6.50, and the warrant holder does not possess material non-public information provided by the Company, the Company may call for cancellation of the unexercised warrants, offering $0.0001 per Warrant Share. If conditions for the call are met, the unexercised portion of these warrants will be cancelled ten trading days after the call notice is received.</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Class A Warrants were not determined to be liabilities under ASC 480 as they were not required to be redeemed. The Company classified the Class A Warrants as equity (per ASC 815), as the warrants entailed physical settlement and were also considered to be indexed to the Company’s share, wherein, upon exercise, a fixed number of common shares would be issued on payment of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fixed exercise price. As at December 31, 2023, the Company recorded the total fair value of these Class A Warrants amounting to $3.2 million as additional paid in capital.</w:t>
      </w:r>
    </w:p>
    <w:p>
      <w:pPr>
        <w:spacing w:after="0" w:line="16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On January 30, 2024, the Company received the final balance of the committed funding under the 2023 Registered Direct Offering (Note 13) and on January 31, 2024, issued 2,250,000 Class A Warrants to purchase common shares at an exercise price of $3.00 per share. The Class A Warrants issued on January 31, 2024 had the same terms as the Class A Warrants issued in 2023.</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remaining 2,250,000 Class A Warrants were valued on January 31, 2024, using a Monte Carlo simulation, resulting in a fair value of $0.69 per warrant, with the total fair value of these warrants amounting to $1.6 million which was recorded as additional paid in capital.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Class A Warrants issued on January 31, 2024 was estimated using the following assumptions: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4640" w:type="dxa"/>
            <w:vAlign w:val="bottom"/>
            <w:tcBorders>
              <w:bottom w:val="single" w:sz="8" w:color="CCEEFF"/>
            </w:tcBorders>
          </w:tcPr>
          <w:p>
            <w:pPr>
              <w:spacing w:after="0"/>
              <w:rPr>
                <w:sz w:val="15"/>
                <w:szCs w:val="15"/>
                <w:color w:val="auto"/>
              </w:rPr>
            </w:pPr>
          </w:p>
        </w:tc>
        <w:tc>
          <w:tcPr>
            <w:tcW w:w="3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price threshold</w:t>
            </w:r>
          </w:p>
        </w:tc>
        <w:tc>
          <w:tcPr>
            <w:tcW w:w="3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105.08 %</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(years)</w:t>
            </w: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3.89 %</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98"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 xml:space="preserve">The 2023 Purchase Agreement stipulates a down round feature wherein if between August 14, 2023, and December 31, 2024, the Company, or its subsidiaries issue, sell, or grant options or rights to purchase common shares or equivalents at a price lower than either i) $2.00 or ii) the exercise price in effect, the exercise price of the outstanding Class A Warrants will automatically reset to the lower of these two amounts. On reset of the exercise price, the number of shares issuable will not change. On November 14, 2024, the Company entered into the 2024 Purchase Agreement (Note 13), pursuant to which the Company agreed to sell and issue one common share and the accompanying Class B Warrant to purchase one half of a common share at a price of $1.00. As the issuance under the 2024 Purchase Agreement was less than $2.00 per common share, the down round feature of the Class A Warrants was triggered on November 14, 2024 (the “Trigger date”) and the exercise price was reset from $3.00 per share to $2.00 per share.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on the Trigger date, the Company measured the difference between the fair values of the Class A Warrants using an exercise price of $3.00 per share and an exercise price of $2.00 per share.</w:t>
      </w:r>
    </w:p>
    <w:p>
      <w:pPr>
        <w:spacing w:after="0" w:line="19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fair values of the Class A Warrants on November 14, 2024, with an exercise price of $2.00 per share and an exercise price of $3.00 per share were $0.50 per warrant and $0.41 per warrant, respectively, and were estimated using Monte Carlo simulations based on the following assumptions: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November 14,</w:t>
            </w:r>
          </w:p>
        </w:tc>
      </w:tr>
      <w:tr>
        <w:trPr>
          <w:trHeight w:val="173"/>
        </w:trPr>
        <w:tc>
          <w:tcPr>
            <w:tcW w:w="462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Call price threshold</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106.81 %</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4.21 %</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difference in the above-mentioned fair values was $0.09 per warrant, or $0.6 million in aggregate. In accordance with ASC 260, the difference in the fair values was considered to be a deemed dividend and was recorded as additional paid in capital on November 14,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2024, 6,230,770 Class A Warrants were outstanding.</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B Warrants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 part of the 2024 Registered Direct Offering (Note 13), the Company issued 7,450,000 Class B Warrants for the purchase of common shares at an exercise price of $2.00 per share. The Class B Warrants expire on November 14, 2029. The valuation of these Class B Warrants was determined using a Monte Carlo simulation.</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Class B Warrants were valued on November 14, 2024 at a fair value of $0.60 per warrant. The fair value of the Class B Warrants was estimated using the following assumptions: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November 14,</w:t>
            </w:r>
          </w:p>
        </w:tc>
      </w:tr>
      <w:tr>
        <w:trPr>
          <w:trHeight w:val="173"/>
        </w:trPr>
        <w:tc>
          <w:tcPr>
            <w:tcW w:w="4620" w:type="dxa"/>
            <w:vAlign w:val="bottom"/>
            <w:tcBorders>
              <w:bottom w:val="single" w:sz="8" w:color="CCEEFF"/>
            </w:tcBorders>
          </w:tcPr>
          <w:p>
            <w:pPr>
              <w:spacing w:after="0"/>
              <w:rPr>
                <w:sz w:val="15"/>
                <w:szCs w:val="15"/>
                <w:color w:val="auto"/>
              </w:rPr>
            </w:pPr>
          </w:p>
        </w:tc>
        <w:tc>
          <w:tcPr>
            <w:tcW w:w="3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Call price threshold</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109.38 %</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(years)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4.23 %</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Class B Warrants contain a call provision under which if the Volume Weighted Average Price “VWAP” for 30 consecutive trading days exceeds $5.00, and the warrant holder does not possess material non-public information provided by the Company, the Company may call for cancellation the unexercised warrants, offering $0.0001 per Warrant Share. If conditions for the call are met, the unexercised portion of these warrants will be cancelled ten trading days after the call notice is received.</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the Class B Warrants had the same features as the above-mentioned Class A Warrants, the Company classified the Class B Warrants as equity (per ASC 815) and on November 14, 2024, recorded the fair value of the Class B Warrants amounting to $4.5 million as additional paid in capital.</w:t>
      </w:r>
    </w:p>
    <w:p>
      <w:pPr>
        <w:spacing w:after="0" w:line="176"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There were no exercises or redemptions of the Public Warrants, Private Warrants, Class A Warrants and Class B Warrants during the year ended December 31, 2024.</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on December 31, 2024, 7,450,000 Class B Warrants were outstanding. On February 6, 2025, the Company received the final balance of committed funding and issued the remaining 2,500,000 Class B Warrants.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right="7840" w:hanging="332"/>
        <w:spacing w:after="0" w:line="532" w:lineRule="auto"/>
        <w:tabs>
          <w:tab w:leader="none" w:pos="34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Shares Authorized and Issued</w:t>
      </w:r>
    </w:p>
    <w:p>
      <w:pPr>
        <w:spacing w:after="0" w:line="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December 31, 2024, the authorized, issued and outstanding common shares and Special Shares of the Company are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Unlimited, with no par value</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340,708,460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Class A Special Shares</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5,000,000, with no par value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4,448,259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Special Shares</w:t>
            </w:r>
          </w:p>
        </w:tc>
        <w:tc>
          <w:tcPr>
            <w:tcW w:w="2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10,000,000, with no par value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8,896,399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Class C Special Shares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10,000,000, with no par value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8,896,399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Special Shares</w:t>
            </w:r>
          </w:p>
        </w:tc>
        <w:tc>
          <w:tcPr>
            <w:tcW w:w="2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Class E Special Shares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17,792,922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F Special Shares</w:t>
            </w:r>
          </w:p>
        </w:tc>
        <w:tc>
          <w:tcPr>
            <w:tcW w:w="2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20,000,000, with no par value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17,792,922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Class G Special Shares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25,000,000, with no par value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22,241,179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H Special Shares</w:t>
            </w:r>
          </w:p>
        </w:tc>
        <w:tc>
          <w:tcPr>
            <w:tcW w:w="2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25,000,000, with no par value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22,241,179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Class I Special Shares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500,000, with no par value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J Special Shares</w:t>
            </w:r>
          </w:p>
        </w:tc>
        <w:tc>
          <w:tcPr>
            <w:tcW w:w="2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741,000, with no par value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holders of the Company’s common shares are entitled to one vote for each common share held.</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Each class of Special Shares do not have voting rights and do not participate in earnings. The Special Shares automatically convert to TMC common shares if TMC common shares trade at a price on any 20 trading days within any 30-trading day period that is greater than or equal to the specific trigger price for the respective class of Special Share.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the Special Shares and their respective vesting thresholds, assuming the full number of Special Shares from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Rollover Options are issued:</w:t>
      </w:r>
    </w:p>
    <w:p>
      <w:pPr>
        <w:spacing w:after="0" w:line="205" w:lineRule="exact"/>
        <w:rPr>
          <w:sz w:val="20"/>
          <w:szCs w:val="20"/>
          <w:color w:val="auto"/>
        </w:rPr>
      </w:pPr>
    </w:p>
    <w:tbl>
      <w:tblPr>
        <w:tblLayout w:type="fixed"/>
        <w:tblInd w:w="350" w:type="dxa"/>
        <w:tblCellMar>
          <w:top w:w="0" w:type="dxa"/>
          <w:left w:w="0" w:type="dxa"/>
          <w:bottom w:w="0" w:type="dxa"/>
          <w:right w:w="0" w:type="dxa"/>
        </w:tblCellMar>
      </w:tblPr>
      <w:tr>
        <w:trPr>
          <w:trHeight w:val="203"/>
        </w:trPr>
        <w:tc>
          <w:tcPr>
            <w:tcW w:w="350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Special Share Class</w:t>
            </w:r>
          </w:p>
        </w:tc>
        <w:tc>
          <w:tcPr>
            <w:tcW w:w="54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58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w:t>
            </w:r>
          </w:p>
        </w:tc>
        <w:tc>
          <w:tcPr>
            <w:tcW w:w="56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w:t>
            </w:r>
          </w:p>
        </w:tc>
        <w:tc>
          <w:tcPr>
            <w:tcW w:w="56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H</w:t>
            </w:r>
          </w:p>
        </w:tc>
        <w:tc>
          <w:tcPr>
            <w:tcW w:w="58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I</w:t>
            </w:r>
          </w:p>
        </w:tc>
        <w:tc>
          <w:tcPr>
            <w:tcW w:w="56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J</w:t>
            </w:r>
          </w:p>
        </w:tc>
      </w:tr>
      <w:tr>
        <w:trPr>
          <w:trHeight w:val="223"/>
        </w:trPr>
        <w:tc>
          <w:tcPr>
            <w:tcW w:w="35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Trigger price ($)</w:t>
            </w:r>
          </w:p>
        </w:tc>
        <w:tc>
          <w:tcPr>
            <w:tcW w:w="54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580" w:type="dxa"/>
            <w:vAlign w:val="bottom"/>
            <w:tcBorders>
              <w:bottom w:val="single" w:sz="8" w:color="auto"/>
              <w:right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bottom w:val="single" w:sz="8" w:color="auto"/>
              <w:right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tcBorders>
              <w:bottom w:val="single" w:sz="8" w:color="auto"/>
              <w:right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200</w:t>
            </w:r>
          </w:p>
        </w:tc>
        <w:tc>
          <w:tcPr>
            <w:tcW w:w="580" w:type="dxa"/>
            <w:vAlign w:val="bottom"/>
            <w:tcBorders>
              <w:bottom w:val="single" w:sz="8" w:color="auto"/>
              <w:right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350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Special Shares (million)</w:t>
            </w:r>
          </w:p>
        </w:tc>
        <w:tc>
          <w:tcPr>
            <w:tcW w:w="540" w:type="dxa"/>
            <w:vAlign w:val="bottom"/>
            <w:tcBorders>
              <w:bottom w:val="single" w:sz="8" w:color="auto"/>
              <w:right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580" w:type="dxa"/>
            <w:vAlign w:val="bottom"/>
            <w:tcBorders>
              <w:bottom w:val="single" w:sz="8" w:color="auto"/>
              <w:right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Borders>
              <w:bottom w:val="single" w:sz="8" w:color="auto"/>
              <w:right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Borders>
              <w:bottom w:val="single" w:sz="8" w:color="auto"/>
              <w:right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tcBorders>
              <w:bottom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0.7</w:t>
            </w: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the Special Shares meet the indexation and equity classification criteria under ASC 815-40, the Special Shares have been classified as equity instruments at issuance.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Share Continuity</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266,812,131</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332,882</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Issuance of shares under 2023 Registered Direct Offering </w:t>
            </w:r>
            <w:r>
              <w:rPr>
                <w:rFonts w:ascii="Times New Roman" w:cs="Times New Roman" w:eastAsia="Times New Roman" w:hAnsi="Times New Roman"/>
                <w:sz w:val="18"/>
                <w:szCs w:val="18"/>
                <w:i w:val="1"/>
                <w:iCs w:val="1"/>
                <w:color w:val="auto"/>
              </w:rPr>
              <w:t>(Note 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7,961,540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 by Allseas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11,578,620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70,016</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Allseas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15,910</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Exercise of stock options </w:t>
            </w:r>
            <w:r>
              <w:rPr>
                <w:rFonts w:ascii="Times New Roman" w:cs="Times New Roman" w:eastAsia="Times New Roman" w:hAnsi="Times New Roman"/>
                <w:sz w:val="18"/>
                <w:szCs w:val="18"/>
                <w:i w:val="1"/>
                <w:iCs w:val="1"/>
                <w:color w:val="auto"/>
              </w:rPr>
              <w:t>(Note 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Conversion of restricted share units </w:t>
            </w:r>
            <w:r>
              <w:rPr>
                <w:rFonts w:ascii="Times New Roman" w:cs="Times New Roman" w:eastAsia="Times New Roman" w:hAnsi="Times New Roman"/>
                <w:sz w:val="18"/>
                <w:szCs w:val="18"/>
                <w:i w:val="1"/>
                <w:iCs w:val="1"/>
                <w:color w:val="auto"/>
              </w:rPr>
              <w:t>(Note 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4,912,747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Share purchase under Employee Stock Purchase Plan </w:t>
            </w:r>
            <w:r>
              <w:rPr>
                <w:rFonts w:ascii="Times New Roman" w:cs="Times New Roman" w:eastAsia="Times New Roman" w:hAnsi="Times New Roman"/>
                <w:sz w:val="18"/>
                <w:szCs w:val="18"/>
                <w:i w:val="1"/>
                <w:iCs w:val="1"/>
                <w:color w:val="auto"/>
              </w:rPr>
              <w:t>(Note 17)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173,672</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306,558,710</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438,239</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Issuance of shares under 2023 Registered Direct Offering </w:t>
            </w:r>
            <w:r>
              <w:rPr>
                <w:rFonts w:ascii="Times New Roman" w:cs="Times New Roman" w:eastAsia="Times New Roman" w:hAnsi="Times New Roman"/>
                <w:sz w:val="18"/>
                <w:szCs w:val="18"/>
                <w:i w:val="1"/>
                <w:iCs w:val="1"/>
                <w:color w:val="auto"/>
              </w:rPr>
              <w:t>(Note 13)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Issuance of shares under 2024 Registered Direct Offering </w:t>
            </w:r>
            <w:r>
              <w:rPr>
                <w:rFonts w:ascii="Times New Roman" w:cs="Times New Roman" w:eastAsia="Times New Roman" w:hAnsi="Times New Roman"/>
                <w:sz w:val="18"/>
                <w:szCs w:val="18"/>
                <w:i w:val="1"/>
                <w:iCs w:val="1"/>
                <w:color w:val="auto"/>
              </w:rPr>
              <w:t>(Note 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Shares issued as per At-the Market Equity Distribution Agreement </w:t>
            </w:r>
            <w:r>
              <w:rPr>
                <w:rFonts w:ascii="Times New Roman" w:cs="Times New Roman" w:eastAsia="Times New Roman" w:hAnsi="Times New Roman"/>
                <w:sz w:val="18"/>
                <w:szCs w:val="18"/>
                <w:i w:val="1"/>
                <w:iCs w:val="1"/>
                <w:color w:val="auto"/>
              </w:rPr>
              <w:t>(Note 14)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3,251,588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Conversion of restricted share units </w:t>
            </w:r>
            <w:r>
              <w:rPr>
                <w:rFonts w:ascii="Times New Roman" w:cs="Times New Roman" w:eastAsia="Times New Roman" w:hAnsi="Times New Roman"/>
                <w:sz w:val="18"/>
                <w:szCs w:val="18"/>
                <w:i w:val="1"/>
                <w:iCs w:val="1"/>
                <w:color w:val="auto"/>
              </w:rPr>
              <w:t>(Note 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10,734,581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Exercise of stock options </w:t>
            </w:r>
            <w:r>
              <w:rPr>
                <w:rFonts w:ascii="Times New Roman" w:cs="Times New Roman" w:eastAsia="Times New Roman" w:hAnsi="Times New Roman"/>
                <w:sz w:val="18"/>
                <w:szCs w:val="18"/>
                <w:i w:val="1"/>
                <w:iCs w:val="1"/>
                <w:color w:val="auto"/>
              </w:rPr>
              <w:t>(Note 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715,772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Share purchase under Employee Stock Purchase Plan </w:t>
            </w:r>
            <w:r>
              <w:rPr>
                <w:rFonts w:ascii="Times New Roman" w:cs="Times New Roman" w:eastAsia="Times New Roman" w:hAnsi="Times New Roman"/>
                <w:sz w:val="18"/>
                <w:szCs w:val="18"/>
                <w:i w:val="1"/>
                <w:iCs w:val="1"/>
                <w:color w:val="auto"/>
              </w:rPr>
              <w:t>(Note 17)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9"/>
        </w:trPr>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340,708,460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477,217</w:t>
            </w: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 Incentive Plan”) provides that the aggregate number of common shares reserved for future issuance under the Incentive Plan. As of December 31, 2024, there were a total of 56,634,518 common shares reserved for issuance under the Incentive Plan out of which 37,870,371 common shares remained available for future issuances. These amounts include 12,262,348 shares added to the Incentive Plan in January 2024 pursuant to the Incentive Plan’s automatic annual increase provision, provided that 2,243,853 of the outstanding common shares shall only be available for awards made to non-employee directors of the Company. On the first day of each fiscal year from 2022 to 2031, the number of common shares that may be issued pursuant to the Incentive Plan is automatically increased by an amount equal to the lesser of 4% of the number of outstanding common shares or an amount determined by the board of directors.</w:t>
      </w:r>
    </w:p>
    <w:p>
      <w:pPr>
        <w:spacing w:after="0" w:line="19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Share-based awards consisting of Restricted Share Units (“RSU”) and options under the Short-Term Incentives Plan (“STIP”) and Long-Term Incentives Plan (“LTIP”) have been issued under the 2021 Incentive Equity Plan.</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2021 Incentive Plan, the Company had granted share-based awards under the 2018 Stock Option Plan (“2018 Plan”).</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Outstanding under the Incentive Plan.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9, 2024, the Company entered into a consulting agreement with Mr. Jurvetson, a director of the Company. As per the agreement, Mr. Jurvetson would serve as a special advisor to the Company’s Chief Executive Officer for a term of five years. As the sole compensation for his advisory services, Mr. Jurvetson was granted stock options to purchase 3,440,000 of the Company’s common shares, with an exercise price equal to $1.71, under the Incentive Plan. The options vest in thirds on each anniversary of the grant date of the options provided that Mr. Jurvetson is still providing services to the Company at such time and expire on April 9, 2031.</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9, 2024, the Company also granted stock options to purchase 500,000 shares to a consultant in exchange for advisory services over a 5-year period ending April 9, 2029.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options to be $1.36 per unit using the Black-Scholes valuation method. The fair value was estimated using the following assumptions: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April 9,</w:t>
            </w:r>
          </w:p>
        </w:tc>
      </w:tr>
      <w:tr>
        <w:trPr>
          <w:trHeight w:val="173"/>
        </w:trPr>
        <w:tc>
          <w:tcPr>
            <w:tcW w:w="4440" w:type="dxa"/>
            <w:vAlign w:val="bottom"/>
            <w:tcBorders>
              <w:bottom w:val="single" w:sz="8" w:color="CCEEFF"/>
            </w:tcBorders>
          </w:tcPr>
          <w:p>
            <w:pPr>
              <w:spacing w:after="0"/>
              <w:rPr>
                <w:sz w:val="15"/>
                <w:szCs w:val="15"/>
                <w:color w:val="auto"/>
              </w:rPr>
            </w:pPr>
          </w:p>
        </w:tc>
        <w:tc>
          <w:tcPr>
            <w:tcW w:w="3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2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114.32 %</w:t>
            </w:r>
          </w:p>
        </w:tc>
      </w:tr>
      <w:tr>
        <w:trPr>
          <w:trHeight w:val="216"/>
        </w:trPr>
        <w:tc>
          <w:tcPr>
            <w:tcW w:w="44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Term</w:t>
            </w:r>
            <w:r>
              <w:rPr>
                <w:rFonts w:ascii="Times New Roman" w:cs="Times New Roman" w:eastAsia="Times New Roman" w:hAnsi="Times New Roman"/>
                <w:sz w:val="25"/>
                <w:szCs w:val="25"/>
                <w:color w:val="auto"/>
                <w:vertAlign w:val="superscript"/>
              </w:rPr>
              <w:t>(1)</w:t>
            </w: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4.5 years</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4.29 %</w:t>
            </w: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54610</wp:posOffset>
            </wp:positionV>
            <wp:extent cx="15684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5" w:lineRule="exact"/>
        <w:rPr>
          <w:sz w:val="20"/>
          <w:szCs w:val="20"/>
          <w:color w:val="auto"/>
        </w:rPr>
      </w:pPr>
    </w:p>
    <w:p>
      <w:pPr>
        <w:ind w:left="680" w:hanging="321"/>
        <w:spacing w:after="0" w:line="208" w:lineRule="auto"/>
        <w:tabs>
          <w:tab w:leader="none" w:pos="680" w:val="left"/>
        </w:tabs>
        <w:numPr>
          <w:ilvl w:val="0"/>
          <w:numId w:val="7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these were the first options granted under the Incentive Plan, the expected term was estimated using the simplified method which is calculated as the average of the time to vest for each tranche from the grant date and the 7-year contractual term.</w:t>
      </w:r>
    </w:p>
    <w:p>
      <w:pPr>
        <w:spacing w:after="0" w:line="200"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During the year, the Company recognized $1.3 million of share-based compensation expense related to the amortization of stock options, reported under general and administrative expenses in the statement of loss and comprehensive loss.</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There were no forfeitures and exercises during the year and as at December 31, 2024, there were 3,940,000 options outstanding under the Company’s 2021 Incentive Plan (2023: Nil). The intrinsic value of the outstanding stock options was $ nil and was calculated by considering the closing market price of the Company’s common shares as the fair value of the Company’s common share.</w:t>
      </w:r>
    </w:p>
    <w:p>
      <w:pPr>
        <w:spacing w:after="0" w:line="180"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total unrecognized share-based compensation expense of $4 million is expected to be recognized over a period of approximately two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Outstanding under the Company’s 2018 Plan.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new stock options were granted by the Company as STIPs or LTIPs under the 2018 Plan during 2024 and 2023.</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Outstanding STIPs under the 2018 plan: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continuity schedule summarizing the movements in the Company’s stock options under the STIP plan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32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32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2022</w:t>
            </w:r>
          </w:p>
        </w:tc>
        <w:tc>
          <w:tcPr>
            <w:tcW w:w="6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15,356,340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1,582</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(162,100)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2023</w:t>
            </w:r>
          </w:p>
        </w:tc>
        <w:tc>
          <w:tcPr>
            <w:tcW w:w="6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15,074,240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5,425</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2024 Vested and exercisable</w:t>
            </w:r>
          </w:p>
        </w:tc>
        <w:tc>
          <w:tcPr>
            <w:tcW w:w="6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14,300,575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5,321</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7"/>
        </w:trPr>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145</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options granted and outstanding under the Company’s STIP as at December 31, 2024 is as follows: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0" w:type="dxa"/>
            <w:vAlign w:val="bottom"/>
          </w:tcPr>
          <w:p>
            <w:pPr>
              <w:spacing w:after="0"/>
              <w:rPr>
                <w:sz w:val="1"/>
                <w:szCs w:val="1"/>
                <w:color w:val="auto"/>
              </w:rPr>
            </w:pPr>
          </w:p>
        </w:tc>
      </w:tr>
      <w:tr>
        <w:trPr>
          <w:trHeight w:val="148"/>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Expiry Date</w:t>
            </w:r>
          </w:p>
        </w:tc>
        <w:tc>
          <w:tcPr>
            <w:tcW w:w="16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life to expiry</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0" w:type="dxa"/>
            <w:vAlign w:val="bottom"/>
          </w:tcPr>
          <w:p>
            <w:pPr>
              <w:spacing w:after="0"/>
              <w:rPr>
                <w:sz w:val="1"/>
                <w:szCs w:val="1"/>
                <w:color w:val="auto"/>
              </w:rPr>
            </w:pPr>
          </w:p>
        </w:tc>
      </w:tr>
      <w:tr>
        <w:trPr>
          <w:trHeight w:val="173"/>
        </w:trPr>
        <w:tc>
          <w:tcPr>
            <w:tcW w:w="5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09"/>
        </w:trPr>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January 27, 2026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0.52 - $2.59</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590,509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 2026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0.22 - $0.52</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1.13</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431,493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0.65 - $8.64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3.42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12,514,385</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3.50</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694,717</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14,300,575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STIP stock options that vested during the year ended December 31, 2024, was $1 million. As at December 31, 2024, all the options are vested and the total unrecognized share-based compensation expense was $nil.</w:t>
      </w:r>
    </w:p>
    <w:p>
      <w:pPr>
        <w:spacing w:after="0" w:line="16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December 31, 2024, the closing market price of the Company’s common shares is considered to be the fair value of the Company’s common share to determine the intrinsic value of outstanding stock options.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intrinsic value of stock options exercised during the year ended December 31, 2024, was $0.7 million.</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year, the Company recognized $47 thousand of share-based compensation expense for STIP stock options in the statement of loss and comprehensive loss (2023: $0.5 million) out of which share-based compensation expense related to exploration and evaluation activities amounted to $14 thousand (2023 - $0.2 million) and the share-based compensation expense recognized related to general and administrative matters amounted to $33 thousand (2023 - $0.3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Outstanding LTIPs under the 2018 plan:</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 March 4, 2021, the Company granted 9,783,922 stock options as LTIP. These stock options have an exercise price of $0.65 per option and expire on June 1, 2028.</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LTIP awards vest as follows:</w:t>
      </w:r>
    </w:p>
    <w:p>
      <w:pPr>
        <w:spacing w:after="0" w:line="225" w:lineRule="exact"/>
        <w:rPr>
          <w:sz w:val="20"/>
          <w:szCs w:val="20"/>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1 - 25% when the Company’s market capitalization equals $3 billion;</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2 - 35% when the Company’s market capitalization equals $6 billion;</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3 - 20% upon the date that the ISA grants an exploitation contract to the Company; and</w:t>
      </w:r>
    </w:p>
    <w:p>
      <w:pPr>
        <w:spacing w:after="0" w:line="9" w:lineRule="exact"/>
        <w:rPr>
          <w:rFonts w:ascii="Times New Roman" w:cs="Times New Roman" w:eastAsia="Times New Roman" w:hAnsi="Times New Roman"/>
          <w:sz w:val="18"/>
          <w:szCs w:val="18"/>
          <w:color w:val="auto"/>
        </w:rPr>
      </w:pPr>
    </w:p>
    <w:p>
      <w:pPr>
        <w:ind w:left="1000" w:hanging="317"/>
        <w:spacing w:after="0" w:line="260"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4 - 20% upon the commencement of the first commercial production following the grant of the exploitation contract.</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expensed these awards ratably over the remaining service period.</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2024, no compensation expense related to the performance-based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LTIP stock options as at December 31, 2024, was $4.5 million. An aggregate 139,048 LTIP stock options were forfeited during 2024 and as at December 31, 2024, none of the LTIP stock options were exercisable. The Company expects LTIP options to vest as and when the market and performance milestones described below are achieved. As at December 31, 2024, an aggregate of 9,644,875 LTIP stock options were outstanding.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2024, total unrecognized share-based compensation expense for the LTIP stock options was $23 million.</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2024, the Company reversed $0.6 million of previously recognized share-based compensation expense to record the forfeiture of unvested LTIP stock options in the statement of loss and comprehensive loss (2023: $nil), evenly apportioned between exploration and evaluation expenses (Note 10) and general and administration expenses.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grant RSUs to directors, officers, employees, and consultants of the Company and its subsidiaries under the Plan. On each vesting date, RSU holders are issued common shares equivalent to the number of RSUs held provided the holder is providing service to the Company on such vesting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RSU activity in 2024 is presented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2022</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3,815,143</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13,669,185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(4,912,748)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12,484,880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33,079,041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(516,685)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(10,734,581)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December 31, 2024</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34,312,655</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details of RSUs granted by the Company during the year are as follows: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Vesting Period</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8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Vesting Immediately </w:t>
            </w:r>
            <w:r>
              <w:rPr>
                <w:rFonts w:ascii="Times New Roman" w:cs="Times New Roman" w:eastAsia="Times New Roman" w:hAnsi="Times New Roman"/>
                <w:sz w:val="24"/>
                <w:szCs w:val="24"/>
                <w:color w:val="auto"/>
                <w:vertAlign w:val="superscript"/>
              </w:rPr>
              <w:t>(1)</w:t>
            </w: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4,538,922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3,561,078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Vesting fully on the first anniversary of the grant date </w:t>
            </w:r>
            <w:r>
              <w:rPr>
                <w:rFonts w:ascii="Times New Roman" w:cs="Times New Roman" w:eastAsia="Times New Roman" w:hAnsi="Times New Roman"/>
                <w:sz w:val="25"/>
                <w:szCs w:val="25"/>
                <w:color w:val="auto"/>
                <w:vertAlign w:val="superscript"/>
              </w:rPr>
              <w:t>(2)</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493,430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1,014,349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Vesting in thirds on each anniversary of the grant date </w:t>
            </w:r>
            <w:r>
              <w:rPr>
                <w:rFonts w:ascii="Times New Roman" w:cs="Times New Roman" w:eastAsia="Times New Roman" w:hAnsi="Times New Roman"/>
                <w:sz w:val="25"/>
                <w:szCs w:val="25"/>
                <w:color w:val="auto"/>
                <w:vertAlign w:val="superscript"/>
              </w:rPr>
              <w:t>(3)</w:t>
            </w:r>
          </w:p>
        </w:tc>
        <w:tc>
          <w:tcPr>
            <w:tcW w:w="1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7,212,374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8,689,481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Vesting in fourths on each anniversary of the grant date</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834,315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404,277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Vesting based on market conditions </w:t>
            </w:r>
            <w:r>
              <w:rPr>
                <w:rFonts w:ascii="Times New Roman" w:cs="Times New Roman" w:eastAsia="Times New Roman" w:hAnsi="Times New Roman"/>
                <w:sz w:val="25"/>
                <w:szCs w:val="25"/>
                <w:color w:val="auto"/>
                <w:vertAlign w:val="superscript"/>
              </w:rPr>
              <w:t>(4)</w:t>
            </w:r>
          </w:p>
        </w:tc>
        <w:tc>
          <w:tcPr>
            <w:tcW w:w="1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Units Granted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33,079,041</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13.669.185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6820" w:type="dxa"/>
            <w:vAlign w:val="bottom"/>
            <w:gridSpan w:val="2"/>
          </w:tcPr>
          <w:p>
            <w:pPr>
              <w:jc w:val="right"/>
              <w:ind w:right="1631"/>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211455</wp:posOffset>
            </wp:positionV>
            <wp:extent cx="15684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680" w:hanging="321"/>
        <w:spacing w:after="0" w:line="231" w:lineRule="auto"/>
        <w:tabs>
          <w:tab w:leader="none" w:pos="680" w:val="left"/>
        </w:tabs>
        <w:numPr>
          <w:ilvl w:val="0"/>
          <w:numId w:val="7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Of the 4,538,922 RSUs granted during 2024 and vesting immediately, 2,812,802 RSUs were issued to settle liabilities with a carrying amount of $4.1 million, at a weighted average grant date fair value of $1.44 per RSU. In addition, the Company granted 662,399 RSUs, to consultants (2023: 274,912 RSUs) resulting in $1.1 million, charged as general and administrative expenses (2023: $0.3 million charged as general and administrative expenses). In 2024, the Company also granted 57,756 RSUs, to consultants as a prepayment for their services (2023: 43,478 units).</w:t>
      </w:r>
    </w:p>
    <w:p>
      <w:pPr>
        <w:spacing w:after="0" w:line="200" w:lineRule="exact"/>
        <w:rPr>
          <w:rFonts w:ascii="Times New Roman" w:cs="Times New Roman" w:eastAsia="Times New Roman" w:hAnsi="Times New Roman"/>
          <w:sz w:val="27"/>
          <w:szCs w:val="27"/>
          <w:color w:val="auto"/>
          <w:vertAlign w:val="superscript"/>
        </w:rPr>
      </w:pPr>
    </w:p>
    <w:p>
      <w:pPr>
        <w:jc w:val="both"/>
        <w:ind w:left="680" w:hanging="321"/>
        <w:spacing w:after="0" w:line="231" w:lineRule="auto"/>
        <w:tabs>
          <w:tab w:leader="none" w:pos="680" w:val="left"/>
        </w:tabs>
        <w:numPr>
          <w:ilvl w:val="0"/>
          <w:numId w:val="7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Of the 493,430 units granted during 2024, an aggregate amount of 476,189 RSUs (2023: 1,014,349 RSUs) were granted to the Company’s non-employee directors under the Company’s Non-employee Director Compensation Policy, which will vest at the Company’s 2025 annual shareholders meeting. The total fair value of units granted as annual grants to non-employee directors amounted to $0.7 million (2023: $0.7 million). The remaining 17,241 units were granted to a director as annual fees for consulting services to be provided, which were fair valued at $25 thousand.</w:t>
      </w:r>
    </w:p>
    <w:p>
      <w:pPr>
        <w:spacing w:after="0" w:line="200" w:lineRule="exact"/>
        <w:rPr>
          <w:rFonts w:ascii="Times New Roman" w:cs="Times New Roman" w:eastAsia="Times New Roman" w:hAnsi="Times New Roman"/>
          <w:sz w:val="27"/>
          <w:szCs w:val="27"/>
          <w:color w:val="auto"/>
          <w:vertAlign w:val="superscript"/>
        </w:rPr>
      </w:pPr>
    </w:p>
    <w:p>
      <w:pPr>
        <w:jc w:val="both"/>
        <w:ind w:left="680" w:hanging="321"/>
        <w:spacing w:after="0" w:line="227" w:lineRule="auto"/>
        <w:tabs>
          <w:tab w:leader="none" w:pos="680" w:val="left"/>
        </w:tabs>
        <w:numPr>
          <w:ilvl w:val="0"/>
          <w:numId w:val="7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Of the 7,212,374 units granted during 2024, the Company granted 7,144,347 RSUs, as payment for the 2023 LTIP awards (2023: 8,645,465 RSUs were issued as payment for the 2022 LTIP awards). The remaining 68,027 units were granted to a non-employee director of the Company as an initial grant, as prescribed under the Company’s Non-employee Director Compensation Policy.</w:t>
      </w:r>
    </w:p>
    <w:p>
      <w:pPr>
        <w:spacing w:after="0" w:line="199" w:lineRule="exact"/>
        <w:rPr>
          <w:rFonts w:ascii="Times New Roman" w:cs="Times New Roman" w:eastAsia="Times New Roman" w:hAnsi="Times New Roman"/>
          <w:sz w:val="27"/>
          <w:szCs w:val="27"/>
          <w:color w:val="auto"/>
          <w:vertAlign w:val="superscript"/>
        </w:rPr>
      </w:pPr>
    </w:p>
    <w:p>
      <w:pPr>
        <w:jc w:val="both"/>
        <w:ind w:left="680" w:hanging="321"/>
        <w:spacing w:after="0" w:line="242" w:lineRule="auto"/>
        <w:tabs>
          <w:tab w:leader="none" w:pos="680" w:val="left"/>
        </w:tabs>
        <w:numPr>
          <w:ilvl w:val="0"/>
          <w:numId w:val="7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On April 16, 2024, the Company entered into a new employment agreement with Gerard Barron, the Company’s Chief Executive Officer and Chairman (the “Employment Agreement”) that replaced and superseded Mr. Barron’s existing employment agreement. Under the Employment Agreement, the Company granted Mr. Barron a one-time signing bonus award of market-based restricted stock units (the “Signing RSUs”) amounting to 20,000,000 of the Company’s common shares. The Signing RSUs will vest upon the common shares achieving the following closing prices per common share, based on the trailing 30-day average price (the “Closing Price”), on or prior to April 16, 2029 (maturity date), subject to Mr. Barron’s continued service with the Company on the applicable vesting date: one-third of the Signing RSUs vest on achievement of a Closing Price of $7.50, a further one-third vest on achievement of a Closing Price of $10.00 and the final one-third vest on achievement of a Closing Price of $12.50 (each subject to equitable adjustment for any stock splits, combinations, reclassifications, stock dividends and the like). Pursuant to the Employment Agreement, Mr. Barron has agreed not to sell any of the common shares issuable upon vesting of the Signing RSUs until after the fifth anniversary of entering into the Employment Agreement.</w:t>
      </w:r>
    </w:p>
    <w:p>
      <w:pPr>
        <w:spacing w:after="0" w:line="199"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options using the Monte-Carlo valuation method. The fair value of each tranche and the derived service period are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1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per RSU</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Derived Service Period</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Achievement of a Closing Price of $7.50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 years from the grant date</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Achievement of a Closing Price of $10</w:t>
            </w:r>
          </w:p>
        </w:tc>
        <w:tc>
          <w:tcPr>
            <w:tcW w:w="96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1.87 years from the grant date</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Achievement of a Closing Price of $12.50</w:t>
            </w:r>
          </w:p>
        </w:tc>
        <w:tc>
          <w:tcPr>
            <w:tcW w:w="960" w:type="dxa"/>
            <w:vAlign w:val="bottom"/>
            <w:gridSpan w:val="2"/>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 years from the grant date</w:t>
            </w:r>
          </w:p>
        </w:tc>
      </w:tr>
      <w:tr>
        <w:trPr>
          <w:trHeight w:val="432"/>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fair value of the Signing RSUs was estimated using the following assumptions: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5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April 16, 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Performance period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April 16, 2024 – April 16, 2029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113.83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Equity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19.56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7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grant date fair value of all RSUs, apart from the Signing RSUs, is equivalent to the closing share price of the Company’s common shares on the date of grant. The grant date fair value of the RSUs vesting based on market conditions was determined</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using the Monte-Carlo valuation method. During the year, a total of $19.5 million was charged to the statement of loss and comprehensive loss as share-based compensation expense for RSUs (2023: $8.6 million) of which share-based compensation expense related to exploration and evaluation activities amounted to $10.7 million (2023 - $4.8 million) and share-based compensation expense related to general and administration matters amounted to $8.8 million (2023 - $3.8 million). As at December 31, 2024, total unrecognized share-based compensation expense for RSUs was $20.5 million (December 31, 2023 - $6.9 million) which is expected to be recognized over 1.24 years. The fair value of shares vested during the year ended December 31, 2024, amounted to $14.1 million (2023 - $8.3 million).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2024, an aggregate of 128,642 vested RSUs were being processed and due to be converted into common shares.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May 31, 2022, TMC’s 2021 Employee Stock Purchase Plan (“ESPP”) was approved at the Company’s 2022 annual shareholders meeting. As of December 31, 2024, there were a total of 10,988,032 common shares reserved for issuance under the ESPP out of which 10,648,622 common shares remained available for future issuance under the ESPP. These amounts include 3,065,587 shares added to the ESPP in January 2024 pursuant to the ESPP’s automatic annual increase provision.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92"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Participation in the ESPP is available to all full-time and certain part-time employees, subject to certain conditions.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exercise date, which is the last business day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ESPP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ESPP includes the following limitations:</w:t>
      </w:r>
    </w:p>
    <w:p>
      <w:pPr>
        <w:spacing w:after="0" w:line="225" w:lineRule="exact"/>
        <w:rPr>
          <w:sz w:val="20"/>
          <w:szCs w:val="20"/>
          <w:color w:val="auto"/>
        </w:rPr>
      </w:pPr>
    </w:p>
    <w:p>
      <w:pPr>
        <w:ind w:left="1000" w:hanging="317"/>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contribution is limited to 15% of the employee’s annual gross earnings, not exceeding the $25,000 annual limit set under the Internal Revenue Code (IRC) established by the Internal Revenue Service (IRS).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purchases in any offering period cannot exceed 15,000 common shares,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purchases are capped, not to exceed 5% of the Company’s total outstanding common shares.</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During 2024, the Company issued 47,809 common shares (2023: 173,672 common shares) to its employees as part of its ESPP program. A total of $37 thousand was charged to the statement of loss and comprehensive loss as share-based compensation expense for the year ended December 31, 2024, representing the share price purchase discount offered by the Company (2023: $47 thousand). From the amount charged in 2024, $19 thousand was recorded in exploration and evaluation expenses (2023: $26 thousand) and $18 thousand was recorded in general and administrative expenses (2023: $21 thousand).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the loss by the weighted-average number of common shares of the Company outstanding during the year.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year presented as the inclusion of all common share equivalents would have been anti-dilutive.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Anti-dilutive equivalent common shares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880" w:type="dxa"/>
            <w:vAlign w:val="bottom"/>
            <w:gridSpan w:val="10"/>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 ended   For the year ended</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220" w:type="dxa"/>
            <w:vAlign w:val="bottom"/>
            <w:gridSpan w:val="3"/>
          </w:tcPr>
          <w:p>
            <w:pPr>
              <w:jc w:val="right"/>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27,885,450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24,858,162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34,312,655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12,484,880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under ESPP</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38,180,770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28,480,770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136,239,964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236,620,721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202,072,578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19. Financial Instruments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Categories of Financial Instruments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6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3,480</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Taxes and other receivables (Note 6)</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0" w:type="dxa"/>
            <w:vAlign w:val="bottom"/>
          </w:tcPr>
          <w:p>
            <w:pPr>
              <w:spacing w:after="0"/>
              <w:rPr>
                <w:sz w:val="1"/>
                <w:szCs w:val="1"/>
                <w:color w:val="auto"/>
              </w:rPr>
            </w:pPr>
          </w:p>
        </w:tc>
      </w:tr>
      <w:tr>
        <w:trPr>
          <w:trHeight w:val="209"/>
        </w:trPr>
        <w:tc>
          <w:tcPr>
            <w:tcW w:w="26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42,754</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11,775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through profit or loss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Royalty liability</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 liability</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69,441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47,303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of the Company’s subsidiaries has a consulting agreement with SSCS Pte. Ltd. (“SSCS”) to manage offshore engineering studies. A director of DGE is employed through SSCS. Consulting services during the year ended December 31, 2024, totaled $75 thousand, (2023: $212 thousand), out of which a total of $53 thousand (2023: $170 thousand), is disclosed as exploration labor within exploration and evaluation expenses (Note 10) and $22 thousand is disclosed as general and administrative expenses (2023: $42 thousand). As at December 31, 2024, the amount payable to SSCS was $nil (December 31, 2023 - $17 thousand).</w:t>
      </w:r>
    </w:p>
    <w:p>
      <w:pPr>
        <w:spacing w:after="0" w:line="142"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of the Company’s directors, who was appointed at the Company’s annual general meeting held on May 31, 2024, is the Chairman of Stonehaven Campaigns Limited and Robertsbridge Consultants Limited, which provide the Company with consulting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services. From May 31, 2024, until December 31, 2024, Stonehaven Campaigns Limited and Robertsbridge Consultants Limited, provided consulting services amounting to $18 thousand and $26 thousand respectively, recorded in general and administrative expenses. As at December 31, 2024, the amount payable to both Stonehaven Campaigns Limited and Robertsbridge Consultants Limited was $nil.</w:t>
      </w:r>
    </w:p>
    <w:p>
      <w:pPr>
        <w:spacing w:after="0" w:line="13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On January 30, 2024, as part of the Registered Direct Offering (Note 13), the Company received the remaining committed funding of $9 million from ERAS Capital LLC, the investment fund of one of the Company’s directors.</w:t>
      </w:r>
    </w:p>
    <w:p>
      <w:pPr>
        <w:spacing w:after="0" w:line="121"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8"/>
          <w:szCs w:val="18"/>
          <w:color w:val="auto"/>
        </w:rPr>
        <w:t>On March 22, 2024, the Company entered into an Unsecured Credit Facility (the “2024 Credit Facility”) with Gerard Barron, the Company’s Chief Executive Officer and Chairman, and ERAS Capital LLC, the family fund of one of the Company’s directors, (collectively, the “2024 Lenders”), pursuant to which, the Company may borrow from the 2024 Lenders up to $20 million in the aggregate ($10 million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The Company will pay an underutilization fee equal to 4.0% per annum payable semi-annually for any amounts that remain undrawn under the 2024 Credit Facility. The Company has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the Company or any of its subsidiaries raise at least $50 million in the aggregate (i) through the issuance of any of the Company’s or its subsidiaries’ debt or equity securities, or (ii) in prepayments under an off-take agreement or similar commercial agreement. On August 13, 2024, the Company entered into the First Amendment to the 2024 Credit Facility with the 2024 Lenders, to increase the borrowing limit of the 2024 Credit Facility to $25 million in the aggregate ($12.5 million from each of the 2024 Lenders). Under the terms of the First Amendment, the borrowing limit will return to $20 million in the aggregate ($10 million from each of the 2024 Lenders) upon certain financing events. On November 14, 2024, the Company entered into the Second Amendment to the 2024 Credit Facility with the 2024 Lenders, to increase the borrowing limit to $38 million in the aggregate ($19 million from each of the 2024 Lenders) and to extend the maturity of the 2024 Credit Facility to December 31, 2025. As per the Second Amendment, the rate of underutilization fee was retroactively increased from March 22, 2024 to 6.5% on any undrawn amounts under the 2024 Credit Facility. On March 26, 2025, the Company entered into the Third Amendment to the 2024 Credit Facility with the 2024 Lenders, to, among other things, increase the borrowing limit to $44 million in the aggregate ($22 million from each of the 2024 Lenders) and extend the maturity of the 2024 Credit Facility to June 30, 2026.</w:t>
      </w:r>
    </w:p>
    <w:p>
      <w:pPr>
        <w:spacing w:after="0" w:line="17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has drawn $4.3 million from the 2024 Credit Facility and incurred $0.2 million as interest expense. During 2024, the Company incurred $1.1 million, as underutilization fees, which would be payable only in the event the 2024 Credit Facility is not drawn down at the time such fees are payable. During the year, the Company repaid interest amounting to $25 thousand, and underutilization fees amounting to $0.1 million to the 2024 Lenders. On January 31, 2025, the Company repaid the drawn amount and outstanding interest on the 2024 Credit Facility amounting to $1.8 million and $0.1 million, respectively.</w:t>
      </w:r>
    </w:p>
    <w:p>
      <w:pPr>
        <w:spacing w:after="0" w:line="14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Apart from the above-mentioned transactions, the Company had transactions with Allseas which are detailed in Note 8 and issued share-based grants to the Company’s directors which are detailed in Note 17.</w:t>
      </w:r>
    </w:p>
    <w:p>
      <w:pPr>
        <w:spacing w:after="0" w:line="158" w:lineRule="exact"/>
        <w:rPr>
          <w:sz w:val="20"/>
          <w:szCs w:val="20"/>
          <w:color w:val="auto"/>
        </w:rPr>
      </w:pPr>
    </w:p>
    <w:p>
      <w:pPr>
        <w:ind w:left="340" w:right="6440" w:hanging="332"/>
        <w:spacing w:after="0" w:line="503" w:lineRule="auto"/>
        <w:tabs>
          <w:tab w:leader="none" w:pos="3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NORI is currently implementing its approved 2022 to 2026 five-year plan. The cost of the estimated work plan for 2025 onwards is dependent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 NORI’s exploration contract expires on July 21, 2026. NORI is required to submit an application for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extension no later than six months before the expiration of the contract. NORI intends to submit an application for a five-year extension in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TOML is currently implementing its approved 2022 to 2026 five-year plan,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w:t>
      </w:r>
    </w:p>
    <w:p>
      <w:pPr>
        <w:spacing w:after="0" w:line="18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On March 8, 2008, Tonga and TOML entered into a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reasonable direct costs incurred by Tonga to administer the obligations of Tonga to the ISA. On September 23, 2021, the Company and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Contingent Liability</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October 28, 2021, a shareholder filed a putative class action against the Company, one of the Company’s executives and a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The Company denies any allegations of wrongdoing and filed and served the plaintiff a motion to dismiss on July 12, 2022 and intend to defend against this lawsuit. On July 12, 2023, an oral hearing on the motion to dismiss was held. The parties are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currently awaiting a ruling. There is no assurance, however, that the Company or the other defendants will be successful in the Company’s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87"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January 23, 2023, investors in the 2021 private placement from the Business Combination filed a lawsuit against the Company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denies any allegations of wrongdoing and filed a motion to dismiss the amended complaint on July 28, 2023. On December 7, 2023, the Court granted the Company’s motion to dismiss the claim for breach of the covenant of good faith and fair dealing and denied the Company’s motion to dismiss the breach of the Subscription Agreement claim. The Company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There is no assurance that the Company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197"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November 8, 2024, a shareholder filed a putative class action against the Company and certain of its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the Company’s initial classification of this non-financial asst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the Company’s securities between May 12, 2023, and March 25, 2024, and seeks to recover compensable damages caused by the alleged wrongdoings. On February 6, 2025, the Court appointed a lead plaintiff. An amended complaint was filed on March 6, 2025. Pursuant to court-approved scheduling, we are expected to serve a motion to dismiss by April 10, 2025, the lead plaintiff is expected to file an opposition by May 15, 2025, and we are expected to reply by June 5, 2025. The Company intends to defend against the lawsuit. There can be no assurance, however, that the Company will be successful in its defense, or that insurance will be available or adequate to fund any settlement or judgment or the litigation costs of this action. Due to the early stage of this litigation, such losses or range of possible losses cannot be reliably estimated.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Fair Value Accounting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assets and liabilities measured at fair value (Note 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 December 31, 2024</w:t>
            </w:r>
          </w:p>
        </w:tc>
        <w:tc>
          <w:tcPr>
            <w:tcW w:w="6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78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3,480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3,480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Exploration contracts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42,951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42,951</w:t>
            </w:r>
          </w:p>
        </w:tc>
        <w:tc>
          <w:tcPr>
            <w:tcW w:w="480" w:type="dxa"/>
            <w:vAlign w:val="bottom"/>
          </w:tcPr>
          <w:p>
            <w:pPr>
              <w:spacing w:after="0"/>
              <w:rPr>
                <w:sz w:val="20"/>
                <w:szCs w:val="20"/>
                <w:color w:val="auto"/>
              </w:rPr>
            </w:pPr>
          </w:p>
        </w:tc>
      </w:tr>
      <w:tr>
        <w:trPr>
          <w:trHeight w:val="626"/>
        </w:trPr>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1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153</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62,998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57,667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42,754</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Royalty liability</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80,116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65,204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14,912</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Fair Value at December 31, 2023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 contracts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liability</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 Details on the geographical segmentation of the Company’s long-lived assets based on where each legal entity is domiciled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Nauru</w:t>
            </w:r>
          </w:p>
        </w:tc>
        <w:tc>
          <w:tcPr>
            <w:tcW w:w="3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Tonga</w:t>
            </w:r>
          </w:p>
        </w:tc>
        <w:tc>
          <w:tcPr>
            <w:tcW w:w="3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940" w:type="dxa"/>
            <w:vAlign w:val="bottom"/>
            <w:gridSpan w:val="2"/>
            <w:vMerge w:val="continue"/>
          </w:tcPr>
          <w:p>
            <w:pPr>
              <w:spacing w:after="0"/>
              <w:rPr>
                <w:sz w:val="15"/>
                <w:szCs w:val="15"/>
                <w:color w:val="auto"/>
              </w:rPr>
            </w:pPr>
          </w:p>
        </w:tc>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3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8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2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3"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Reconciliation of Effective Tax Rate</w:t>
      </w:r>
    </w:p>
    <w:p>
      <w:pPr>
        <w:spacing w:after="0" w:line="22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Canadian federal and provincial tax for the estimated assessable profit at a rate of 26.72% for the year ended December 31, 2024 (2023: 26.68%). The Company had no assessable profit in Canada for all periods disclosed.</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expense at statutory rates for the Company can be reconciled to the reported loss for the years 2024 and 2023 per the statement of loss and comprehensive loss as follows:</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6"/>
        </w:trPr>
        <w:tc>
          <w:tcPr>
            <w:tcW w:w="24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5"/>
        </w:trPr>
        <w:tc>
          <w:tcPr>
            <w:tcW w:w="2460" w:type="dxa"/>
            <w:vAlign w:val="bottom"/>
            <w:tcBorders>
              <w:bottom w:val="single" w:sz="8" w:color="CCEEFF"/>
            </w:tcBorders>
          </w:tcPr>
          <w:p>
            <w:pPr>
              <w:spacing w:after="0"/>
              <w:rPr>
                <w:sz w:val="15"/>
                <w:szCs w:val="15"/>
                <w:color w:val="auto"/>
              </w:rPr>
            </w:pPr>
          </w:p>
        </w:tc>
        <w:tc>
          <w:tcPr>
            <w:tcW w:w="3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20"/>
                <w:szCs w:val="20"/>
                <w:b w:val="1"/>
                <w:bCs w:val="1"/>
                <w:color w:val="auto"/>
                <w:vertAlign w:val="superscript"/>
              </w:rPr>
              <w:t>(1)</w:t>
            </w:r>
          </w:p>
        </w:tc>
        <w:tc>
          <w:tcPr>
            <w:tcW w:w="180" w:type="dxa"/>
            <w:vAlign w:val="bottom"/>
            <w:tcBorders>
              <w:bottom w:val="single" w:sz="8" w:color="CCEEFF"/>
            </w:tcBorders>
          </w:tcPr>
          <w:p>
            <w:pPr>
              <w:spacing w:after="0"/>
              <w:rPr>
                <w:sz w:val="15"/>
                <w:szCs w:val="15"/>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 before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(81,895)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(73,740)</w:t>
            </w:r>
          </w:p>
        </w:tc>
        <w:tc>
          <w:tcPr>
            <w:tcW w:w="18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Federal and Provincial income tax rates</w:t>
            </w: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26.72 %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26.68 %</w:t>
            </w:r>
          </w:p>
        </w:tc>
      </w:tr>
      <w:tr>
        <w:trPr>
          <w:trHeight w:val="209"/>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 based on the above rates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(21,882)</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8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differences in future and foreign tax rates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80" w:type="dxa"/>
            <w:vAlign w:val="bottom"/>
            <w:shd w:val="clear" w:color="auto" w:fill="CCEEFF"/>
          </w:tcPr>
          <w:p>
            <w:pPr>
              <w:spacing w:after="0"/>
              <w:rPr>
                <w:sz w:val="18"/>
                <w:szCs w:val="18"/>
                <w:color w:val="auto"/>
              </w:rPr>
            </w:pPr>
          </w:p>
        </w:tc>
      </w:tr>
      <w:tr>
        <w:trPr>
          <w:trHeight w:val="216"/>
        </w:trPr>
        <w:tc>
          <w:tcPr>
            <w:tcW w:w="5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Valuation allowance changes affecting the provision of income taxes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5,004</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80" w:type="dxa"/>
            <w:vAlign w:val="bottom"/>
            <w:tcBorders>
              <w:bottom w:val="single" w:sz="8" w:color="CCEEFF"/>
            </w:tcBorders>
          </w:tcPr>
          <w:p>
            <w:pPr>
              <w:spacing w:after="0"/>
              <w:rPr>
                <w:sz w:val="18"/>
                <w:szCs w:val="18"/>
                <w:color w:val="auto"/>
              </w:rPr>
            </w:pPr>
          </w:p>
        </w:tc>
      </w:tr>
      <w:tr>
        <w:trPr>
          <w:trHeight w:val="209"/>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r>
      <w:tr>
        <w:trPr>
          <w:trHeight w:val="102"/>
        </w:trPr>
        <w:tc>
          <w:tcPr>
            <w:tcW w:w="246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76" w:lineRule="exact"/>
        <w:rPr>
          <w:sz w:val="20"/>
          <w:szCs w:val="20"/>
          <w:color w:val="auto"/>
        </w:rPr>
      </w:pPr>
    </w:p>
    <w:p>
      <w:pPr>
        <w:ind w:left="340" w:right="1600" w:hanging="8"/>
        <w:spacing w:after="0" w:line="400" w:lineRule="auto"/>
        <w:tabs>
          <w:tab w:leader="none" w:pos="685"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Comparative amounts for the year ended December 31, 2023 are restated based on actual tax returns filed. The Company currently has no uncertain tax positions and is therefore not reflecting any adjustments.</w:t>
      </w:r>
    </w:p>
    <w:p>
      <w:pPr>
        <w:spacing w:after="0" w:line="1" w:lineRule="exact"/>
        <w:rPr>
          <w:rFonts w:ascii="Times New Roman" w:cs="Times New Roman" w:eastAsia="Times New Roman" w:hAnsi="Times New Roman"/>
          <w:sz w:val="27"/>
          <w:szCs w:val="27"/>
          <w:color w:val="auto"/>
          <w:vertAlign w:val="superscript"/>
        </w:rPr>
      </w:pPr>
    </w:p>
    <w:p>
      <w:pPr>
        <w:ind w:left="3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Components of the Company’s deferred income tax assets (liabilities)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Non-capital losses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 issuance costs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26,412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asset recognized</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59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Difference between the book value and the tax basis of the TOML exploration</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 (Note 10)</w:t>
            </w:r>
          </w:p>
        </w:tc>
        <w:tc>
          <w:tcPr>
            <w:tcW w:w="340" w:type="dxa"/>
            <w:vAlign w:val="bottom"/>
            <w:gridSpan w:val="2"/>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 recognized</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63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Deductible temporary differences, unused tax losses and unused tax credits are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Expiry Date Range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Non-capital losses</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100,995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89,333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2,856</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1,860</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2025-2028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interest and financing expenses</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at December 31, 2024, the Company had non-capital loss carry-forwards of $101.0 million that may be used to offset future taxable income.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losses, if not utilized, will expire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32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Tonga</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2035</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2041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2042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2043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2044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 expiry</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42,566</w:t>
            </w:r>
          </w:p>
        </w:tc>
      </w:tr>
      <w:tr>
        <w:trPr>
          <w:trHeight w:val="20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carry-forwards</w:t>
            </w: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37,884</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20,361</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42,566</w:t>
            </w:r>
          </w:p>
        </w:tc>
      </w:tr>
      <w:tr>
        <w:trPr>
          <w:trHeight w:val="20"/>
        </w:trPr>
        <w:tc>
          <w:tcPr>
            <w:tcW w:w="3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The Company files income tax returns in Canada, the United States, Singapore and Tonga, and is subject to examination in these jurisdictions for all years since the Company’s inception in 2011. As at December 31, 2024,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 at December 31, 2024, the 2024 tax year filings for the Company and its subsidiaries (where applicable) remain unfiled and have not been assessed by the relative tax authorities.</w:t>
      </w:r>
    </w:p>
    <w:p>
      <w:pPr>
        <w:spacing w:after="0" w:line="184"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24, 2025, we entered into a Letter Agreement (the “Letter Agreement”) with Allseas Investments and Argentum Cedit Virtuti GCV, pursuant to which the repayment date under our Working Capital Loan agreement with Allseas Investments dated September 9, 2024 was extended to September 30, 2025.</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under the Letter Agreement, we and Argentum Cedit Virtuti GCV agreed to cancel the unsecured credit facility established in 2023 with no outstanding amounts remaining, other than our obligation to pay the underutilization fee thereunder.</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27, 2025, the Company announced that it initiated a process with the U.S. National Oceanic and Atmospheric Administration and the U.S. Department of Commerce under the U.S. Deep Seabed Hard Mineral Resources Act to consider a U.S.-based regulatory pathway for the commercial production of deep-sea polymetallic nodules in the CCZ.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and considering the previously reported material weakness as described below, our Chief Executive Officer and Chief Financial Officer concluded that our disclosure controls and procedures were not effective as of December 31, 2024.</w:t>
      </w:r>
    </w:p>
    <w:p>
      <w:pPr>
        <w:spacing w:after="0" w:line="1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The company’s internal control over financial reporting includes those policies and procedures that:</w:t>
      </w:r>
    </w:p>
    <w:p>
      <w:pPr>
        <w:spacing w:after="0" w:line="160" w:lineRule="exact"/>
        <w:rPr>
          <w:sz w:val="20"/>
          <w:szCs w:val="20"/>
          <w:color w:val="auto"/>
        </w:rPr>
      </w:pPr>
    </w:p>
    <w:p>
      <w:pPr>
        <w:ind w:left="680" w:hanging="321"/>
        <w:spacing w:after="0" w:line="268"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left="680" w:hanging="321"/>
        <w:spacing w:after="0" w:line="29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2024,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assessment, our management concluded that, as of December 31, 2024, our internal control over financial reporting, were not effective, as a result of the material weakness discussed below.</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2023 (the “2023 Annual Report on Form 10-K”), management identified a material weakness in the operating effectiveness of our internal control over the accounting for significant, non-routine transactions that resulted from the inadequate and untimely involvement of stakeholders and technical advisors with an appropriate level of expertise to account for significant, non-routine transactions.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material weakness resulted in errors in the financial statements and related disclosures in our Quarterly Reports on Form 10-Q for the quarter ended March 31, 2023, and for the six months ended June 30, 2023 and nine months ended September 30, 2023. See Note 23 to the audited consolidated financial statements for the year ended December 31, 2023, included in our 2023 Annual Report on Form 10-K for more information about these errors and our revisions to these previously issued financial statements.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remediate this material weakness, during 2024, we developed a policy to assist with the identification of significant, non-routine transactions and to define the processes to follow in addressing the accounting and reporting requirements of these transactions. In addition, we rolled out training on processes and controls related to significant, non-routine transactions and identifying circumstances under which we use technical advisors in connection with evaluating such transactions. During the fourth quarter of the year ended December 31, 2024, we identified a significant, non-routine transaction that occurred and we applied the processes as required under the new policy. Although management believes the new policy, processes and training worked effectively for this significant, non-routine transaction, the new internal control over significant, non-routine transactions needs to be in operation and tested for sufficient instances to be considered effective and, therefore, these changes can only be deemed effective once they have been in place over a longer time period and applied in additional instances.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continue to review the effectiveness of our newly implemented controls and make improvements as warranted. This is no assurance, however, that these control modifications will ultimately have the intended effects.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 management has concluded that our audited financial statements included in this Annual Report on Form 10-K are fairly stated in all material respects in accordance with U.S. GAAP for each of the periods presented therein.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noted above, there were no changes in our internal control over financial reporting identified in connection with the evaluation of such internal control that occurred during the fourth quarter of the year ended December 31,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of Credit Facility with ERAS Capital LLC and Gerard Barron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26, 2025, we entered into the Third Amendment to increase the borrowing limit to $44 million in the aggregate ($22 million from each of the 2024 Lenders) and to extend the maturity of the 2024 Credit Facility to June 30, 2026. The Third Amendment also provides that the 2024 Lenders may extend the term of the 2024 Credit Facility by up to two additional one-year periods (until June 30, 2028 at the latest) and that the 2024 Lenders may terminate the 2024 Credit Facility upon certain company financings. The foregoing description of the Third Amendment does not purport to be a complete description of the rights and obligations of the parties thereunder and is qualified in its entirety by reference to the full text of the Third Amendment attached as Exhibit 10.45 to this Annual Report and incorporated herein by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of Allseas Working Capital Loan Agreement and Termination of Allseas 2023 Credit Facility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24, 2025, we entered into a Letter Agreement (the “Letter Agreement”) with Allseas Investments SA (“Allseas Investments”) and Argentum Cedit Virtuti GCV, pursuant to which the repayment date under our working capital loan agreement with Allseas Investments dated September 9, 2024 was extended to September 30,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under the Letter Agreement, we and Argentum Cedit Virtuti GCV agreed to cancel the unsecured credit facility established in 2023 with no outstanding amounts remaining, other than our obligation to pay the underutilization fee thereunder.</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Letter Agreement does not purport to be a complete description of the rights and obligations of the parties thereunder and is qualified in its entirety by reference to the full text of the Letter Agreement attached as Exhibit 10.41 to this Annual Report and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quarter ended December 31, 2024,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10.DIRECTORS, EXECUTIVE OFFICERS AND CORPORATE GOVERNANCE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“Management and Corporate Governance,” “Code of Business Conduct and Ethics” and “Delinquent Section 16(a) Reports”, if applicable, in our Proxy Statement for the 2025 annual meeting of shareholders (the “Proxy Statement”) to be filed with the SEC within 120 days of the fiscal year ended December 31, 2024 and any other applicable sections of the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“Executive Officer and Director Compensation” in the Proxy Statement and any other applicable sections of the Proxy Statement.</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12.SECURITY OWNERSHIP OF CERTAIN BENEFICIAL OWNERS AND MANAGEMENT AND RELATED STOCKHOLDER MATTERS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“Security Ownership of Certain Beneficial Owners and Management” and “Equity Compensation Plan Information” in the Proxy Statement and any other applicable sections of the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13.CERTAIN RELATIONSHIPS AND RELATED TRANSACTIONS, AND DIRECTOR INDEPENDENCE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“Certain Relationships and Related Person Transactions” and “Management and Corporate Governance” in the Proxy Statement and any other applicable sections of the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14.PRINCIPAL ACCOUNTANT FEES AND SERVICES</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“Proposal No. 3 - Appointment of the Independent Registered Public Accounting Firm” in the Proxy Statement and any other applicable sections of the Proxy Statement.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 AND FINANCIAL STATEMENT SCHEDULES</w:t>
      </w:r>
    </w:p>
    <w:p>
      <w:pPr>
        <w:spacing w:after="0" w:line="225" w:lineRule="exact"/>
        <w:rPr>
          <w:sz w:val="20"/>
          <w:szCs w:val="20"/>
          <w:color w:val="auto"/>
        </w:rPr>
      </w:pPr>
    </w:p>
    <w:p>
      <w:pPr>
        <w:ind w:left="640" w:hanging="308"/>
        <w:spacing w:after="0"/>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Financial Statements and Financial Statement Schedules” under Part II, Item 8 to this Annual Report.</w:t>
      </w:r>
    </w:p>
    <w:p>
      <w:pPr>
        <w:spacing w:after="0" w:line="221" w:lineRule="exact"/>
        <w:rPr>
          <w:sz w:val="20"/>
          <w:szCs w:val="20"/>
          <w:color w:val="auto"/>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not been included because they are not applicable or the information is included in the financial statements or notes thereto.</w:t>
      </w:r>
    </w:p>
    <w:p>
      <w:pPr>
        <w:spacing w:after="0" w:line="158" w:lineRule="exact"/>
        <w:rPr>
          <w:sz w:val="20"/>
          <w:szCs w:val="20"/>
          <w:color w:val="auto"/>
        </w:rPr>
      </w:pPr>
    </w:p>
    <w:p>
      <w:pPr>
        <w:ind w:left="640" w:hanging="308"/>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4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Incorporated by</w:t>
            </w:r>
          </w:p>
        </w:tc>
        <w:tc>
          <w:tcPr>
            <w:tcW w:w="104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780" w:type="dxa"/>
            <w:vAlign w:val="bottom"/>
            <w:tcBorders>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1780" w:type="dxa"/>
            <w:vAlign w:val="bottom"/>
            <w:tcBorders>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herein from</w:t>
            </w: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SEC</w:t>
            </w:r>
          </w:p>
        </w:tc>
        <w:tc>
          <w:tcPr>
            <w:tcW w:w="0" w:type="dxa"/>
            <w:vAlign w:val="bottom"/>
          </w:tcPr>
          <w:p>
            <w:pPr>
              <w:spacing w:after="0"/>
              <w:rPr>
                <w:sz w:val="1"/>
                <w:szCs w:val="1"/>
                <w:color w:val="auto"/>
              </w:rPr>
            </w:pPr>
          </w:p>
        </w:tc>
      </w:tr>
      <w:tr>
        <w:trPr>
          <w:trHeight w:val="203"/>
        </w:trPr>
        <w:tc>
          <w:tcPr>
            <w:tcW w:w="940" w:type="dxa"/>
            <w:vAlign w:val="bottom"/>
            <w:tcBorders>
              <w:left w:val="single" w:sz="8" w:color="auto"/>
              <w:right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jc w:val="center"/>
              <w:ind w:left="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this</w:t>
            </w:r>
          </w:p>
        </w:tc>
        <w:tc>
          <w:tcPr>
            <w:tcW w:w="1780" w:type="dxa"/>
            <w:vAlign w:val="bottom"/>
            <w:tcBorders>
              <w:right w:val="single" w:sz="8" w:color="auto"/>
            </w:tcBorders>
          </w:tcPr>
          <w:p>
            <w:pPr>
              <w:jc w:val="center"/>
              <w:ind w:lef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Form or</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File/Reg.</w:t>
            </w:r>
          </w:p>
        </w:tc>
        <w:tc>
          <w:tcPr>
            <w:tcW w:w="0" w:type="dxa"/>
            <w:vAlign w:val="bottom"/>
          </w:tcPr>
          <w:p>
            <w:pPr>
              <w:spacing w:after="0"/>
              <w:rPr>
                <w:sz w:val="1"/>
                <w:szCs w:val="1"/>
                <w:color w:val="auto"/>
              </w:rPr>
            </w:pPr>
          </w:p>
        </w:tc>
      </w:tr>
      <w:tr>
        <w:trPr>
          <w:trHeight w:val="252"/>
        </w:trPr>
        <w:tc>
          <w:tcPr>
            <w:tcW w:w="9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180" w:type="dxa"/>
            <w:vAlign w:val="bottom"/>
            <w:tcBorders>
              <w:bottom w:val="single" w:sz="8" w:color="auto"/>
              <w:right w:val="single" w:sz="8" w:color="auto"/>
            </w:tcBorders>
            <w:gridSpan w:val="15"/>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17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10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69"/>
        </w:trPr>
        <w:tc>
          <w:tcPr>
            <w:tcW w:w="94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shd w:val="clear" w:color="auto" w:fill="CCEEFF"/>
          </w:tcPr>
          <w:p>
            <w:pPr>
              <w:spacing w:after="0"/>
              <w:rPr>
                <w:sz w:val="14"/>
                <w:szCs w:val="14"/>
                <w:color w:val="auto"/>
              </w:rPr>
            </w:pPr>
          </w:p>
        </w:tc>
        <w:tc>
          <w:tcPr>
            <w:tcW w:w="3340" w:type="dxa"/>
            <w:vAlign w:val="bottom"/>
            <w:tcBorders>
              <w:bottom w:val="single" w:sz="8" w:color="0000EE"/>
            </w:tcBorders>
            <w:gridSpan w:val="9"/>
            <w:shd w:val="clear" w:color="auto" w:fill="CCEEFF"/>
          </w:tcPr>
          <w:p>
            <w:pPr>
              <w:spacing w:after="0" w:line="15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Business Combination Agreement, dated as of</w:t>
              </w:r>
            </w:hyperlink>
          </w:p>
        </w:tc>
        <w:tc>
          <w:tcPr>
            <w:tcW w:w="640" w:type="dxa"/>
            <w:vAlign w:val="bottom"/>
            <w:tcBorders>
              <w:bottom w:val="single" w:sz="8" w:color="CCEEFF"/>
              <w:right w:val="single" w:sz="8" w:color="auto"/>
            </w:tcBorders>
            <w:gridSpan w:val="8"/>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Borders>
              <w:bottom w:val="single" w:sz="8" w:color="CCEEFF"/>
              <w:right w:val="single" w:sz="8" w:color="auto"/>
            </w:tcBorders>
            <w:shd w:val="clear" w:color="auto" w:fill="CCEE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9"/>
              </w:rPr>
              <w:t>3/4/2021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March 4, 2021, by and among Sustainable</w:t>
              </w:r>
            </w:hyperlink>
          </w:p>
        </w:tc>
        <w:tc>
          <w:tcPr>
            <w:tcW w:w="940" w:type="dxa"/>
            <w:vAlign w:val="bottom"/>
            <w:tcBorders>
              <w:bottom w:val="single" w:sz="8" w:color="CCEEFF"/>
              <w:right w:val="single" w:sz="8" w:color="auto"/>
            </w:tcBorders>
            <w:gridSpan w:val="11"/>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Opportunities Acquisition Corp., 1291924 B.C.</w:t>
              </w:r>
            </w:hyperlink>
          </w:p>
        </w:tc>
        <w:tc>
          <w:tcPr>
            <w:tcW w:w="560" w:type="dxa"/>
            <w:vAlign w:val="bottom"/>
            <w:tcBorders>
              <w:bottom w:val="single" w:sz="8" w:color="CCEEFF"/>
              <w:right w:val="single" w:sz="8" w:color="auto"/>
            </w:tcBorders>
            <w:gridSpan w:val="6"/>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980" w:type="dxa"/>
            <w:vAlign w:val="bottom"/>
            <w:tcBorders>
              <w:right w:val="single" w:sz="8" w:color="auto"/>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Unlimited Liability Company and DeepGreen</w:t>
              </w:r>
            </w:hyperlink>
          </w:p>
        </w:tc>
        <w:tc>
          <w:tcPr>
            <w:tcW w:w="8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3300" w:type="dxa"/>
            <w:vAlign w:val="bottom"/>
            <w:tcBorders>
              <w:top w:val="single" w:sz="8" w:color="0000EE"/>
              <w:bottom w:val="single" w:sz="8" w:color="auto"/>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Metals Inc.</w:t>
              </w:r>
            </w:hyperlink>
          </w:p>
        </w:tc>
        <w:tc>
          <w:tcPr>
            <w:tcW w:w="680" w:type="dxa"/>
            <w:vAlign w:val="bottom"/>
            <w:tcBorders>
              <w:top w:val="single" w:sz="8" w:color="CCEEFF"/>
              <w:bottom w:val="single" w:sz="8" w:color="auto"/>
              <w:right w:val="single" w:sz="8" w:color="auto"/>
            </w:tcBorders>
            <w:gridSpan w:val="9"/>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4"/>
                <w:szCs w:val="14"/>
                <w:color w:val="auto"/>
              </w:rPr>
            </w:pPr>
          </w:p>
        </w:tc>
        <w:tc>
          <w:tcPr>
            <w:tcW w:w="3980" w:type="dxa"/>
            <w:vAlign w:val="bottom"/>
            <w:tcBorders>
              <w:right w:val="single" w:sz="8" w:color="auto"/>
            </w:tcBorders>
            <w:gridSpan w:val="17"/>
          </w:tcPr>
          <w:p>
            <w:pPr>
              <w:spacing w:after="0" w:line="15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Notice of Articles of TMC the metals company Inc.</w:t>
              </w:r>
            </w:hyperlink>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Borders>
              <w:right w:val="single" w:sz="8" w:color="auto"/>
            </w:tcBorders>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60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12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(Exhibit 3.1)</w:t>
            </w:r>
          </w:p>
        </w:tc>
        <w:tc>
          <w:tcPr>
            <w:tcW w:w="1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17"/>
            <w:shd w:val="clear" w:color="auto" w:fill="CCEEFF"/>
          </w:tcPr>
          <w:p>
            <w:pPr>
              <w:spacing w:after="0" w:line="15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Articles of TMC the metals company Inc.</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76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600" w:type="dxa"/>
            <w:vAlign w:val="bottom"/>
            <w:tcBorders>
              <w:top w:val="single" w:sz="8" w:color="0000EE"/>
              <w:bottom w:val="single" w:sz="8" w:color="auto"/>
            </w:tcBorders>
            <w:shd w:val="clear" w:color="auto" w:fill="CCEEFF"/>
          </w:tcPr>
          <w:p>
            <w:pPr>
              <w:spacing w:after="0"/>
              <w:rPr>
                <w:sz w:val="20"/>
                <w:szCs w:val="20"/>
                <w:color w:val="auto"/>
              </w:rPr>
            </w:pPr>
          </w:p>
        </w:tc>
        <w:tc>
          <w:tcPr>
            <w:tcW w:w="380" w:type="dxa"/>
            <w:vAlign w:val="bottom"/>
            <w:tcBorders>
              <w:top w:val="single" w:sz="8" w:color="0000EE"/>
              <w:bottom w:val="single" w:sz="8" w:color="auto"/>
            </w:tcBorders>
            <w:shd w:val="clear" w:color="auto" w:fill="CCEEFF"/>
          </w:tcPr>
          <w:p>
            <w:pPr>
              <w:spacing w:after="0"/>
              <w:rPr>
                <w:sz w:val="20"/>
                <w:szCs w:val="20"/>
                <w:color w:val="auto"/>
              </w:rPr>
            </w:pPr>
          </w:p>
        </w:tc>
        <w:tc>
          <w:tcPr>
            <w:tcW w:w="12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(Exhibit 3.2)</w:t>
            </w: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4"/>
                <w:szCs w:val="14"/>
                <w:color w:val="auto"/>
              </w:rPr>
            </w:pPr>
          </w:p>
        </w:tc>
        <w:tc>
          <w:tcPr>
            <w:tcW w:w="3980" w:type="dxa"/>
            <w:vAlign w:val="bottom"/>
            <w:tcBorders>
              <w:right w:val="single" w:sz="8" w:color="auto"/>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80" w:type="dxa"/>
            <w:vAlign w:val="bottom"/>
          </w:tcPr>
          <w:p>
            <w:pPr>
              <w:spacing w:after="0"/>
              <w:rPr>
                <w:sz w:val="14"/>
                <w:szCs w:val="14"/>
                <w:color w:val="auto"/>
              </w:rPr>
            </w:pPr>
          </w:p>
        </w:tc>
        <w:tc>
          <w:tcPr>
            <w:tcW w:w="6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shd w:val="clear" w:color="auto" w:fill="CCEEFF"/>
          </w:tcPr>
          <w:p>
            <w:pPr>
              <w:spacing w:after="0"/>
              <w:rPr>
                <w:sz w:val="14"/>
                <w:szCs w:val="14"/>
                <w:color w:val="auto"/>
              </w:rPr>
            </w:pPr>
          </w:p>
        </w:tc>
        <w:tc>
          <w:tcPr>
            <w:tcW w:w="3360" w:type="dxa"/>
            <w:vAlign w:val="bottom"/>
            <w:tcBorders>
              <w:bottom w:val="single" w:sz="8" w:color="0000EE"/>
            </w:tcBorders>
            <w:gridSpan w:val="10"/>
            <w:shd w:val="clear" w:color="auto" w:fill="CCEEFF"/>
          </w:tcPr>
          <w:p>
            <w:pPr>
              <w:spacing w:after="0" w:line="15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TMC the metals company Inc. Common Share</w:t>
              </w:r>
            </w:hyperlink>
          </w:p>
        </w:tc>
        <w:tc>
          <w:tcPr>
            <w:tcW w:w="620" w:type="dxa"/>
            <w:vAlign w:val="bottom"/>
            <w:tcBorders>
              <w:bottom w:val="single" w:sz="8" w:color="CCEEFF"/>
              <w:right w:val="single" w:sz="8" w:color="auto"/>
            </w:tcBorders>
            <w:gridSpan w:val="7"/>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Borders>
              <w:bottom w:val="single" w:sz="8" w:color="CCEEFF"/>
              <w:right w:val="single" w:sz="8" w:color="auto"/>
            </w:tcBorders>
            <w:shd w:val="clear" w:color="auto" w:fill="CCEE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980" w:type="dxa"/>
            <w:vAlign w:val="bottom"/>
            <w:tcBorders>
              <w:bottom w:val="single" w:sz="8" w:color="auto"/>
              <w:right w:val="single" w:sz="8" w:color="auto"/>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Certificate</w:t>
              </w:r>
            </w:hyperlink>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(Exhibit 4.1)</w:t>
            </w: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4"/>
                <w:szCs w:val="14"/>
                <w:color w:val="auto"/>
              </w:rPr>
            </w:pPr>
          </w:p>
        </w:tc>
        <w:tc>
          <w:tcPr>
            <w:tcW w:w="3980" w:type="dxa"/>
            <w:vAlign w:val="bottom"/>
            <w:tcBorders>
              <w:bottom w:val="single" w:sz="8" w:color="0000EE"/>
              <w:right w:val="single" w:sz="8" w:color="auto"/>
            </w:tcBorders>
            <w:gridSpan w:val="17"/>
          </w:tcPr>
          <w:p>
            <w:pPr>
              <w:spacing w:after="0" w:line="15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Warrant Agreement, dated as of May 8, 2020, between</w:t>
              </w:r>
            </w:hyperlink>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w w:val="99"/>
              </w:rPr>
              <w:t>Form S-1</w:t>
            </w:r>
          </w:p>
        </w:tc>
        <w:tc>
          <w:tcPr>
            <w:tcW w:w="1040" w:type="dxa"/>
            <w:vAlign w:val="bottom"/>
            <w:tcBorders>
              <w:right w:val="single" w:sz="8" w:color="auto"/>
            </w:tcBorders>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8"/>
              </w:rPr>
              <w:t>10/7/2021</w:t>
            </w:r>
          </w:p>
        </w:tc>
        <w:tc>
          <w:tcPr>
            <w:tcW w:w="1280" w:type="dxa"/>
            <w:vAlign w:val="bottom"/>
            <w:tcBorders>
              <w:right w:val="single" w:sz="8" w:color="auto"/>
            </w:tcBorders>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rPr>
              <w:t>333-260126</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Continental Stock Transfer &amp; Trust Company and</w:t>
              </w:r>
            </w:hyperlink>
          </w:p>
        </w:tc>
        <w:tc>
          <w:tcPr>
            <w:tcW w:w="380" w:type="dxa"/>
            <w:vAlign w:val="bottom"/>
            <w:tcBorders>
              <w:right w:val="single" w:sz="8" w:color="auto"/>
            </w:tcBorders>
            <w:gridSpan w:val="5"/>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(Exhibit 4.2)</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17"/>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Sustainable Opportunities Acquisition Corp.</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17"/>
            <w:shd w:val="clear" w:color="auto" w:fill="CCEEFF"/>
          </w:tcPr>
          <w:p>
            <w:pPr>
              <w:spacing w:after="0" w:line="15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Form of Class A Warrant to Purchase Common Stock</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8"/>
              </w:rPr>
              <w:t>8/14/2023</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76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600" w:type="dxa"/>
            <w:vAlign w:val="bottom"/>
            <w:tcBorders>
              <w:top w:val="single" w:sz="8" w:color="0000EE"/>
              <w:bottom w:val="single" w:sz="8" w:color="auto"/>
            </w:tcBorders>
            <w:shd w:val="clear" w:color="auto" w:fill="CCEEFF"/>
          </w:tcPr>
          <w:p>
            <w:pPr>
              <w:spacing w:after="0"/>
              <w:rPr>
                <w:sz w:val="20"/>
                <w:szCs w:val="20"/>
                <w:color w:val="auto"/>
              </w:rPr>
            </w:pPr>
          </w:p>
        </w:tc>
        <w:tc>
          <w:tcPr>
            <w:tcW w:w="380" w:type="dxa"/>
            <w:vAlign w:val="bottom"/>
            <w:tcBorders>
              <w:top w:val="single" w:sz="8" w:color="0000EE"/>
              <w:bottom w:val="single" w:sz="8" w:color="auto"/>
            </w:tcBorders>
            <w:shd w:val="clear" w:color="auto" w:fill="CCEEFF"/>
          </w:tcPr>
          <w:p>
            <w:pPr>
              <w:spacing w:after="0"/>
              <w:rPr>
                <w:sz w:val="20"/>
                <w:szCs w:val="20"/>
                <w:color w:val="auto"/>
              </w:rPr>
            </w:pPr>
          </w:p>
        </w:tc>
        <w:tc>
          <w:tcPr>
            <w:tcW w:w="12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16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180" w:type="dxa"/>
            <w:vAlign w:val="bottom"/>
            <w:tcBorders>
              <w:top w:val="single" w:sz="8" w:color="0000EE"/>
              <w:bottom w:val="single" w:sz="8" w:color="auto"/>
            </w:tcBorders>
            <w:shd w:val="clear" w:color="auto" w:fill="CCEEFF"/>
          </w:tcPr>
          <w:p>
            <w:pPr>
              <w:spacing w:after="0"/>
              <w:rPr>
                <w:sz w:val="20"/>
                <w:szCs w:val="20"/>
                <w:color w:val="auto"/>
              </w:rPr>
            </w:pPr>
          </w:p>
        </w:tc>
        <w:tc>
          <w:tcPr>
            <w:tcW w:w="12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(Exhibit 4.1)</w:t>
            </w: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4"/>
                <w:szCs w:val="14"/>
                <w:color w:val="auto"/>
              </w:rPr>
            </w:pPr>
          </w:p>
        </w:tc>
        <w:tc>
          <w:tcPr>
            <w:tcW w:w="3980" w:type="dxa"/>
            <w:vAlign w:val="bottom"/>
            <w:tcBorders>
              <w:right w:val="single" w:sz="8" w:color="auto"/>
            </w:tcBorders>
            <w:gridSpan w:val="17"/>
          </w:tcPr>
          <w:p>
            <w:pPr>
              <w:spacing w:after="0" w:line="15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Form of Class B Warrant to Purchase Common Stock</w:t>
              </w:r>
            </w:hyperlink>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40" w:type="dxa"/>
            <w:vAlign w:val="bottom"/>
            <w:tcBorders>
              <w:right w:val="single" w:sz="8" w:color="auto"/>
            </w:tcBorders>
          </w:tcPr>
          <w:p>
            <w:pPr>
              <w:jc w:val="center"/>
              <w:ind w:left="10"/>
              <w:spacing w:after="0" w:line="156" w:lineRule="exact"/>
              <w:rPr>
                <w:sz w:val="20"/>
                <w:szCs w:val="20"/>
                <w:color w:val="auto"/>
              </w:rPr>
            </w:pPr>
            <w:r>
              <w:rPr>
                <w:rFonts w:ascii="Times New Roman" w:cs="Times New Roman" w:eastAsia="Times New Roman" w:hAnsi="Times New Roman"/>
                <w:sz w:val="18"/>
                <w:szCs w:val="18"/>
                <w:color w:val="auto"/>
                <w:w w:val="99"/>
              </w:rPr>
              <w:t>11/15/2024</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60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12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(Exhibit 4.1)</w:t>
            </w:r>
          </w:p>
        </w:tc>
        <w:tc>
          <w:tcPr>
            <w:tcW w:w="1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17"/>
            <w:shd w:val="clear" w:color="auto" w:fill="CCEEFF"/>
          </w:tcPr>
          <w:p>
            <w:pPr>
              <w:spacing w:after="0" w:line="15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Strategic Alliance Agreement, dated as of March 29,</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Times New Roman" w:cs="Times New Roman" w:eastAsia="Times New Roman" w:hAnsi="Times New Roman"/>
                <w:sz w:val="18"/>
                <w:szCs w:val="18"/>
                <w:color w:val="auto"/>
                <w:w w:val="99"/>
              </w:rPr>
              <w:t>Form S-4</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c>
          <w:tcPr>
            <w:tcW w:w="0" w:type="dxa"/>
            <w:vAlign w:val="bottom"/>
          </w:tcPr>
          <w:p>
            <w:pPr>
              <w:spacing w:after="0"/>
              <w:rPr>
                <w:sz w:val="1"/>
                <w:szCs w:val="1"/>
                <w:color w:val="auto"/>
              </w:rPr>
            </w:pPr>
          </w:p>
        </w:tc>
      </w:tr>
      <w:tr>
        <w:trPr>
          <w:trHeight w:val="196"/>
        </w:trPr>
        <w:tc>
          <w:tcPr>
            <w:tcW w:w="94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600" w:type="dxa"/>
            <w:vAlign w:val="bottom"/>
            <w:tcBorders>
              <w:top w:val="single" w:sz="8" w:color="0000EE"/>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2019, by and between DeepGreen Metals Inc. and</w:t>
              </w:r>
            </w:hyperlink>
          </w:p>
        </w:tc>
        <w:tc>
          <w:tcPr>
            <w:tcW w:w="18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bottom w:val="single" w:sz="8" w:color="CCEEFF"/>
              <w:right w:val="single" w:sz="8" w:color="auto"/>
            </w:tcBorders>
            <w:gridSpan w:val="3"/>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bottom w:val="single" w:sz="8" w:color="CCEEFF"/>
              <w:right w:val="single" w:sz="8" w:color="auto"/>
            </w:tcBorders>
            <w:shd w:val="clear" w:color="auto" w:fill="CCEEFF"/>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8"/>
              </w:rPr>
              <w:t>(Exhibit 10.7)</w:t>
            </w:r>
          </w:p>
        </w:tc>
        <w:tc>
          <w:tcPr>
            <w:tcW w:w="10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980" w:type="dxa"/>
            <w:vAlign w:val="bottom"/>
            <w:tcBorders>
              <w:bottom w:val="single" w:sz="8" w:color="auto"/>
              <w:right w:val="single" w:sz="8" w:color="auto"/>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Allseas Group S.A.</w:t>
              </w:r>
            </w:hyperlink>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940" w:type="dxa"/>
            <w:vAlign w:val="bottom"/>
          </w:tcPr>
          <w:p>
            <w:pPr>
              <w:spacing w:after="0"/>
              <w:rPr>
                <w:sz w:val="24"/>
                <w:szCs w:val="24"/>
                <w:color w:val="auto"/>
              </w:rPr>
            </w:pPr>
          </w:p>
        </w:tc>
        <w:tc>
          <w:tcPr>
            <w:tcW w:w="4240" w:type="dxa"/>
            <w:vAlign w:val="bottom"/>
            <w:gridSpan w:val="19"/>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13" w:right="9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top w:val="single" w:sz="8" w:color="auto"/>
            </w:tcBorders>
          </w:tcPr>
          <w:p>
            <w:pPr>
              <w:spacing w:after="0"/>
              <w:rPr>
                <w:sz w:val="16"/>
                <w:szCs w:val="16"/>
                <w:color w:val="auto"/>
              </w:rPr>
            </w:pPr>
          </w:p>
        </w:tc>
        <w:tc>
          <w:tcPr>
            <w:tcW w:w="3680" w:type="dxa"/>
            <w:vAlign w:val="bottom"/>
            <w:tcBorders>
              <w:top w:val="single" w:sz="8" w:color="auto"/>
              <w:bottom w:val="single" w:sz="8" w:color="0000EE"/>
            </w:tcBorders>
            <w:gridSpan w:val="24"/>
          </w:tcPr>
          <w:p>
            <w:pPr>
              <w:spacing w:after="0" w:line="17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Third Amendment to Pilot Mining Test Agreement</w:t>
              </w:r>
            </w:hyperlink>
          </w:p>
        </w:tc>
        <w:tc>
          <w:tcPr>
            <w:tcW w:w="320" w:type="dxa"/>
            <w:vAlign w:val="bottom"/>
            <w:tcBorders>
              <w:top w:val="single" w:sz="8" w:color="auto"/>
              <w:right w:val="single" w:sz="8" w:color="auto"/>
            </w:tcBorders>
            <w:gridSpan w:val="11"/>
          </w:tcPr>
          <w:p>
            <w:pPr>
              <w:spacing w:after="0"/>
              <w:rPr>
                <w:sz w:val="16"/>
                <w:szCs w:val="16"/>
                <w:color w:val="auto"/>
              </w:rPr>
            </w:pPr>
          </w:p>
        </w:tc>
        <w:tc>
          <w:tcPr>
            <w:tcW w:w="74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Form S-4</w:t>
            </w:r>
          </w:p>
        </w:tc>
        <w:tc>
          <w:tcPr>
            <w:tcW w:w="1000" w:type="dxa"/>
            <w:vAlign w:val="bottom"/>
            <w:tcBorders>
              <w:top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top w:val="single" w:sz="8" w:color="auto"/>
              <w:right w:val="single" w:sz="8" w:color="auto"/>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and First Amendment to Strategic Alliance</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10.9)</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Agreement, dated as of March 4, 2021, by and</w:t>
              </w:r>
            </w:hyperlink>
          </w:p>
        </w:tc>
        <w:tc>
          <w:tcPr>
            <w:tcW w:w="640" w:type="dxa"/>
            <w:vAlign w:val="bottom"/>
            <w:tcBorders>
              <w:right w:val="single" w:sz="8" w:color="auto"/>
            </w:tcBorders>
            <w:gridSpan w:val="19"/>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between DeepGreen Metals Inc. and Allseas Group</w:t>
              </w:r>
            </w:hyperlink>
          </w:p>
        </w:tc>
        <w:tc>
          <w:tcPr>
            <w:tcW w:w="280" w:type="dxa"/>
            <w:vAlign w:val="bottom"/>
            <w:tcBorders>
              <w:right w:val="single" w:sz="8" w:color="auto"/>
            </w:tcBorders>
            <w:gridSpan w:val="9"/>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S.A.</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bottom w:val="single" w:sz="8" w:color="CCEEFF"/>
            </w:tcBorders>
            <w:shd w:val="clear" w:color="auto" w:fill="CCEEFF"/>
          </w:tcPr>
          <w:p>
            <w:pPr>
              <w:spacing w:after="0"/>
              <w:rPr>
                <w:sz w:val="14"/>
                <w:szCs w:val="14"/>
                <w:color w:val="auto"/>
              </w:rPr>
            </w:pPr>
          </w:p>
        </w:tc>
        <w:tc>
          <w:tcPr>
            <w:tcW w:w="3760" w:type="dxa"/>
            <w:vAlign w:val="bottom"/>
            <w:tcBorders>
              <w:bottom w:val="single" w:sz="8" w:color="0000EE"/>
            </w:tcBorders>
            <w:gridSpan w:val="28"/>
            <w:shd w:val="clear" w:color="auto" w:fill="CCEEFF"/>
          </w:tcPr>
          <w:p>
            <w:pPr>
              <w:spacing w:after="0" w:line="15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Fourth Amendment to Pilot Mining Test Agreement</w:t>
              </w:r>
            </w:hyperlink>
          </w:p>
        </w:tc>
        <w:tc>
          <w:tcPr>
            <w:tcW w:w="240" w:type="dxa"/>
            <w:vAlign w:val="bottom"/>
            <w:tcBorders>
              <w:bottom w:val="single" w:sz="8" w:color="CCEEFF"/>
              <w:right w:val="single" w:sz="8" w:color="auto"/>
            </w:tcBorders>
            <w:gridSpan w:val="7"/>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7/14/2021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and Second Amendment to Strategic Alliance</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10.23)</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Agreement, dated as of June 30, 2021, by and between</w:t>
              </w:r>
            </w:hyperlink>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DeepGreen Metals Inc. and Allseas Group S.A.</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4"/>
                <w:szCs w:val="14"/>
                <w:color w:val="auto"/>
              </w:rPr>
            </w:pPr>
          </w:p>
        </w:tc>
        <w:tc>
          <w:tcPr>
            <w:tcW w:w="4000" w:type="dxa"/>
            <w:vAlign w:val="bottom"/>
            <w:tcBorders>
              <w:right w:val="single" w:sz="8" w:color="auto"/>
            </w:tcBorders>
            <w:gridSpan w:val="35"/>
          </w:tcPr>
          <w:p>
            <w:pPr>
              <w:spacing w:after="0" w:line="15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Fifth Amendment to Pilot Mining Test Agreement and</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2/17/2023</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Third Amendment to Strategic Alliance Agreement,</w:t>
              </w:r>
            </w:hyperlink>
          </w:p>
        </w:tc>
        <w:tc>
          <w:tcPr>
            <w:tcW w:w="160" w:type="dxa"/>
            <w:vAlign w:val="bottom"/>
            <w:tcBorders>
              <w:top w:val="single" w:sz="8" w:color="0000EE"/>
            </w:tcBorders>
            <w:gridSpan w:val="5"/>
          </w:tcPr>
          <w:p>
            <w:pPr>
              <w:spacing w:after="0"/>
              <w:rPr>
                <w:sz w:val="17"/>
                <w:szCs w:val="17"/>
                <w:color w:val="auto"/>
              </w:rPr>
            </w:pPr>
          </w:p>
        </w:tc>
        <w:tc>
          <w:tcPr>
            <w:tcW w:w="80" w:type="dxa"/>
            <w:vAlign w:val="bottom"/>
            <w:tcBorders>
              <w:right w:val="single" w:sz="8" w:color="auto"/>
            </w:tcBorders>
            <w:gridSpan w:val="2"/>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effective as of February 8, 2023, by and among</w:t>
              </w:r>
            </w:hyperlink>
          </w:p>
        </w:tc>
        <w:tc>
          <w:tcPr>
            <w:tcW w:w="580" w:type="dxa"/>
            <w:vAlign w:val="bottom"/>
            <w:tcBorders>
              <w:right w:val="single" w:sz="8" w:color="auto"/>
            </w:tcBorders>
            <w:gridSpan w:val="18"/>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DeepGreen Engineering Pte Ltd, DeepGreen Metals</w:t>
              </w:r>
            </w:hyperlink>
          </w:p>
        </w:tc>
        <w:tc>
          <w:tcPr>
            <w:tcW w:w="220" w:type="dxa"/>
            <w:vAlign w:val="bottom"/>
            <w:tcBorders>
              <w:right w:val="single" w:sz="8" w:color="auto"/>
            </w:tcBorders>
            <w:gridSpan w:val="6"/>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bottom w:val="single" w:sz="8" w:color="0000EE"/>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Inc., TMC the metals company Inc. and Allseas Group</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S.A.</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bottom w:val="single" w:sz="8" w:color="CCEEFF"/>
            </w:tcBorders>
            <w:shd w:val="clear" w:color="auto" w:fill="CCEEFF"/>
          </w:tcPr>
          <w:p>
            <w:pPr>
              <w:spacing w:after="0"/>
              <w:rPr>
                <w:sz w:val="14"/>
                <w:szCs w:val="14"/>
                <w:color w:val="auto"/>
              </w:rPr>
            </w:pPr>
          </w:p>
        </w:tc>
        <w:tc>
          <w:tcPr>
            <w:tcW w:w="3640" w:type="dxa"/>
            <w:vAlign w:val="bottom"/>
            <w:tcBorders>
              <w:bottom w:val="single" w:sz="8" w:color="0000EE"/>
            </w:tcBorders>
            <w:gridSpan w:val="23"/>
            <w:shd w:val="clear" w:color="auto" w:fill="CCEEFF"/>
          </w:tcPr>
          <w:p>
            <w:pPr>
              <w:spacing w:after="0" w:line="15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Exclusive Vessel Use Agreement, dated August 1,</w:t>
              </w:r>
            </w:hyperlink>
          </w:p>
        </w:tc>
        <w:tc>
          <w:tcPr>
            <w:tcW w:w="360" w:type="dxa"/>
            <w:vAlign w:val="bottom"/>
            <w:tcBorders>
              <w:bottom w:val="single" w:sz="8" w:color="CCEEFF"/>
              <w:right w:val="single" w:sz="8" w:color="auto"/>
            </w:tcBorders>
            <w:gridSpan w:val="12"/>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8/1/2023</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0000EE"/>
            </w:tcBorders>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2023, by and between TMC the metals company Inc.</w:t>
              </w:r>
            </w:hyperlink>
          </w:p>
        </w:tc>
        <w:tc>
          <w:tcPr>
            <w:tcW w:w="160" w:type="dxa"/>
            <w:vAlign w:val="bottom"/>
            <w:tcBorders>
              <w:bottom w:val="single" w:sz="8" w:color="CCEEFF"/>
              <w:right w:val="single" w:sz="8" w:color="auto"/>
            </w:tcBorders>
            <w:gridSpan w:val="4"/>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and Allseas Group S.A.</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4"/>
                <w:szCs w:val="14"/>
                <w:color w:val="auto"/>
              </w:rPr>
            </w:pPr>
          </w:p>
        </w:tc>
        <w:tc>
          <w:tcPr>
            <w:tcW w:w="3760" w:type="dxa"/>
            <w:vAlign w:val="bottom"/>
            <w:tcBorders>
              <w:bottom w:val="single" w:sz="8" w:color="0000EE"/>
            </w:tcBorders>
            <w:gridSpan w:val="28"/>
          </w:tcPr>
          <w:p>
            <w:pPr>
              <w:spacing w:after="0" w:line="15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Sponsorship Agreement, dated as of March 8, 2008,</w:t>
              </w:r>
            </w:hyperlink>
          </w:p>
        </w:tc>
        <w:tc>
          <w:tcPr>
            <w:tcW w:w="240" w:type="dxa"/>
            <w:vAlign w:val="bottom"/>
            <w:tcBorders>
              <w:right w:val="single" w:sz="8" w:color="auto"/>
            </w:tcBorders>
            <w:gridSpan w:val="7"/>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S-4</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by and between the Kingdom of Tonga and Tonga</w:t>
              </w:r>
            </w:hyperlink>
          </w:p>
        </w:tc>
        <w:tc>
          <w:tcPr>
            <w:tcW w:w="380" w:type="dxa"/>
            <w:vAlign w:val="bottom"/>
            <w:tcBorders>
              <w:right w:val="single" w:sz="8" w:color="auto"/>
            </w:tcBorders>
            <w:gridSpan w:val="1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Offshore Mining Limited</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bottom w:val="single" w:sz="8" w:color="CCEEFF"/>
            </w:tcBorders>
            <w:shd w:val="clear" w:color="auto" w:fill="CCEEFF"/>
          </w:tcPr>
          <w:p>
            <w:pPr>
              <w:spacing w:after="0"/>
              <w:rPr>
                <w:sz w:val="14"/>
                <w:szCs w:val="14"/>
                <w:color w:val="auto"/>
              </w:rPr>
            </w:pPr>
          </w:p>
        </w:tc>
        <w:tc>
          <w:tcPr>
            <w:tcW w:w="3700" w:type="dxa"/>
            <w:vAlign w:val="bottom"/>
            <w:tcBorders>
              <w:bottom w:val="single" w:sz="8" w:color="0000EE"/>
            </w:tcBorders>
            <w:gridSpan w:val="25"/>
            <w:shd w:val="clear" w:color="auto" w:fill="CCEEFF"/>
          </w:tcPr>
          <w:p>
            <w:pPr>
              <w:spacing w:after="0" w:line="15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Sponsorship Agreement, dated as of September 23,</w:t>
              </w:r>
            </w:hyperlink>
          </w:p>
        </w:tc>
        <w:tc>
          <w:tcPr>
            <w:tcW w:w="300" w:type="dxa"/>
            <w:vAlign w:val="bottom"/>
            <w:tcBorders>
              <w:bottom w:val="single" w:sz="8" w:color="CCEEFF"/>
              <w:right w:val="single" w:sz="8" w:color="auto"/>
            </w:tcBorders>
            <w:gridSpan w:val="10"/>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S-1</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10/7/2021</w:t>
            </w:r>
          </w:p>
        </w:tc>
        <w:tc>
          <w:tcPr>
            <w:tcW w:w="12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rPr>
              <w:t>333-260126</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2021, by and between the Kingdom of Tonga and</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10.13)</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560" w:type="dxa"/>
            <w:vAlign w:val="bottom"/>
            <w:tcBorders>
              <w:top w:val="single" w:sz="8" w:color="0000EE"/>
              <w:bottom w:val="single" w:sz="8" w:color="auto"/>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Tonga Offshore Mining Limited</w:t>
              </w:r>
            </w:hyperlink>
          </w:p>
        </w:tc>
        <w:tc>
          <w:tcPr>
            <w:tcW w:w="440" w:type="dxa"/>
            <w:vAlign w:val="bottom"/>
            <w:tcBorders>
              <w:top w:val="single" w:sz="8" w:color="CCEEFF"/>
              <w:bottom w:val="single" w:sz="8" w:color="auto"/>
              <w:right w:val="single" w:sz="8" w:color="auto"/>
            </w:tcBorders>
            <w:gridSpan w:val="15"/>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4"/>
                <w:szCs w:val="14"/>
                <w:color w:val="auto"/>
              </w:rPr>
            </w:pPr>
          </w:p>
        </w:tc>
        <w:tc>
          <w:tcPr>
            <w:tcW w:w="3860" w:type="dxa"/>
            <w:vAlign w:val="bottom"/>
            <w:tcBorders>
              <w:bottom w:val="single" w:sz="8" w:color="0000EE"/>
            </w:tcBorders>
            <w:gridSpan w:val="32"/>
          </w:tcPr>
          <w:p>
            <w:pPr>
              <w:spacing w:after="0" w:line="15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Sponsorship Agreement, dated as of June 5, 2017, by</w:t>
              </w:r>
            </w:hyperlink>
          </w:p>
        </w:tc>
        <w:tc>
          <w:tcPr>
            <w:tcW w:w="140" w:type="dxa"/>
            <w:vAlign w:val="bottom"/>
            <w:tcBorders>
              <w:right w:val="single" w:sz="8" w:color="auto"/>
            </w:tcBorders>
            <w:gridSpan w:val="3"/>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S-4</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and among the Republic of Nauru, the Nauru Seabed</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10.14)</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Minerals Authority, and Nauru Ocean Resources Inc.</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35"/>
            <w:shd w:val="clear" w:color="auto" w:fill="CCEEFF"/>
          </w:tcPr>
          <w:p>
            <w:pPr>
              <w:spacing w:after="0" w:line="15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Certificate of the Sponsorship signed by the</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7/29/2021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160" w:type="dxa"/>
            <w:vAlign w:val="bottom"/>
            <w:tcBorders>
              <w:top w:val="single" w:sz="8" w:color="0000EE"/>
              <w:bottom w:val="single" w:sz="8" w:color="auto"/>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Government of Nauru on April 11, 2011</w:t>
              </w:r>
            </w:hyperlink>
          </w:p>
        </w:tc>
        <w:tc>
          <w:tcPr>
            <w:tcW w:w="840" w:type="dxa"/>
            <w:vAlign w:val="bottom"/>
            <w:tcBorders>
              <w:top w:val="single" w:sz="8" w:color="CCEEFF"/>
              <w:bottom w:val="single" w:sz="8" w:color="auto"/>
              <w:right w:val="single" w:sz="8" w:color="auto"/>
            </w:tcBorders>
            <w:gridSpan w:val="21"/>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10.24)</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4"/>
                <w:szCs w:val="14"/>
                <w:color w:val="auto"/>
              </w:rPr>
            </w:pPr>
          </w:p>
        </w:tc>
        <w:tc>
          <w:tcPr>
            <w:tcW w:w="3620" w:type="dxa"/>
            <w:vAlign w:val="bottom"/>
            <w:tcBorders>
              <w:bottom w:val="single" w:sz="8" w:color="0000EE"/>
            </w:tcBorders>
            <w:gridSpan w:val="22"/>
          </w:tcPr>
          <w:p>
            <w:pPr>
              <w:spacing w:after="0" w:line="15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ISA Contract for Exploration (Republic of Nauru)</w:t>
              </w:r>
            </w:hyperlink>
          </w:p>
        </w:tc>
        <w:tc>
          <w:tcPr>
            <w:tcW w:w="380" w:type="dxa"/>
            <w:vAlign w:val="bottom"/>
            <w:tcBorders>
              <w:right w:val="single" w:sz="8" w:color="auto"/>
            </w:tcBorders>
            <w:gridSpan w:val="13"/>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S-4</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dated as of July 22, 2011</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10.15)</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10.11</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35"/>
            <w:shd w:val="clear" w:color="auto" w:fill="CCEEFF"/>
          </w:tcPr>
          <w:p>
            <w:pPr>
              <w:spacing w:after="0" w:line="15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ISA Contract for Exploration (Kingdom of Tonga)</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S-4</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236"/>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640" w:type="dxa"/>
            <w:vAlign w:val="bottom"/>
            <w:tcBorders>
              <w:top w:val="single" w:sz="8" w:color="0000EE"/>
              <w:bottom w:val="single" w:sz="8" w:color="auto"/>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dated as of January 11, 2012</w:t>
              </w:r>
            </w:hyperlink>
          </w:p>
        </w:tc>
        <w:tc>
          <w:tcPr>
            <w:tcW w:w="360" w:type="dxa"/>
            <w:vAlign w:val="bottom"/>
            <w:tcBorders>
              <w:top w:val="single" w:sz="8" w:color="CCEEFF"/>
              <w:bottom w:val="single" w:sz="8" w:color="auto"/>
              <w:right w:val="single" w:sz="8" w:color="auto"/>
            </w:tcBorders>
            <w:gridSpan w:val="12"/>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10.16)</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14"/>
                <w:szCs w:val="14"/>
                <w:color w:val="auto"/>
              </w:rPr>
            </w:pPr>
          </w:p>
        </w:tc>
        <w:tc>
          <w:tcPr>
            <w:tcW w:w="4000" w:type="dxa"/>
            <w:vAlign w:val="bottom"/>
            <w:tcBorders>
              <w:right w:val="single" w:sz="8" w:color="auto"/>
            </w:tcBorders>
            <w:gridSpan w:val="35"/>
          </w:tcPr>
          <w:p>
            <w:pPr>
              <w:spacing w:after="0" w:line="15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Form of Indemnity Agreement</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6"/>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96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(Exhibit 10.18)</w:t>
            </w: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10.13+</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35"/>
            <w:shd w:val="clear" w:color="auto" w:fill="CCEEFF"/>
          </w:tcPr>
          <w:p>
            <w:pPr>
              <w:spacing w:after="0" w:line="15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Nonemployee Director Compensation Policy</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6"/>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20" w:type="dxa"/>
            <w:vAlign w:val="bottom"/>
            <w:tcBorders>
              <w:top w:val="single" w:sz="8" w:color="0000EE"/>
              <w:bottom w:val="single" w:sz="8" w:color="auto"/>
            </w:tcBorders>
            <w:shd w:val="clear" w:color="auto" w:fill="CCEEFF"/>
          </w:tcPr>
          <w:p>
            <w:pPr>
              <w:spacing w:after="0"/>
              <w:rPr>
                <w:sz w:val="20"/>
                <w:szCs w:val="20"/>
                <w:color w:val="auto"/>
              </w:rPr>
            </w:pPr>
          </w:p>
        </w:tc>
        <w:tc>
          <w:tcPr>
            <w:tcW w:w="380" w:type="dxa"/>
            <w:vAlign w:val="bottom"/>
            <w:tcBorders>
              <w:top w:val="single" w:sz="8" w:color="0000EE"/>
              <w:bottom w:val="single" w:sz="8" w:color="auto"/>
            </w:tcBorders>
            <w:shd w:val="clear" w:color="auto" w:fill="CCEEFF"/>
          </w:tcPr>
          <w:p>
            <w:pPr>
              <w:spacing w:after="0"/>
              <w:rPr>
                <w:sz w:val="20"/>
                <w:szCs w:val="20"/>
                <w:color w:val="auto"/>
              </w:rPr>
            </w:pPr>
          </w:p>
        </w:tc>
        <w:tc>
          <w:tcPr>
            <w:tcW w:w="96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8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2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580" w:type="dxa"/>
            <w:vAlign w:val="bottom"/>
            <w:tcBorders>
              <w:top w:val="single" w:sz="8" w:color="0000EE"/>
              <w:bottom w:val="single" w:sz="8" w:color="auto"/>
            </w:tcBorders>
            <w:shd w:val="clear" w:color="auto" w:fill="CCEEFF"/>
          </w:tcPr>
          <w:p>
            <w:pPr>
              <w:spacing w:after="0"/>
              <w:rPr>
                <w:sz w:val="20"/>
                <w:szCs w:val="20"/>
                <w:color w:val="auto"/>
              </w:rPr>
            </w:pPr>
          </w:p>
        </w:tc>
        <w:tc>
          <w:tcPr>
            <w:tcW w:w="20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140" w:type="dxa"/>
            <w:vAlign w:val="bottom"/>
            <w:tcBorders>
              <w:top w:val="single" w:sz="8" w:color="0000EE"/>
              <w:bottom w:val="single" w:sz="8" w:color="auto"/>
              <w:right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(Exhibit 10.19)</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4"/>
                <w:szCs w:val="14"/>
                <w:color w:val="auto"/>
              </w:rPr>
            </w:pPr>
          </w:p>
        </w:tc>
        <w:tc>
          <w:tcPr>
            <w:tcW w:w="3940" w:type="dxa"/>
            <w:vAlign w:val="bottom"/>
            <w:tcBorders>
              <w:bottom w:val="single" w:sz="8" w:color="0000EE"/>
            </w:tcBorders>
            <w:gridSpan w:val="34"/>
          </w:tcPr>
          <w:p>
            <w:pPr>
              <w:spacing w:after="0" w:line="15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Employment Agreement, dated April 16, 2024, by and</w:t>
              </w:r>
            </w:hyperlink>
          </w:p>
        </w:tc>
        <w:tc>
          <w:tcPr>
            <w:tcW w:w="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4/18/2024</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between DeepGreen Metals UAE and Gerard Barron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0000EE"/>
              <w:right w:val="single" w:sz="8" w:color="auto"/>
            </w:tcBorders>
            <w:gridSpan w:val="35"/>
            <w:shd w:val="clear" w:color="auto" w:fill="CCEEFF"/>
          </w:tcPr>
          <w:p>
            <w:pPr>
              <w:spacing w:after="0" w:line="15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Amended and Restated Employment Agreement, dated</w:t>
              </w:r>
            </w:hyperlink>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10-K/A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4/18/2024</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November 11, 2022, by and between TMC the metals</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10.16)</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860" w:type="dxa"/>
            <w:vAlign w:val="bottom"/>
            <w:tcBorders>
              <w:top w:val="single" w:sz="8" w:color="0000EE"/>
              <w:bottom w:val="single" w:sz="8" w:color="auto"/>
            </w:tcBorders>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company Inc. and Erika Ilves</w:t>
              </w:r>
            </w:hyperlink>
          </w:p>
        </w:tc>
        <w:tc>
          <w:tcPr>
            <w:tcW w:w="140" w:type="dxa"/>
            <w:vAlign w:val="bottom"/>
            <w:tcBorders>
              <w:top w:val="single" w:sz="8" w:color="CCEEFF"/>
              <w:bottom w:val="single" w:sz="8" w:color="auto"/>
              <w:right w:val="single" w:sz="8" w:color="auto"/>
            </w:tcBorders>
            <w:gridSpan w:val="3"/>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4"/>
                <w:szCs w:val="14"/>
                <w:color w:val="auto"/>
              </w:rPr>
            </w:pPr>
          </w:p>
        </w:tc>
        <w:tc>
          <w:tcPr>
            <w:tcW w:w="4000" w:type="dxa"/>
            <w:vAlign w:val="bottom"/>
            <w:tcBorders>
              <w:bottom w:val="single" w:sz="8" w:color="0000EE"/>
              <w:right w:val="single" w:sz="8" w:color="auto"/>
            </w:tcBorders>
            <w:gridSpan w:val="35"/>
          </w:tcPr>
          <w:p>
            <w:pPr>
              <w:spacing w:after="0" w:line="15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Amended and Restated Employment Agreement, dated</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10-Q</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5/9/2022</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May 8, 2022, by and between The Metals Company</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Australia Pty. Ltd. and Anthony O’Sullivan</w:t>
              </w:r>
            </w:hyperlink>
          </w:p>
        </w:tc>
        <w:tc>
          <w:tcPr>
            <w:tcW w:w="260" w:type="dxa"/>
            <w:vAlign w:val="bottom"/>
            <w:tcBorders>
              <w:right w:val="single" w:sz="8" w:color="auto"/>
            </w:tcBorders>
            <w:gridSpan w:val="8"/>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10.17+</w:t>
            </w:r>
          </w:p>
        </w:tc>
        <w:tc>
          <w:tcPr>
            <w:tcW w:w="16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0000EE"/>
              <w:right w:val="single" w:sz="8" w:color="auto"/>
            </w:tcBorders>
            <w:gridSpan w:val="35"/>
            <w:shd w:val="clear" w:color="auto" w:fill="CCEEFF"/>
          </w:tcPr>
          <w:p>
            <w:pPr>
              <w:spacing w:after="0" w:line="15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Amended and Restated Employment Agreement, dated</w:t>
              </w:r>
            </w:hyperlink>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10-Q</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5/9/2022</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0000EE"/>
            </w:tcBorders>
            <w:gridSpan w:val="31"/>
            <w:shd w:val="clear" w:color="auto" w:fill="CCEEFF"/>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May 6, 2022, by and between DeepGreen Resources,</w:t>
              </w:r>
            </w:hyperlink>
          </w:p>
        </w:tc>
        <w:tc>
          <w:tcPr>
            <w:tcW w:w="160" w:type="dxa"/>
            <w:vAlign w:val="bottom"/>
            <w:tcBorders>
              <w:bottom w:val="single" w:sz="8" w:color="CCEEFF"/>
              <w:right w:val="single" w:sz="8" w:color="auto"/>
            </w:tcBorders>
            <w:gridSpan w:val="4"/>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LLC and Craig Shesky</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14"/>
                <w:szCs w:val="14"/>
                <w:color w:val="auto"/>
              </w:rPr>
            </w:pPr>
          </w:p>
        </w:tc>
        <w:tc>
          <w:tcPr>
            <w:tcW w:w="4000" w:type="dxa"/>
            <w:vAlign w:val="bottom"/>
            <w:tcBorders>
              <w:right w:val="single" w:sz="8" w:color="auto"/>
            </w:tcBorders>
            <w:gridSpan w:val="35"/>
          </w:tcPr>
          <w:p>
            <w:pPr>
              <w:spacing w:after="0" w:line="15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Services Agreement, dated April 9, 2024 by and</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4/11/2024</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780" w:type="dxa"/>
            <w:vAlign w:val="bottom"/>
            <w:gridSpan w:val="17"/>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Borders>
              <w:right w:val="single" w:sz="8" w:color="auto"/>
            </w:tcBorders>
            <w:gridSpan w:val="14"/>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between TMC the metals company Inc. and Steve</w:t>
              </w:r>
            </w:hyperlink>
          </w:p>
        </w:tc>
        <w:tc>
          <w:tcPr>
            <w:tcW w:w="400" w:type="dxa"/>
            <w:vAlign w:val="bottom"/>
            <w:tcBorders>
              <w:right w:val="single" w:sz="8" w:color="auto"/>
            </w:tcBorders>
            <w:gridSpan w:val="14"/>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Jurvetson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641"/>
        </w:trPr>
        <w:tc>
          <w:tcPr>
            <w:tcW w:w="960" w:type="dxa"/>
            <w:vAlign w:val="bottom"/>
          </w:tcPr>
          <w:p>
            <w:pPr>
              <w:spacing w:after="0"/>
              <w:rPr>
                <w:sz w:val="24"/>
                <w:szCs w:val="24"/>
                <w:color w:val="auto"/>
              </w:rPr>
            </w:pPr>
          </w:p>
        </w:tc>
        <w:tc>
          <w:tcPr>
            <w:tcW w:w="4160" w:type="dxa"/>
            <w:vAlign w:val="bottom"/>
            <w:gridSpan w:val="36"/>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bottom w:val="single" w:sz="8" w:color="CCEEFF"/>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10.19.1+</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3860" w:type="dxa"/>
            <w:vAlign w:val="bottom"/>
            <w:tcBorders>
              <w:top w:val="single" w:sz="8" w:color="auto"/>
              <w:bottom w:val="single" w:sz="8" w:color="0000EE"/>
            </w:tcBorders>
            <w:gridSpan w:val="30"/>
            <w:shd w:val="clear" w:color="auto" w:fill="CCEEFF"/>
          </w:tcPr>
          <w:p>
            <w:pPr>
              <w:spacing w:after="0" w:line="17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TMC the metals company Inc. 2021 Incentive Equity</w:t>
              </w:r>
            </w:hyperlink>
          </w:p>
        </w:tc>
        <w:tc>
          <w:tcPr>
            <w:tcW w:w="140" w:type="dxa"/>
            <w:vAlign w:val="bottom"/>
            <w:tcBorders>
              <w:top w:val="single" w:sz="8" w:color="auto"/>
              <w:bottom w:val="single" w:sz="8" w:color="CCEEFF"/>
              <w:right w:val="single" w:sz="8" w:color="auto"/>
            </w:tcBorders>
            <w:gridSpan w:val="5"/>
            <w:shd w:val="clear" w:color="auto" w:fill="CCEEFF"/>
          </w:tcPr>
          <w:p>
            <w:pPr>
              <w:spacing w:after="0"/>
              <w:rPr>
                <w:sz w:val="16"/>
                <w:szCs w:val="16"/>
                <w:color w:val="auto"/>
              </w:rPr>
            </w:pPr>
          </w:p>
        </w:tc>
        <w:tc>
          <w:tcPr>
            <w:tcW w:w="7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17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Form 10-Q</w:t>
            </w:r>
          </w:p>
        </w:tc>
        <w:tc>
          <w:tcPr>
            <w:tcW w:w="1000" w:type="dxa"/>
            <w:vAlign w:val="bottom"/>
            <w:tcBorders>
              <w:top w:val="single" w:sz="8" w:color="auto"/>
              <w:bottom w:val="single" w:sz="8" w:color="CCEEFF"/>
              <w:right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8/14/2024</w:t>
            </w:r>
          </w:p>
        </w:tc>
        <w:tc>
          <w:tcPr>
            <w:tcW w:w="12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Plan</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10.19.2+</w:t>
            </w:r>
          </w:p>
        </w:tc>
        <w:tc>
          <w:tcPr>
            <w:tcW w:w="160" w:type="dxa"/>
            <w:vAlign w:val="bottom"/>
          </w:tcPr>
          <w:p>
            <w:pPr>
              <w:spacing w:after="0"/>
              <w:rPr>
                <w:sz w:val="14"/>
                <w:szCs w:val="14"/>
                <w:color w:val="auto"/>
              </w:rPr>
            </w:pPr>
          </w:p>
        </w:tc>
        <w:tc>
          <w:tcPr>
            <w:tcW w:w="3600" w:type="dxa"/>
            <w:vAlign w:val="bottom"/>
            <w:tcBorders>
              <w:bottom w:val="single" w:sz="8" w:color="0000EE"/>
            </w:tcBorders>
            <w:gridSpan w:val="20"/>
          </w:tcPr>
          <w:p>
            <w:pPr>
              <w:spacing w:after="0" w:line="15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Form of Stock Option Agreement under TMC the</w:t>
              </w:r>
            </w:hyperlink>
          </w:p>
        </w:tc>
        <w:tc>
          <w:tcPr>
            <w:tcW w:w="400" w:type="dxa"/>
            <w:vAlign w:val="bottom"/>
            <w:tcBorders>
              <w:right w:val="single" w:sz="8" w:color="auto"/>
            </w:tcBorders>
            <w:gridSpan w:val="15"/>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metals company Inc. 2021 Incentive Equity Plan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rPr>
              <w:t>(Exhibit 10.23.2)</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10.19.3+</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35"/>
            <w:shd w:val="clear" w:color="auto" w:fill="CCEEFF"/>
          </w:tcPr>
          <w:p>
            <w:pPr>
              <w:spacing w:after="0" w:line="15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Form of Restricted Stock Unit Agreement under TMC</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9/15/2021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920" w:type="dxa"/>
            <w:vAlign w:val="bottom"/>
            <w:tcBorders>
              <w:top w:val="single" w:sz="8" w:color="0000EE"/>
              <w:bottom w:val="single" w:sz="8" w:color="auto"/>
            </w:tcBorders>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the metals company Inc. 2021 Incentive Equity Plan</w:t>
              </w:r>
            </w:hyperlink>
          </w:p>
        </w:tc>
        <w:tc>
          <w:tcPr>
            <w:tcW w:w="80" w:type="dxa"/>
            <w:vAlign w:val="bottom"/>
            <w:tcBorders>
              <w:top w:val="single" w:sz="8" w:color="CCEEFF"/>
              <w:bottom w:val="single" w:sz="8" w:color="auto"/>
              <w:right w:val="single" w:sz="8" w:color="auto"/>
            </w:tcBorders>
            <w:gridSpan w:val="2"/>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rPr>
              <w:t>(Exhibit 10.23.3)</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10.20.1+</w:t>
            </w:r>
          </w:p>
        </w:tc>
        <w:tc>
          <w:tcPr>
            <w:tcW w:w="160" w:type="dxa"/>
            <w:vAlign w:val="bottom"/>
          </w:tcPr>
          <w:p>
            <w:pPr>
              <w:spacing w:after="0"/>
              <w:rPr>
                <w:sz w:val="14"/>
                <w:szCs w:val="14"/>
                <w:color w:val="auto"/>
              </w:rPr>
            </w:pPr>
          </w:p>
        </w:tc>
        <w:tc>
          <w:tcPr>
            <w:tcW w:w="3800" w:type="dxa"/>
            <w:vAlign w:val="bottom"/>
            <w:tcBorders>
              <w:bottom w:val="single" w:sz="8" w:color="0000EE"/>
            </w:tcBorders>
            <w:gridSpan w:val="26"/>
          </w:tcPr>
          <w:p>
            <w:pPr>
              <w:spacing w:after="0" w:line="15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DeepGreen Metals Inc. Stock Option Plan and Form</w:t>
              </w:r>
            </w:hyperlink>
          </w:p>
        </w:tc>
        <w:tc>
          <w:tcPr>
            <w:tcW w:w="200" w:type="dxa"/>
            <w:vAlign w:val="bottom"/>
            <w:tcBorders>
              <w:right w:val="single" w:sz="8" w:color="auto"/>
            </w:tcBorders>
            <w:gridSpan w:val="9"/>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5/27/2021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of Stock Option Agreement thereunder</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10.20)</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10.20.2+</w:t>
            </w:r>
          </w:p>
        </w:tc>
        <w:tc>
          <w:tcPr>
            <w:tcW w:w="160" w:type="dxa"/>
            <w:vAlign w:val="bottom"/>
            <w:tcBorders>
              <w:bottom w:val="single" w:sz="8" w:color="CCEEFF"/>
            </w:tcBorders>
            <w:shd w:val="clear" w:color="auto" w:fill="CCEEFF"/>
          </w:tcPr>
          <w:p>
            <w:pPr>
              <w:spacing w:after="0"/>
              <w:rPr>
                <w:sz w:val="14"/>
                <w:szCs w:val="14"/>
                <w:color w:val="auto"/>
              </w:rPr>
            </w:pPr>
          </w:p>
        </w:tc>
        <w:tc>
          <w:tcPr>
            <w:tcW w:w="3820" w:type="dxa"/>
            <w:vAlign w:val="bottom"/>
            <w:tcBorders>
              <w:bottom w:val="single" w:sz="8" w:color="0000EE"/>
            </w:tcBorders>
            <w:gridSpan w:val="27"/>
            <w:shd w:val="clear" w:color="auto" w:fill="CCEEFF"/>
          </w:tcPr>
          <w:p>
            <w:pPr>
              <w:spacing w:after="0" w:line="15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Amendment to DeepGreen Metals Inc. Stock Option</w:t>
              </w:r>
            </w:hyperlink>
          </w:p>
        </w:tc>
        <w:tc>
          <w:tcPr>
            <w:tcW w:w="180" w:type="dxa"/>
            <w:vAlign w:val="bottom"/>
            <w:tcBorders>
              <w:bottom w:val="single" w:sz="8" w:color="CCEEFF"/>
              <w:right w:val="single" w:sz="8" w:color="auto"/>
            </w:tcBorders>
            <w:gridSpan w:val="8"/>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5/27/2021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Plan</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10.21)</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14"/>
                <w:szCs w:val="14"/>
                <w:color w:val="auto"/>
              </w:rPr>
            </w:pPr>
          </w:p>
        </w:tc>
        <w:tc>
          <w:tcPr>
            <w:tcW w:w="3840" w:type="dxa"/>
            <w:vAlign w:val="bottom"/>
            <w:tcBorders>
              <w:bottom w:val="single" w:sz="8" w:color="0000EE"/>
            </w:tcBorders>
            <w:gridSpan w:val="29"/>
          </w:tcPr>
          <w:p>
            <w:pPr>
              <w:spacing w:after="0" w:line="15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TMC the metals company Inc. 2021 Employee Stock</w:t>
              </w:r>
            </w:hyperlink>
          </w:p>
        </w:tc>
        <w:tc>
          <w:tcPr>
            <w:tcW w:w="160" w:type="dxa"/>
            <w:vAlign w:val="bottom"/>
            <w:tcBorders>
              <w:right w:val="single" w:sz="8" w:color="auto"/>
            </w:tcBorders>
            <w:gridSpan w:val="6"/>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S-8</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5/31/2022</w:t>
            </w:r>
          </w:p>
        </w:tc>
        <w:tc>
          <w:tcPr>
            <w:tcW w:w="1280" w:type="dxa"/>
            <w:vAlign w:val="bottom"/>
            <w:tcBorders>
              <w:right w:val="single" w:sz="8" w:color="auto"/>
            </w:tcBorders>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rPr>
              <w:t>333-265318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Purchase Plan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99.1)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10.22</w:t>
            </w:r>
          </w:p>
        </w:tc>
        <w:tc>
          <w:tcPr>
            <w:tcW w:w="160" w:type="dxa"/>
            <w:vAlign w:val="bottom"/>
            <w:tcBorders>
              <w:bottom w:val="single" w:sz="8" w:color="CCEEFF"/>
            </w:tcBorders>
            <w:shd w:val="clear" w:color="auto" w:fill="CCEEFF"/>
          </w:tcPr>
          <w:p>
            <w:pPr>
              <w:spacing w:after="0"/>
              <w:rPr>
                <w:sz w:val="14"/>
                <w:szCs w:val="14"/>
                <w:color w:val="auto"/>
              </w:rPr>
            </w:pPr>
          </w:p>
        </w:tc>
        <w:tc>
          <w:tcPr>
            <w:tcW w:w="3120" w:type="dxa"/>
            <w:vAlign w:val="bottom"/>
            <w:tcBorders>
              <w:bottom w:val="single" w:sz="8" w:color="0000EE"/>
            </w:tcBorders>
            <w:gridSpan w:val="12"/>
            <w:shd w:val="clear" w:color="auto" w:fill="CCEEFF"/>
          </w:tcPr>
          <w:p>
            <w:pPr>
              <w:spacing w:after="0" w:line="15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Amended and Restated Registration Rights</w:t>
              </w:r>
            </w:hyperlink>
          </w:p>
        </w:tc>
        <w:tc>
          <w:tcPr>
            <w:tcW w:w="880" w:type="dxa"/>
            <w:vAlign w:val="bottom"/>
            <w:tcBorders>
              <w:bottom w:val="single" w:sz="8" w:color="CCEEFF"/>
              <w:right w:val="single" w:sz="8" w:color="auto"/>
            </w:tcBorders>
            <w:gridSpan w:val="23"/>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 (Exhibit</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8/5/2021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940" w:type="dxa"/>
            <w:vAlign w:val="bottom"/>
            <w:tcBorders>
              <w:bottom w:val="single" w:sz="8" w:color="0000EE"/>
            </w:tcBorders>
            <w:gridSpan w:val="34"/>
            <w:shd w:val="clear" w:color="auto" w:fill="CCEEFF"/>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Agreement, by and between Sustainable Opportunities</w:t>
              </w:r>
            </w:hyperlink>
          </w:p>
        </w:tc>
        <w:tc>
          <w:tcPr>
            <w:tcW w:w="60" w:type="dxa"/>
            <w:vAlign w:val="bottom"/>
            <w:tcBorders>
              <w:bottom w:val="single" w:sz="8" w:color="CCEEFF"/>
              <w:right w:val="single" w:sz="8" w:color="auto"/>
            </w:tcBorders>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10.5 – Annex H)</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Acquisition Corp., Sustainable Opportunities Holdings</w:t>
              </w:r>
            </w:hyperlink>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LLC, the parties listed under Sponsor Group Holders</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196"/>
        </w:trPr>
        <w:tc>
          <w:tcPr>
            <w:tcW w:w="96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20" w:type="dxa"/>
            <w:vAlign w:val="bottom"/>
            <w:tcBorders>
              <w:top w:val="single" w:sz="8" w:color="0000EE"/>
              <w:bottom w:val="single" w:sz="8" w:color="0000EE"/>
            </w:tcBorders>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on the signature page(s) thereto and the parties listed</w:t>
              </w:r>
            </w:hyperlink>
          </w:p>
        </w:tc>
        <w:tc>
          <w:tcPr>
            <w:tcW w:w="180" w:type="dxa"/>
            <w:vAlign w:val="bottom"/>
            <w:tcBorders>
              <w:top w:val="single" w:sz="8" w:color="CCEEFF"/>
              <w:bottom w:val="single" w:sz="8" w:color="CCEEFF"/>
              <w:right w:val="single" w:sz="8" w:color="auto"/>
            </w:tcBorders>
            <w:gridSpan w:val="7"/>
            <w:shd w:val="clear" w:color="auto" w:fill="CCEEFF"/>
          </w:tcPr>
          <w:p>
            <w:pPr>
              <w:spacing w:after="0"/>
              <w:rPr>
                <w:sz w:val="17"/>
                <w:szCs w:val="17"/>
                <w:color w:val="auto"/>
              </w:rPr>
            </w:pPr>
          </w:p>
        </w:tc>
        <w:tc>
          <w:tcPr>
            <w:tcW w:w="7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0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68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under DeepGreen Holders on the signature page(s)</w:t>
              </w:r>
            </w:hyperlink>
          </w:p>
        </w:tc>
        <w:tc>
          <w:tcPr>
            <w:tcW w:w="320" w:type="dxa"/>
            <w:vAlign w:val="bottom"/>
            <w:tcBorders>
              <w:bottom w:val="single" w:sz="8" w:color="CCEEFF"/>
              <w:right w:val="single" w:sz="8" w:color="auto"/>
            </w:tcBorders>
            <w:gridSpan w:val="13"/>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thereto</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4"/>
                <w:szCs w:val="14"/>
                <w:color w:val="auto"/>
              </w:rPr>
            </w:pPr>
          </w:p>
        </w:tc>
        <w:tc>
          <w:tcPr>
            <w:tcW w:w="3560" w:type="dxa"/>
            <w:vAlign w:val="bottom"/>
            <w:tcBorders>
              <w:bottom w:val="single" w:sz="8" w:color="0000EE"/>
            </w:tcBorders>
            <w:gridSpan w:val="18"/>
          </w:tcPr>
          <w:p>
            <w:pPr>
              <w:spacing w:after="0" w:line="15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Form of Subscription Agreement for institutional</w:t>
              </w:r>
            </w:hyperlink>
          </w:p>
        </w:tc>
        <w:tc>
          <w:tcPr>
            <w:tcW w:w="440" w:type="dxa"/>
            <w:vAlign w:val="bottom"/>
            <w:tcBorders>
              <w:right w:val="single" w:sz="8" w:color="auto"/>
            </w:tcBorders>
            <w:gridSpan w:val="17"/>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8/5/2021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investors, by and between Sustainable Opportunities</w:t>
              </w:r>
            </w:hyperlink>
          </w:p>
        </w:tc>
        <w:tc>
          <w:tcPr>
            <w:tcW w:w="200" w:type="dxa"/>
            <w:vAlign w:val="bottom"/>
            <w:tcBorders>
              <w:right w:val="single" w:sz="8" w:color="auto"/>
            </w:tcBorders>
            <w:gridSpan w:val="9"/>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(Exhibit 10.1 –</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Acquisition Corp. and the subscriber parties thereto</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Annex E-1)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10.24</w:t>
            </w:r>
          </w:p>
        </w:tc>
        <w:tc>
          <w:tcPr>
            <w:tcW w:w="160" w:type="dxa"/>
            <w:vAlign w:val="bottom"/>
            <w:tcBorders>
              <w:bottom w:val="single" w:sz="8" w:color="CCEEFF"/>
            </w:tcBorders>
            <w:shd w:val="clear" w:color="auto" w:fill="CCEEFF"/>
          </w:tcPr>
          <w:p>
            <w:pPr>
              <w:spacing w:after="0"/>
              <w:rPr>
                <w:sz w:val="14"/>
                <w:szCs w:val="14"/>
                <w:color w:val="auto"/>
              </w:rPr>
            </w:pPr>
          </w:p>
        </w:tc>
        <w:tc>
          <w:tcPr>
            <w:tcW w:w="3440" w:type="dxa"/>
            <w:vAlign w:val="bottom"/>
            <w:tcBorders>
              <w:bottom w:val="single" w:sz="8" w:color="0000EE"/>
            </w:tcBorders>
            <w:gridSpan w:val="16"/>
            <w:shd w:val="clear" w:color="auto" w:fill="CCEEFF"/>
          </w:tcPr>
          <w:p>
            <w:pPr>
              <w:spacing w:after="0" w:line="15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Form of Subscription Agreement for accredited</w:t>
              </w:r>
            </w:hyperlink>
          </w:p>
        </w:tc>
        <w:tc>
          <w:tcPr>
            <w:tcW w:w="560" w:type="dxa"/>
            <w:vAlign w:val="bottom"/>
            <w:tcBorders>
              <w:bottom w:val="single" w:sz="8" w:color="CCEEFF"/>
              <w:right w:val="single" w:sz="8" w:color="auto"/>
            </w:tcBorders>
            <w:gridSpan w:val="19"/>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8/5/2021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investors, by and between Sustainable Opportunities</w:t>
              </w:r>
            </w:hyperlink>
          </w:p>
        </w:tc>
        <w:tc>
          <w:tcPr>
            <w:tcW w:w="200" w:type="dxa"/>
            <w:vAlign w:val="bottom"/>
            <w:tcBorders>
              <w:bottom w:val="single" w:sz="8" w:color="CCEEFF"/>
              <w:right w:val="single" w:sz="8" w:color="auto"/>
            </w:tcBorders>
            <w:gridSpan w:val="9"/>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(Exhibit 10.2 –</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Acquisition Corp. and the subscriber parties thereto</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Annex E-2)</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14"/>
                <w:szCs w:val="14"/>
                <w:color w:val="auto"/>
              </w:rPr>
            </w:pPr>
          </w:p>
        </w:tc>
        <w:tc>
          <w:tcPr>
            <w:tcW w:w="3940" w:type="dxa"/>
            <w:vAlign w:val="bottom"/>
            <w:tcBorders>
              <w:bottom w:val="single" w:sz="8" w:color="0000EE"/>
            </w:tcBorders>
            <w:gridSpan w:val="34"/>
          </w:tcPr>
          <w:p>
            <w:pPr>
              <w:spacing w:after="0" w:line="15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Form of Securities Purchase Agreement, dated August</w:t>
              </w:r>
            </w:hyperlink>
          </w:p>
        </w:tc>
        <w:tc>
          <w:tcPr>
            <w:tcW w:w="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8/15/2022</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12, 2022, by and among the Company and the</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Purchasers named therein</w:t>
              </w:r>
            </w:hyperlink>
          </w:p>
        </w:tc>
        <w:tc>
          <w:tcPr>
            <w:tcW w:w="680" w:type="dxa"/>
            <w:vAlign w:val="bottom"/>
            <w:tcBorders>
              <w:right w:val="single" w:sz="8" w:color="auto"/>
            </w:tcBorders>
            <w:gridSpan w:val="21"/>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10.26</w:t>
            </w:r>
          </w:p>
        </w:tc>
        <w:tc>
          <w:tcPr>
            <w:tcW w:w="160" w:type="dxa"/>
            <w:vAlign w:val="bottom"/>
            <w:tcBorders>
              <w:bottom w:val="single" w:sz="8" w:color="CCEEFF"/>
            </w:tcBorders>
            <w:shd w:val="clear" w:color="auto" w:fill="CCEEFF"/>
          </w:tcPr>
          <w:p>
            <w:pPr>
              <w:spacing w:after="0"/>
              <w:rPr>
                <w:sz w:val="14"/>
                <w:szCs w:val="14"/>
                <w:color w:val="auto"/>
              </w:rPr>
            </w:pPr>
          </w:p>
        </w:tc>
        <w:tc>
          <w:tcPr>
            <w:tcW w:w="3580" w:type="dxa"/>
            <w:vAlign w:val="bottom"/>
            <w:tcBorders>
              <w:bottom w:val="single" w:sz="8" w:color="0000EE"/>
            </w:tcBorders>
            <w:gridSpan w:val="19"/>
            <w:shd w:val="clear" w:color="auto" w:fill="CCEEFF"/>
          </w:tcPr>
          <w:p>
            <w:pPr>
              <w:spacing w:after="0" w:line="15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Securities Purchase Agreement, dated August 12,</w:t>
              </w:r>
            </w:hyperlink>
          </w:p>
        </w:tc>
        <w:tc>
          <w:tcPr>
            <w:tcW w:w="420" w:type="dxa"/>
            <w:vAlign w:val="bottom"/>
            <w:tcBorders>
              <w:bottom w:val="single" w:sz="8" w:color="CCEEFF"/>
              <w:right w:val="single" w:sz="8" w:color="auto"/>
            </w:tcBorders>
            <w:gridSpan w:val="16"/>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8/15/2022</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2022, by and among the Company and Gerard Barron</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10.27</w:t>
            </w:r>
          </w:p>
        </w:tc>
        <w:tc>
          <w:tcPr>
            <w:tcW w:w="160" w:type="dxa"/>
            <w:vAlign w:val="bottom"/>
          </w:tcPr>
          <w:p>
            <w:pPr>
              <w:spacing w:after="0"/>
              <w:rPr>
                <w:sz w:val="14"/>
                <w:szCs w:val="14"/>
                <w:color w:val="auto"/>
              </w:rPr>
            </w:pPr>
          </w:p>
        </w:tc>
        <w:tc>
          <w:tcPr>
            <w:tcW w:w="3580" w:type="dxa"/>
            <w:vAlign w:val="bottom"/>
            <w:tcBorders>
              <w:bottom w:val="single" w:sz="8" w:color="0000EE"/>
            </w:tcBorders>
            <w:gridSpan w:val="19"/>
          </w:tcPr>
          <w:p>
            <w:pPr>
              <w:spacing w:after="0" w:line="15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Securities Purchase Agreement, dated August 12,</w:t>
              </w:r>
            </w:hyperlink>
          </w:p>
        </w:tc>
        <w:tc>
          <w:tcPr>
            <w:tcW w:w="420" w:type="dxa"/>
            <w:vAlign w:val="bottom"/>
            <w:tcBorders>
              <w:right w:val="single" w:sz="8" w:color="auto"/>
            </w:tcBorders>
            <w:gridSpan w:val="16"/>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8/15/2022</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2022, by and among the Company and ERAS Capital</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LLC</w:t>
              </w:r>
            </w:hyperlink>
          </w:p>
        </w:tc>
        <w:tc>
          <w:tcPr>
            <w:tcW w:w="140" w:type="dxa"/>
            <w:vAlign w:val="bottom"/>
            <w:tcBorders>
              <w:right w:val="single" w:sz="8" w:color="auto"/>
            </w:tcBorders>
            <w:gridSpan w:val="5"/>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10.28</w:t>
            </w:r>
          </w:p>
        </w:tc>
        <w:tc>
          <w:tcPr>
            <w:tcW w:w="160" w:type="dxa"/>
            <w:vAlign w:val="bottom"/>
            <w:tcBorders>
              <w:bottom w:val="single" w:sz="8" w:color="CCEEFF"/>
            </w:tcBorders>
            <w:shd w:val="clear" w:color="auto" w:fill="CCEEFF"/>
          </w:tcPr>
          <w:p>
            <w:pPr>
              <w:spacing w:after="0"/>
              <w:rPr>
                <w:sz w:val="14"/>
                <w:szCs w:val="14"/>
                <w:color w:val="auto"/>
              </w:rPr>
            </w:pPr>
          </w:p>
        </w:tc>
        <w:tc>
          <w:tcPr>
            <w:tcW w:w="3940" w:type="dxa"/>
            <w:vAlign w:val="bottom"/>
            <w:tcBorders>
              <w:bottom w:val="single" w:sz="8" w:color="0000EE"/>
            </w:tcBorders>
            <w:gridSpan w:val="34"/>
            <w:shd w:val="clear" w:color="auto" w:fill="CCEEFF"/>
          </w:tcPr>
          <w:p>
            <w:pPr>
              <w:spacing w:after="0" w:line="15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Form of Securities Purchase Agreement, dated August</w:t>
              </w:r>
            </w:hyperlink>
          </w:p>
        </w:tc>
        <w:tc>
          <w:tcPr>
            <w:tcW w:w="60" w:type="dxa"/>
            <w:vAlign w:val="bottom"/>
            <w:tcBorders>
              <w:bottom w:val="single" w:sz="8" w:color="CCEEFF"/>
              <w:right w:val="single" w:sz="8" w:color="auto"/>
            </w:tcBorders>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8/14/2023</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7"/>
            <w:shd w:val="clear" w:color="auto" w:fill="CCEEFF"/>
          </w:tcPr>
          <w:p>
            <w:pPr>
              <w:ind w:left="160"/>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14, 2023</w:t>
              </w:r>
            </w:hyperlink>
          </w:p>
        </w:tc>
        <w:tc>
          <w:tcPr>
            <w:tcW w:w="4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10.29</w:t>
            </w:r>
          </w:p>
        </w:tc>
        <w:tc>
          <w:tcPr>
            <w:tcW w:w="160" w:type="dxa"/>
            <w:vAlign w:val="bottom"/>
          </w:tcPr>
          <w:p>
            <w:pPr>
              <w:spacing w:after="0"/>
              <w:rPr>
                <w:sz w:val="14"/>
                <w:szCs w:val="14"/>
                <w:color w:val="auto"/>
              </w:rPr>
            </w:pPr>
          </w:p>
        </w:tc>
        <w:tc>
          <w:tcPr>
            <w:tcW w:w="4000" w:type="dxa"/>
            <w:vAlign w:val="bottom"/>
            <w:tcBorders>
              <w:right w:val="single" w:sz="8" w:color="auto"/>
            </w:tcBorders>
            <w:gridSpan w:val="35"/>
          </w:tcPr>
          <w:p>
            <w:pPr>
              <w:spacing w:after="0" w:line="15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Form of Securities Purchase Agreement, dated</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7"/>
              </w:rPr>
              <w:t>11/15/2024</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November 14, 2024</w:t>
              </w:r>
            </w:hyperlink>
          </w:p>
        </w:tc>
        <w:tc>
          <w:tcPr>
            <w:tcW w:w="640" w:type="dxa"/>
            <w:vAlign w:val="bottom"/>
            <w:tcBorders>
              <w:right w:val="single" w:sz="8" w:color="auto"/>
            </w:tcBorders>
            <w:gridSpan w:val="20"/>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10.30</w:t>
            </w:r>
          </w:p>
        </w:tc>
        <w:tc>
          <w:tcPr>
            <w:tcW w:w="160" w:type="dxa"/>
            <w:vAlign w:val="bottom"/>
            <w:tcBorders>
              <w:bottom w:val="single" w:sz="8" w:color="CCEEFF"/>
            </w:tcBorders>
            <w:shd w:val="clear" w:color="auto" w:fill="CCEEFF"/>
          </w:tcPr>
          <w:p>
            <w:pPr>
              <w:spacing w:after="0"/>
              <w:rPr>
                <w:sz w:val="14"/>
                <w:szCs w:val="14"/>
                <w:color w:val="auto"/>
              </w:rPr>
            </w:pPr>
          </w:p>
        </w:tc>
        <w:tc>
          <w:tcPr>
            <w:tcW w:w="3520" w:type="dxa"/>
            <w:vAlign w:val="bottom"/>
            <w:tcBorders>
              <w:bottom w:val="single" w:sz="8" w:color="0000EE"/>
            </w:tcBorders>
            <w:gridSpan w:val="17"/>
            <w:shd w:val="clear" w:color="auto" w:fill="CCEEFF"/>
          </w:tcPr>
          <w:p>
            <w:pPr>
              <w:spacing w:after="0" w:line="15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Form of First Amendment to Securities Purchase</w:t>
              </w:r>
            </w:hyperlink>
          </w:p>
        </w:tc>
        <w:tc>
          <w:tcPr>
            <w:tcW w:w="480" w:type="dxa"/>
            <w:vAlign w:val="bottom"/>
            <w:tcBorders>
              <w:bottom w:val="single" w:sz="8" w:color="CCEEFF"/>
              <w:right w:val="single" w:sz="8" w:color="auto"/>
            </w:tcBorders>
            <w:gridSpan w:val="18"/>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7"/>
              </w:rPr>
              <w:t>11/26/2024</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Agreement, dated November 26, 2024</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10.31</w:t>
            </w:r>
          </w:p>
        </w:tc>
        <w:tc>
          <w:tcPr>
            <w:tcW w:w="160" w:type="dxa"/>
            <w:vAlign w:val="bottom"/>
          </w:tcPr>
          <w:p>
            <w:pPr>
              <w:spacing w:after="0"/>
              <w:rPr>
                <w:sz w:val="14"/>
                <w:szCs w:val="14"/>
                <w:color w:val="auto"/>
              </w:rPr>
            </w:pPr>
          </w:p>
        </w:tc>
        <w:tc>
          <w:tcPr>
            <w:tcW w:w="3880" w:type="dxa"/>
            <w:vAlign w:val="bottom"/>
            <w:tcBorders>
              <w:bottom w:val="single" w:sz="8" w:color="0000EE"/>
            </w:tcBorders>
            <w:gridSpan w:val="31"/>
          </w:tcPr>
          <w:p>
            <w:pPr>
              <w:spacing w:after="0" w:line="15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At-The-Market Equity Distribution Agreement, dated</w:t>
              </w:r>
            </w:hyperlink>
          </w:p>
        </w:tc>
        <w:tc>
          <w:tcPr>
            <w:tcW w:w="120" w:type="dxa"/>
            <w:vAlign w:val="bottom"/>
            <w:tcBorders>
              <w:right w:val="single" w:sz="8" w:color="auto"/>
            </w:tcBorders>
            <w:gridSpan w:val="4"/>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ind w:left="10"/>
              <w:spacing w:after="0" w:line="156" w:lineRule="exact"/>
              <w:rPr>
                <w:sz w:val="20"/>
                <w:szCs w:val="20"/>
                <w:color w:val="auto"/>
              </w:rPr>
            </w:pPr>
            <w:r>
              <w:rPr>
                <w:rFonts w:ascii="Times New Roman" w:cs="Times New Roman" w:eastAsia="Times New Roman" w:hAnsi="Times New Roman"/>
                <w:sz w:val="18"/>
                <w:szCs w:val="18"/>
                <w:color w:val="auto"/>
                <w:w w:val="99"/>
              </w:rPr>
              <w:t>12/22/2022</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December 22, 2022, by and among TMC the metals</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company Inc., Stifel, Nicolaus &amp; Company,</w:t>
              </w:r>
            </w:hyperlink>
          </w:p>
        </w:tc>
        <w:tc>
          <w:tcPr>
            <w:tcW w:w="260" w:type="dxa"/>
            <w:vAlign w:val="bottom"/>
            <w:tcBorders>
              <w:right w:val="single" w:sz="8" w:color="auto"/>
            </w:tcBorders>
            <w:gridSpan w:val="11"/>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Incorporated and Wedbush Securities Inc.</w:t>
              </w:r>
            </w:hyperlink>
          </w:p>
        </w:tc>
        <w:tc>
          <w:tcPr>
            <w:tcW w:w="840" w:type="dxa"/>
            <w:vAlign w:val="bottom"/>
            <w:tcBorders>
              <w:right w:val="single" w:sz="8" w:color="auto"/>
            </w:tcBorders>
            <w:gridSpan w:val="22"/>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10.32</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35"/>
            <w:shd w:val="clear" w:color="auto" w:fill="CCEEFF"/>
          </w:tcPr>
          <w:p>
            <w:pPr>
              <w:spacing w:after="0" w:line="15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Amendment No. 1 to At-The-Market Distribution</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shd w:val="clear" w:color="auto" w:fill="CCEEFF"/>
          </w:tcPr>
          <w:p>
            <w:pPr>
              <w:jc w:val="center"/>
              <w:ind w:left="10"/>
              <w:spacing w:after="0" w:line="156" w:lineRule="exact"/>
              <w:rPr>
                <w:sz w:val="20"/>
                <w:szCs w:val="20"/>
                <w:color w:val="auto"/>
              </w:rPr>
            </w:pPr>
            <w:r>
              <w:rPr>
                <w:rFonts w:ascii="Times New Roman" w:cs="Times New Roman" w:eastAsia="Times New Roman" w:hAnsi="Times New Roman"/>
                <w:sz w:val="18"/>
                <w:szCs w:val="18"/>
                <w:color w:val="auto"/>
                <w:w w:val="99"/>
              </w:rPr>
              <w:t>12/21/2023</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80" w:type="dxa"/>
            <w:vAlign w:val="bottom"/>
            <w:gridSpan w:val="1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60" w:type="dxa"/>
            <w:vAlign w:val="bottom"/>
            <w:gridSpan w:val="9"/>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Agreement, dated as of December 21, 2023, by and</w:t>
              </w:r>
            </w:hyperlink>
          </w:p>
        </w:tc>
        <w:tc>
          <w:tcPr>
            <w:tcW w:w="280" w:type="dxa"/>
            <w:vAlign w:val="bottom"/>
            <w:tcBorders>
              <w:bottom w:val="single" w:sz="8" w:color="CCEEFF"/>
              <w:right w:val="single" w:sz="8" w:color="auto"/>
            </w:tcBorders>
            <w:gridSpan w:val="12"/>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among TMC the metals company Inc., Stifel, Nicolaus</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196"/>
        </w:trPr>
        <w:tc>
          <w:tcPr>
            <w:tcW w:w="96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940" w:type="dxa"/>
            <w:vAlign w:val="bottom"/>
            <w:tcBorders>
              <w:top w:val="single" w:sz="8" w:color="0000EE"/>
            </w:tcBorders>
            <w:gridSpan w:val="34"/>
            <w:shd w:val="clear" w:color="auto" w:fill="CCEEFF"/>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&amp; Company, Incorporated and Wedbush Securities</w:t>
              </w:r>
            </w:hyperlink>
          </w:p>
        </w:tc>
        <w:tc>
          <w:tcPr>
            <w:tcW w:w="60" w:type="dxa"/>
            <w:vAlign w:val="bottom"/>
            <w:tcBorders>
              <w:top w:val="single" w:sz="8" w:color="CCEEFF"/>
              <w:right w:val="single" w:sz="8" w:color="auto"/>
            </w:tcBorders>
            <w:shd w:val="clear" w:color="auto" w:fill="CCEEFF"/>
          </w:tcPr>
          <w:p>
            <w:pPr>
              <w:spacing w:after="0"/>
              <w:rPr>
                <w:sz w:val="17"/>
                <w:szCs w:val="17"/>
                <w:color w:val="auto"/>
              </w:rPr>
            </w:pPr>
          </w:p>
        </w:tc>
        <w:tc>
          <w:tcPr>
            <w:tcW w:w="740" w:type="dxa"/>
            <w:vAlign w:val="bottom"/>
            <w:tcBorders>
              <w:top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right w:val="single" w:sz="8" w:color="auto"/>
            </w:tcBorders>
            <w:shd w:val="clear" w:color="auto" w:fill="CCEEFF"/>
          </w:tcPr>
          <w:p>
            <w:pPr>
              <w:spacing w:after="0"/>
              <w:rPr>
                <w:sz w:val="17"/>
                <w:szCs w:val="17"/>
                <w:color w:val="auto"/>
              </w:rPr>
            </w:pPr>
          </w:p>
        </w:tc>
        <w:tc>
          <w:tcPr>
            <w:tcW w:w="1000" w:type="dxa"/>
            <w:vAlign w:val="bottom"/>
            <w:tcBorders>
              <w:top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660" w:type="dxa"/>
            <w:vAlign w:val="bottom"/>
            <w:tcBorders>
              <w:top w:val="single" w:sz="8" w:color="0000EE"/>
              <w:bottom w:val="single" w:sz="8" w:color="auto"/>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Inc.</w:t>
              </w:r>
            </w:hyperlink>
          </w:p>
        </w:tc>
        <w:tc>
          <w:tcPr>
            <w:tcW w:w="340" w:type="dxa"/>
            <w:vAlign w:val="bottom"/>
            <w:tcBorders>
              <w:top w:val="single" w:sz="8" w:color="CCEEFF"/>
              <w:bottom w:val="single" w:sz="8" w:color="auto"/>
              <w:right w:val="single" w:sz="8" w:color="auto"/>
            </w:tcBorders>
            <w:gridSpan w:val="14"/>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10.33†</w:t>
            </w:r>
          </w:p>
        </w:tc>
        <w:tc>
          <w:tcPr>
            <w:tcW w:w="160" w:type="dxa"/>
            <w:vAlign w:val="bottom"/>
          </w:tcPr>
          <w:p>
            <w:pPr>
              <w:spacing w:after="0"/>
              <w:rPr>
                <w:sz w:val="14"/>
                <w:szCs w:val="14"/>
                <w:color w:val="auto"/>
              </w:rPr>
            </w:pPr>
          </w:p>
        </w:tc>
        <w:tc>
          <w:tcPr>
            <w:tcW w:w="3820" w:type="dxa"/>
            <w:vAlign w:val="bottom"/>
            <w:tcBorders>
              <w:bottom w:val="single" w:sz="8" w:color="0000EE"/>
            </w:tcBorders>
            <w:gridSpan w:val="27"/>
          </w:tcPr>
          <w:p>
            <w:pPr>
              <w:spacing w:after="0" w:line="15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Royalty Agreement, dated February 21, 2023 by and</w:t>
              </w:r>
            </w:hyperlink>
          </w:p>
        </w:tc>
        <w:tc>
          <w:tcPr>
            <w:tcW w:w="180" w:type="dxa"/>
            <w:vAlign w:val="bottom"/>
            <w:tcBorders>
              <w:right w:val="single" w:sz="8" w:color="auto"/>
            </w:tcBorders>
            <w:gridSpan w:val="8"/>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2/22/2023</w:t>
            </w:r>
          </w:p>
        </w:tc>
        <w:tc>
          <w:tcPr>
            <w:tcW w:w="12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among TMC the metals company Inc., Nauru Ocean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Resources Inc. and Low Carbon Royalties Inc.</w:t>
              </w:r>
            </w:hyperlink>
          </w:p>
        </w:tc>
        <w:tc>
          <w:tcPr>
            <w:tcW w:w="220" w:type="dxa"/>
            <w:vAlign w:val="bottom"/>
            <w:tcBorders>
              <w:right w:val="single" w:sz="8" w:color="auto"/>
            </w:tcBorders>
            <w:gridSpan w:val="10"/>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641"/>
        </w:trPr>
        <w:tc>
          <w:tcPr>
            <w:tcW w:w="960" w:type="dxa"/>
            <w:vAlign w:val="bottom"/>
          </w:tcPr>
          <w:p>
            <w:pPr>
              <w:spacing w:after="0"/>
              <w:rPr>
                <w:sz w:val="24"/>
                <w:szCs w:val="24"/>
                <w:color w:val="auto"/>
              </w:rPr>
            </w:pPr>
          </w:p>
        </w:tc>
        <w:tc>
          <w:tcPr>
            <w:tcW w:w="4160" w:type="dxa"/>
            <w:vAlign w:val="bottom"/>
            <w:gridSpan w:val="36"/>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bottom w:val="single" w:sz="8" w:color="CCEEFF"/>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3780" w:type="dxa"/>
            <w:vAlign w:val="bottom"/>
            <w:tcBorders>
              <w:top w:val="single" w:sz="8" w:color="auto"/>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Investor Rights Agreement dated February 21, 2023</w:t>
              </w:r>
            </w:hyperlink>
          </w:p>
        </w:tc>
        <w:tc>
          <w:tcPr>
            <w:tcW w:w="220" w:type="dxa"/>
            <w:vAlign w:val="bottom"/>
            <w:tcBorders>
              <w:top w:val="single" w:sz="8" w:color="auto"/>
              <w:bottom w:val="single" w:sz="8" w:color="CCEEFF"/>
              <w:right w:val="single" w:sz="8" w:color="auto"/>
            </w:tcBorders>
            <w:gridSpan w:val="6"/>
            <w:shd w:val="clear" w:color="auto" w:fill="CCEEFF"/>
          </w:tcPr>
          <w:p>
            <w:pPr>
              <w:spacing w:after="0"/>
              <w:rPr>
                <w:sz w:val="16"/>
                <w:szCs w:val="16"/>
                <w:color w:val="auto"/>
              </w:rPr>
            </w:pPr>
          </w:p>
        </w:tc>
        <w:tc>
          <w:tcPr>
            <w:tcW w:w="7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17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top w:val="single" w:sz="8" w:color="auto"/>
              <w:bottom w:val="single" w:sz="8" w:color="CCEEFF"/>
              <w:right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2/22/2023</w:t>
            </w:r>
          </w:p>
        </w:tc>
        <w:tc>
          <w:tcPr>
            <w:tcW w:w="1280" w:type="dxa"/>
            <w:vAlign w:val="bottom"/>
            <w:tcBorders>
              <w:top w:val="single" w:sz="8" w:color="auto"/>
              <w:bottom w:val="single" w:sz="8" w:color="CCEEFF"/>
              <w:right w:val="single" w:sz="8" w:color="auto"/>
            </w:tcBorders>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760" w:type="dxa"/>
            <w:vAlign w:val="bottom"/>
            <w:tcBorders>
              <w:bottom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by and among TMC the metals company Inc., Brian</w:t>
              </w:r>
            </w:hyperlink>
          </w:p>
        </w:tc>
        <w:tc>
          <w:tcPr>
            <w:tcW w:w="240" w:type="dxa"/>
            <w:vAlign w:val="bottom"/>
            <w:tcBorders>
              <w:bottom w:val="single" w:sz="8" w:color="CCEEFF"/>
              <w:right w:val="single" w:sz="8" w:color="auto"/>
            </w:tcBorders>
            <w:gridSpan w:val="7"/>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Paes-Braga and Low Carbon Royalties Inc.</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10.35†</w:t>
            </w:r>
          </w:p>
        </w:tc>
        <w:tc>
          <w:tcPr>
            <w:tcW w:w="160" w:type="dxa"/>
            <w:vAlign w:val="bottom"/>
          </w:tcPr>
          <w:p>
            <w:pPr>
              <w:spacing w:after="0"/>
              <w:rPr>
                <w:sz w:val="14"/>
                <w:szCs w:val="14"/>
                <w:color w:val="auto"/>
              </w:rPr>
            </w:pPr>
          </w:p>
        </w:tc>
        <w:tc>
          <w:tcPr>
            <w:tcW w:w="3800" w:type="dxa"/>
            <w:vAlign w:val="bottom"/>
            <w:tcBorders>
              <w:bottom w:val="single" w:sz="8" w:color="0000EE"/>
            </w:tcBorders>
            <w:gridSpan w:val="28"/>
          </w:tcPr>
          <w:p>
            <w:pPr>
              <w:spacing w:after="0" w:line="15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Unsecured Credit Facility, dated March 22, 2023, by</w:t>
              </w:r>
            </w:hyperlink>
          </w:p>
        </w:tc>
        <w:tc>
          <w:tcPr>
            <w:tcW w:w="200" w:type="dxa"/>
            <w:vAlign w:val="bottom"/>
            <w:tcBorders>
              <w:right w:val="single" w:sz="8" w:color="auto"/>
            </w:tcBorders>
            <w:gridSpan w:val="5"/>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10-K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3/27/2023</w:t>
            </w:r>
          </w:p>
        </w:tc>
        <w:tc>
          <w:tcPr>
            <w:tcW w:w="1280" w:type="dxa"/>
            <w:vAlign w:val="bottom"/>
            <w:tcBorders>
              <w:right w:val="single" w:sz="8" w:color="auto"/>
            </w:tcBorders>
          </w:tcPr>
          <w:p>
            <w:pPr>
              <w:jc w:val="right"/>
              <w:ind w:right="90"/>
              <w:spacing w:after="0" w:line="156" w:lineRule="exact"/>
              <w:rPr>
                <w:sz w:val="20"/>
                <w:szCs w:val="20"/>
                <w:color w:val="auto"/>
              </w:rPr>
            </w:pPr>
            <w:r>
              <w:rPr>
                <w:rFonts w:ascii="Times New Roman" w:cs="Times New Roman" w:eastAsia="Times New Roman" w:hAnsi="Times New Roman"/>
                <w:sz w:val="18"/>
                <w:szCs w:val="18"/>
                <w:color w:val="auto"/>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and between TMC the metals company Inc. and</w:t>
              </w:r>
            </w:hyperlink>
          </w:p>
        </w:tc>
        <w:tc>
          <w:tcPr>
            <w:tcW w:w="540" w:type="dxa"/>
            <w:vAlign w:val="bottom"/>
            <w:tcBorders>
              <w:right w:val="single" w:sz="8" w:color="auto"/>
            </w:tcBorders>
            <w:gridSpan w:val="16"/>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10.31)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Argentum Cedit Virtuti GCV</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10.36</w:t>
            </w:r>
          </w:p>
        </w:tc>
        <w:tc>
          <w:tcPr>
            <w:tcW w:w="160" w:type="dxa"/>
            <w:vAlign w:val="bottom"/>
            <w:tcBorders>
              <w:bottom w:val="single" w:sz="8" w:color="CCEEFF"/>
            </w:tcBorders>
            <w:shd w:val="clear" w:color="auto" w:fill="CCEEFF"/>
          </w:tcPr>
          <w:p>
            <w:pPr>
              <w:spacing w:after="0"/>
              <w:rPr>
                <w:sz w:val="14"/>
                <w:szCs w:val="14"/>
                <w:color w:val="auto"/>
              </w:rPr>
            </w:pPr>
          </w:p>
        </w:tc>
        <w:tc>
          <w:tcPr>
            <w:tcW w:w="3720" w:type="dxa"/>
            <w:vAlign w:val="bottom"/>
            <w:tcBorders>
              <w:bottom w:val="single" w:sz="8" w:color="0000EE"/>
            </w:tcBorders>
            <w:gridSpan w:val="25"/>
            <w:shd w:val="clear" w:color="auto" w:fill="CCEEFF"/>
          </w:tcPr>
          <w:p>
            <w:pPr>
              <w:spacing w:after="0" w:line="15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Amendment to the Unsecured Credit Facility, dated</w:t>
              </w:r>
            </w:hyperlink>
          </w:p>
        </w:tc>
        <w:tc>
          <w:tcPr>
            <w:tcW w:w="280" w:type="dxa"/>
            <w:vAlign w:val="bottom"/>
            <w:tcBorders>
              <w:bottom w:val="single" w:sz="8" w:color="CCEEFF"/>
              <w:right w:val="single" w:sz="8" w:color="auto"/>
            </w:tcBorders>
            <w:gridSpan w:val="8"/>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8/1/2023</w:t>
            </w:r>
          </w:p>
        </w:tc>
        <w:tc>
          <w:tcPr>
            <w:tcW w:w="1280" w:type="dxa"/>
            <w:vAlign w:val="bottom"/>
            <w:tcBorders>
              <w:bottom w:val="single" w:sz="8" w:color="CCEEFF"/>
              <w:right w:val="single" w:sz="8" w:color="auto"/>
            </w:tcBorders>
            <w:shd w:val="clear" w:color="auto" w:fill="CCEEFF"/>
          </w:tcPr>
          <w:p>
            <w:pPr>
              <w:jc w:val="right"/>
              <w:ind w:right="90"/>
              <w:spacing w:after="0" w:line="156" w:lineRule="exact"/>
              <w:rPr>
                <w:sz w:val="20"/>
                <w:szCs w:val="20"/>
                <w:color w:val="auto"/>
              </w:rPr>
            </w:pPr>
            <w:r>
              <w:rPr>
                <w:rFonts w:ascii="Times New Roman" w:cs="Times New Roman" w:eastAsia="Times New Roman" w:hAnsi="Times New Roman"/>
                <w:sz w:val="18"/>
                <w:szCs w:val="18"/>
                <w:color w:val="auto"/>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July 31, 2023, by and between TMC the metals</w:t>
              </w:r>
            </w:hyperlink>
          </w:p>
        </w:tc>
        <w:tc>
          <w:tcPr>
            <w:tcW w:w="580" w:type="dxa"/>
            <w:vAlign w:val="bottom"/>
            <w:tcBorders>
              <w:bottom w:val="single" w:sz="8" w:color="CCEEFF"/>
              <w:right w:val="single" w:sz="8" w:color="auto"/>
            </w:tcBorders>
            <w:gridSpan w:val="18"/>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company Inc. and Argentum Cedit Virtuti GCV</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10.37</w:t>
            </w:r>
          </w:p>
        </w:tc>
        <w:tc>
          <w:tcPr>
            <w:tcW w:w="160" w:type="dxa"/>
            <w:vAlign w:val="bottom"/>
          </w:tcPr>
          <w:p>
            <w:pPr>
              <w:spacing w:after="0"/>
              <w:rPr>
                <w:sz w:val="14"/>
                <w:szCs w:val="14"/>
                <w:color w:val="auto"/>
              </w:rPr>
            </w:pPr>
          </w:p>
        </w:tc>
        <w:tc>
          <w:tcPr>
            <w:tcW w:w="3860" w:type="dxa"/>
            <w:vAlign w:val="bottom"/>
            <w:tcBorders>
              <w:bottom w:val="single" w:sz="8" w:color="0000EE"/>
            </w:tcBorders>
            <w:gridSpan w:val="31"/>
          </w:tcPr>
          <w:p>
            <w:pPr>
              <w:spacing w:after="0" w:line="15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Second Amendment to the Unsecured Credit Facility,</w:t>
              </w:r>
            </w:hyperlink>
          </w:p>
        </w:tc>
        <w:tc>
          <w:tcPr>
            <w:tcW w:w="140" w:type="dxa"/>
            <w:vAlign w:val="bottom"/>
            <w:tcBorders>
              <w:right w:val="single" w:sz="8" w:color="auto"/>
            </w:tcBorders>
            <w:gridSpan w:val="2"/>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10-K (Exhibit</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3/25/2024</w:t>
            </w:r>
          </w:p>
        </w:tc>
        <w:tc>
          <w:tcPr>
            <w:tcW w:w="1280" w:type="dxa"/>
            <w:vAlign w:val="bottom"/>
            <w:tcBorders>
              <w:right w:val="single" w:sz="8" w:color="auto"/>
            </w:tcBorders>
          </w:tcPr>
          <w:p>
            <w:pPr>
              <w:jc w:val="right"/>
              <w:ind w:right="90"/>
              <w:spacing w:after="0" w:line="156" w:lineRule="exact"/>
              <w:rPr>
                <w:sz w:val="20"/>
                <w:szCs w:val="20"/>
                <w:color w:val="auto"/>
              </w:rPr>
            </w:pPr>
            <w:r>
              <w:rPr>
                <w:rFonts w:ascii="Times New Roman" w:cs="Times New Roman" w:eastAsia="Times New Roman" w:hAnsi="Times New Roman"/>
                <w:sz w:val="18"/>
                <w:szCs w:val="18"/>
                <w:color w:val="auto"/>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dated March 22, 2024, by and between TMC the</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8"/>
              </w:rPr>
              <w:t>10.33)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metals company Inc. and Argentum Cedit Virtuti GCV</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10.38†</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33"/>
            <w:shd w:val="clear" w:color="auto" w:fill="CCEEFF"/>
          </w:tcPr>
          <w:p>
            <w:pPr>
              <w:spacing w:after="0" w:line="15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Third Amendment to the Unsecured Credit Facility,</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8/16/2024</w:t>
            </w:r>
          </w:p>
        </w:tc>
        <w:tc>
          <w:tcPr>
            <w:tcW w:w="1280" w:type="dxa"/>
            <w:vAlign w:val="bottom"/>
            <w:tcBorders>
              <w:right w:val="single" w:sz="8" w:color="auto"/>
            </w:tcBorders>
            <w:shd w:val="clear" w:color="auto" w:fill="CCEEFF"/>
          </w:tcPr>
          <w:p>
            <w:pPr>
              <w:jc w:val="right"/>
              <w:ind w:right="90"/>
              <w:spacing w:after="0" w:line="156" w:lineRule="exact"/>
              <w:rPr>
                <w:sz w:val="20"/>
                <w:szCs w:val="20"/>
                <w:color w:val="auto"/>
              </w:rPr>
            </w:pPr>
            <w:r>
              <w:rPr>
                <w:rFonts w:ascii="Times New Roman" w:cs="Times New Roman" w:eastAsia="Times New Roman" w:hAnsi="Times New Roman"/>
                <w:sz w:val="18"/>
                <w:szCs w:val="18"/>
                <w:color w:val="auto"/>
              </w:rPr>
              <w:t>001-39281</w:t>
            </w:r>
          </w:p>
        </w:tc>
      </w:tr>
      <w:tr>
        <w:trPr>
          <w:trHeight w:val="196"/>
        </w:trPr>
        <w:tc>
          <w:tcPr>
            <w:tcW w:w="96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560" w:type="dxa"/>
            <w:vAlign w:val="bottom"/>
            <w:tcBorders>
              <w:top w:val="single" w:sz="8" w:color="0000EE"/>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dated August 16, 2024, by and between TMC the</w:t>
              </w:r>
            </w:hyperlink>
          </w:p>
        </w:tc>
        <w:tc>
          <w:tcPr>
            <w:tcW w:w="16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280" w:type="dxa"/>
            <w:vAlign w:val="bottom"/>
            <w:tcBorders>
              <w:top w:val="single" w:sz="8" w:color="CCEEFF"/>
              <w:bottom w:val="single" w:sz="8" w:color="CCEEFF"/>
              <w:right w:val="single" w:sz="8" w:color="auto"/>
            </w:tcBorders>
            <w:gridSpan w:val="8"/>
            <w:shd w:val="clear" w:color="auto" w:fill="CCEEFF"/>
          </w:tcPr>
          <w:p>
            <w:pPr>
              <w:spacing w:after="0"/>
              <w:rPr>
                <w:sz w:val="17"/>
                <w:szCs w:val="17"/>
                <w:color w:val="auto"/>
              </w:rPr>
            </w:pPr>
          </w:p>
        </w:tc>
        <w:tc>
          <w:tcPr>
            <w:tcW w:w="7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metals company Inc. Argentum Cedit Virtuti GCV</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10.39†</w:t>
            </w:r>
          </w:p>
        </w:tc>
        <w:tc>
          <w:tcPr>
            <w:tcW w:w="160" w:type="dxa"/>
            <w:vAlign w:val="bottom"/>
          </w:tcPr>
          <w:p>
            <w:pPr>
              <w:spacing w:after="0"/>
              <w:rPr>
                <w:sz w:val="14"/>
                <w:szCs w:val="14"/>
                <w:color w:val="auto"/>
              </w:rPr>
            </w:pPr>
          </w:p>
        </w:tc>
        <w:tc>
          <w:tcPr>
            <w:tcW w:w="3940" w:type="dxa"/>
            <w:vAlign w:val="bottom"/>
            <w:tcBorders>
              <w:bottom w:val="single" w:sz="8" w:color="0000EE"/>
            </w:tcBorders>
            <w:gridSpan w:val="32"/>
          </w:tcPr>
          <w:p>
            <w:pPr>
              <w:spacing w:after="0" w:line="15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Working Capital Loan Agreement, dated September 9,</w:t>
              </w:r>
            </w:hyperlink>
          </w:p>
        </w:tc>
        <w:tc>
          <w:tcPr>
            <w:tcW w:w="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9/12/2024</w:t>
            </w:r>
          </w:p>
        </w:tc>
        <w:tc>
          <w:tcPr>
            <w:tcW w:w="1280" w:type="dxa"/>
            <w:vAlign w:val="bottom"/>
            <w:tcBorders>
              <w:right w:val="single" w:sz="8" w:color="auto"/>
            </w:tcBorders>
          </w:tcPr>
          <w:p>
            <w:pPr>
              <w:jc w:val="right"/>
              <w:ind w:right="90"/>
              <w:spacing w:after="0" w:line="156" w:lineRule="exact"/>
              <w:rPr>
                <w:sz w:val="20"/>
                <w:szCs w:val="20"/>
                <w:color w:val="auto"/>
              </w:rPr>
            </w:pPr>
            <w:r>
              <w:rPr>
                <w:rFonts w:ascii="Times New Roman" w:cs="Times New Roman" w:eastAsia="Times New Roman" w:hAnsi="Times New Roman"/>
                <w:sz w:val="18"/>
                <w:szCs w:val="18"/>
                <w:color w:val="auto"/>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2024, by and between TMC the metals company Inc.</w:t>
              </w:r>
            </w:hyperlink>
          </w:p>
        </w:tc>
        <w:tc>
          <w:tcPr>
            <w:tcW w:w="160" w:type="dxa"/>
            <w:vAlign w:val="bottom"/>
            <w:tcBorders>
              <w:right w:val="single" w:sz="8" w:color="auto"/>
            </w:tcBorders>
            <w:gridSpan w:val="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and Allseas Investments SA</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10.40†</w:t>
            </w:r>
          </w:p>
        </w:tc>
        <w:tc>
          <w:tcPr>
            <w:tcW w:w="160" w:type="dxa"/>
            <w:vAlign w:val="bottom"/>
            <w:tcBorders>
              <w:bottom w:val="single" w:sz="8" w:color="CCEEFF"/>
            </w:tcBorders>
            <w:shd w:val="clear" w:color="auto" w:fill="CCEEFF"/>
          </w:tcPr>
          <w:p>
            <w:pPr>
              <w:spacing w:after="0"/>
              <w:rPr>
                <w:sz w:val="14"/>
                <w:szCs w:val="14"/>
                <w:color w:val="auto"/>
              </w:rPr>
            </w:pPr>
          </w:p>
        </w:tc>
        <w:tc>
          <w:tcPr>
            <w:tcW w:w="3380" w:type="dxa"/>
            <w:vAlign w:val="bottom"/>
            <w:tcBorders>
              <w:bottom w:val="single" w:sz="8" w:color="0000EE"/>
            </w:tcBorders>
            <w:gridSpan w:val="13"/>
            <w:shd w:val="clear" w:color="auto" w:fill="CCEEFF"/>
          </w:tcPr>
          <w:p>
            <w:pPr>
              <w:spacing w:after="0" w:line="15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First Amendment to the Working Capital Loan</w:t>
              </w:r>
            </w:hyperlink>
          </w:p>
        </w:tc>
        <w:tc>
          <w:tcPr>
            <w:tcW w:w="620" w:type="dxa"/>
            <w:vAlign w:val="bottom"/>
            <w:tcBorders>
              <w:bottom w:val="single" w:sz="8" w:color="CCEEFF"/>
              <w:right w:val="single" w:sz="8" w:color="auto"/>
            </w:tcBorders>
            <w:gridSpan w:val="20"/>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Borders>
              <w:bottom w:val="single" w:sz="8" w:color="CCEEFF"/>
              <w:right w:val="single" w:sz="8" w:color="auto"/>
            </w:tcBorders>
            <w:shd w:val="clear" w:color="auto" w:fill="CCEEFF"/>
          </w:tcPr>
          <w:p>
            <w:pPr>
              <w:jc w:val="center"/>
              <w:ind w:left="10"/>
              <w:spacing w:after="0" w:line="156" w:lineRule="exact"/>
              <w:rPr>
                <w:sz w:val="20"/>
                <w:szCs w:val="20"/>
                <w:color w:val="auto"/>
              </w:rPr>
            </w:pPr>
            <w:r>
              <w:rPr>
                <w:rFonts w:ascii="Times New Roman" w:cs="Times New Roman" w:eastAsia="Times New Roman" w:hAnsi="Times New Roman"/>
                <w:sz w:val="18"/>
                <w:szCs w:val="18"/>
                <w:color w:val="auto"/>
                <w:w w:val="99"/>
              </w:rPr>
              <w:t>10/24/2024</w:t>
            </w:r>
          </w:p>
        </w:tc>
        <w:tc>
          <w:tcPr>
            <w:tcW w:w="1280" w:type="dxa"/>
            <w:vAlign w:val="bottom"/>
            <w:tcBorders>
              <w:bottom w:val="single" w:sz="8" w:color="CCEEFF"/>
              <w:right w:val="single" w:sz="8" w:color="auto"/>
            </w:tcBorders>
            <w:shd w:val="clear" w:color="auto" w:fill="CCEEFF"/>
          </w:tcPr>
          <w:p>
            <w:pPr>
              <w:jc w:val="right"/>
              <w:ind w:right="90"/>
              <w:spacing w:after="0" w:line="156" w:lineRule="exact"/>
              <w:rPr>
                <w:sz w:val="20"/>
                <w:szCs w:val="20"/>
                <w:color w:val="auto"/>
              </w:rPr>
            </w:pPr>
            <w:r>
              <w:rPr>
                <w:rFonts w:ascii="Times New Roman" w:cs="Times New Roman" w:eastAsia="Times New Roman" w:hAnsi="Times New Roman"/>
                <w:sz w:val="18"/>
                <w:szCs w:val="18"/>
                <w:color w:val="auto"/>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0000EE"/>
            </w:tcBorders>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Agreement, dated October 18, 2024, by and between</w:t>
              </w:r>
            </w:hyperlink>
          </w:p>
        </w:tc>
        <w:tc>
          <w:tcPr>
            <w:tcW w:w="180" w:type="dxa"/>
            <w:vAlign w:val="bottom"/>
            <w:tcBorders>
              <w:bottom w:val="single" w:sz="8" w:color="CCEEFF"/>
              <w:right w:val="single" w:sz="8" w:color="auto"/>
            </w:tcBorders>
            <w:gridSpan w:val="4"/>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the Company and Allseas Investments SA</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10.41</w:t>
            </w:r>
          </w:p>
        </w:tc>
        <w:tc>
          <w:tcPr>
            <w:tcW w:w="160" w:type="dxa"/>
            <w:vAlign w:val="bottom"/>
          </w:tcPr>
          <w:p>
            <w:pPr>
              <w:spacing w:after="0"/>
              <w:rPr>
                <w:sz w:val="14"/>
                <w:szCs w:val="14"/>
                <w:color w:val="auto"/>
              </w:rPr>
            </w:pPr>
          </w:p>
        </w:tc>
        <w:tc>
          <w:tcPr>
            <w:tcW w:w="4000" w:type="dxa"/>
            <w:vAlign w:val="bottom"/>
            <w:tcBorders>
              <w:right w:val="single" w:sz="8" w:color="auto"/>
            </w:tcBorders>
            <w:gridSpan w:val="33"/>
          </w:tcPr>
          <w:p>
            <w:pPr>
              <w:spacing w:after="0" w:line="156" w:lineRule="exact"/>
              <w:rPr>
                <w:sz w:val="20"/>
                <w:szCs w:val="20"/>
                <w:color w:val="auto"/>
              </w:rPr>
            </w:pPr>
            <w:r>
              <w:rPr>
                <w:rFonts w:ascii="Times New Roman" w:cs="Times New Roman" w:eastAsia="Times New Roman" w:hAnsi="Times New Roman"/>
                <w:sz w:val="18"/>
                <w:szCs w:val="18"/>
                <w:color w:val="0000EE"/>
              </w:rPr>
              <w:t>Letter Agreement, dated March 24, 2025, by and</w:t>
            </w:r>
          </w:p>
        </w:tc>
        <w:tc>
          <w:tcPr>
            <w:tcW w:w="740" w:type="dxa"/>
            <w:vAlign w:val="bottom"/>
            <w:tcBorders>
              <w:right w:val="single" w:sz="8" w:color="auto"/>
            </w:tcBorders>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among the Company, Allseas Investments SA and</w:t>
            </w:r>
          </w:p>
        </w:tc>
        <w:tc>
          <w:tcPr>
            <w:tcW w:w="380" w:type="dxa"/>
            <w:vAlign w:val="bottom"/>
            <w:tcBorders>
              <w:right w:val="single" w:sz="8" w:color="auto"/>
            </w:tcBorders>
            <w:gridSpan w:val="12"/>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Argentum Cedit Virtuti GCV</w:t>
            </w: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10.42†</w:t>
            </w:r>
          </w:p>
        </w:tc>
        <w:tc>
          <w:tcPr>
            <w:tcW w:w="160" w:type="dxa"/>
            <w:vAlign w:val="bottom"/>
            <w:tcBorders>
              <w:bottom w:val="single" w:sz="8" w:color="CCEEFF"/>
            </w:tcBorders>
            <w:shd w:val="clear" w:color="auto" w:fill="CCEEFF"/>
          </w:tcPr>
          <w:p>
            <w:pPr>
              <w:spacing w:after="0"/>
              <w:rPr>
                <w:sz w:val="14"/>
                <w:szCs w:val="14"/>
                <w:color w:val="auto"/>
              </w:rPr>
            </w:pPr>
          </w:p>
        </w:tc>
        <w:tc>
          <w:tcPr>
            <w:tcW w:w="3800" w:type="dxa"/>
            <w:vAlign w:val="bottom"/>
            <w:tcBorders>
              <w:bottom w:val="single" w:sz="8" w:color="0000EE"/>
            </w:tcBorders>
            <w:gridSpan w:val="28"/>
            <w:shd w:val="clear" w:color="auto" w:fill="CCEEFF"/>
          </w:tcPr>
          <w:p>
            <w:pPr>
              <w:spacing w:after="0" w:line="15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Unsecured Credit Facility, dated March 22, 2024, by</w:t>
              </w:r>
            </w:hyperlink>
          </w:p>
        </w:tc>
        <w:tc>
          <w:tcPr>
            <w:tcW w:w="200" w:type="dxa"/>
            <w:vAlign w:val="bottom"/>
            <w:tcBorders>
              <w:bottom w:val="single" w:sz="8" w:color="CCEEFF"/>
              <w:right w:val="single" w:sz="8" w:color="auto"/>
            </w:tcBorders>
            <w:gridSpan w:val="5"/>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10-K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3/25/2024</w:t>
            </w:r>
          </w:p>
        </w:tc>
        <w:tc>
          <w:tcPr>
            <w:tcW w:w="1280" w:type="dxa"/>
            <w:vAlign w:val="bottom"/>
            <w:tcBorders>
              <w:bottom w:val="single" w:sz="8" w:color="CCEEFF"/>
              <w:right w:val="single" w:sz="8" w:color="auto"/>
            </w:tcBorders>
            <w:shd w:val="clear" w:color="auto" w:fill="CCEEFF"/>
          </w:tcPr>
          <w:p>
            <w:pPr>
              <w:jc w:val="right"/>
              <w:ind w:right="90"/>
              <w:spacing w:after="0" w:line="156" w:lineRule="exact"/>
              <w:rPr>
                <w:sz w:val="20"/>
                <w:szCs w:val="20"/>
                <w:color w:val="auto"/>
              </w:rPr>
            </w:pPr>
            <w:r>
              <w:rPr>
                <w:rFonts w:ascii="Times New Roman" w:cs="Times New Roman" w:eastAsia="Times New Roman" w:hAnsi="Times New Roman"/>
                <w:sz w:val="18"/>
                <w:szCs w:val="18"/>
                <w:color w:val="auto"/>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and among TMC the metals company Inc., Gerard</w:t>
              </w:r>
            </w:hyperlink>
          </w:p>
        </w:tc>
        <w:tc>
          <w:tcPr>
            <w:tcW w:w="360" w:type="dxa"/>
            <w:vAlign w:val="bottom"/>
            <w:tcBorders>
              <w:bottom w:val="single" w:sz="8" w:color="CCEEFF"/>
              <w:right w:val="single" w:sz="8" w:color="auto"/>
            </w:tcBorders>
            <w:gridSpan w:val="11"/>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(Exhibit 10.34)</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Barron and ERAS Capital LLC</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10.43†</w:t>
            </w:r>
          </w:p>
        </w:tc>
        <w:tc>
          <w:tcPr>
            <w:tcW w:w="160" w:type="dxa"/>
            <w:vAlign w:val="bottom"/>
          </w:tcPr>
          <w:p>
            <w:pPr>
              <w:spacing w:after="0"/>
              <w:rPr>
                <w:sz w:val="14"/>
                <w:szCs w:val="14"/>
                <w:color w:val="auto"/>
              </w:rPr>
            </w:pPr>
          </w:p>
        </w:tc>
        <w:tc>
          <w:tcPr>
            <w:tcW w:w="3660" w:type="dxa"/>
            <w:vAlign w:val="bottom"/>
            <w:tcBorders>
              <w:bottom w:val="single" w:sz="8" w:color="0000EE"/>
            </w:tcBorders>
            <w:gridSpan w:val="23"/>
          </w:tcPr>
          <w:p>
            <w:pPr>
              <w:spacing w:after="0" w:line="15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First Amendment to the Unsecured Credit Facility,</w:t>
              </w:r>
            </w:hyperlink>
          </w:p>
        </w:tc>
        <w:tc>
          <w:tcPr>
            <w:tcW w:w="340" w:type="dxa"/>
            <w:vAlign w:val="bottom"/>
            <w:tcBorders>
              <w:right w:val="single" w:sz="8" w:color="auto"/>
            </w:tcBorders>
            <w:gridSpan w:val="10"/>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10-Q</w:t>
            </w:r>
          </w:p>
        </w:tc>
        <w:tc>
          <w:tcPr>
            <w:tcW w:w="10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8/14/2024</w:t>
            </w:r>
          </w:p>
        </w:tc>
        <w:tc>
          <w:tcPr>
            <w:tcW w:w="1280" w:type="dxa"/>
            <w:vAlign w:val="bottom"/>
            <w:tcBorders>
              <w:right w:val="single" w:sz="8" w:color="auto"/>
            </w:tcBorders>
          </w:tcPr>
          <w:p>
            <w:pPr>
              <w:jc w:val="right"/>
              <w:ind w:right="90"/>
              <w:spacing w:after="0" w:line="156" w:lineRule="exact"/>
              <w:rPr>
                <w:sz w:val="20"/>
                <w:szCs w:val="20"/>
                <w:color w:val="auto"/>
              </w:rPr>
            </w:pPr>
            <w:r>
              <w:rPr>
                <w:rFonts w:ascii="Times New Roman" w:cs="Times New Roman" w:eastAsia="Times New Roman" w:hAnsi="Times New Roman"/>
                <w:sz w:val="18"/>
                <w:szCs w:val="18"/>
                <w:color w:val="auto"/>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dated August 13, 2024, by and between TMC the</w:t>
              </w:r>
            </w:hyperlink>
          </w:p>
        </w:tc>
        <w:tc>
          <w:tcPr>
            <w:tcW w:w="440" w:type="dxa"/>
            <w:vAlign w:val="bottom"/>
            <w:tcBorders>
              <w:right w:val="single" w:sz="8" w:color="auto"/>
            </w:tcBorders>
            <w:gridSpan w:val="1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10.5)</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metals company Inc. and Gerard Barron and ERAS</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Capital LLC</w:t>
              </w:r>
            </w:hyperlink>
          </w:p>
        </w:tc>
        <w:tc>
          <w:tcPr>
            <w:tcW w:w="300" w:type="dxa"/>
            <w:vAlign w:val="bottom"/>
            <w:tcBorders>
              <w:right w:val="single" w:sz="8" w:color="auto"/>
            </w:tcBorders>
            <w:gridSpan w:val="9"/>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10.44</w:t>
            </w:r>
          </w:p>
        </w:tc>
        <w:tc>
          <w:tcPr>
            <w:tcW w:w="160" w:type="dxa"/>
            <w:vAlign w:val="bottom"/>
            <w:tcBorders>
              <w:bottom w:val="single" w:sz="8" w:color="CCEEFF"/>
            </w:tcBorders>
            <w:shd w:val="clear" w:color="auto" w:fill="CCEEFF"/>
          </w:tcPr>
          <w:p>
            <w:pPr>
              <w:spacing w:after="0"/>
              <w:rPr>
                <w:sz w:val="14"/>
                <w:szCs w:val="14"/>
                <w:color w:val="auto"/>
              </w:rPr>
            </w:pPr>
          </w:p>
        </w:tc>
        <w:tc>
          <w:tcPr>
            <w:tcW w:w="3860" w:type="dxa"/>
            <w:vAlign w:val="bottom"/>
            <w:tcBorders>
              <w:bottom w:val="single" w:sz="8" w:color="0000EE"/>
            </w:tcBorders>
            <w:gridSpan w:val="3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Second Amendment to the Unsecured Credit Facility,</w:t>
            </w:r>
          </w:p>
        </w:tc>
        <w:tc>
          <w:tcPr>
            <w:tcW w:w="140" w:type="dxa"/>
            <w:vAlign w:val="bottom"/>
            <w:tcBorders>
              <w:bottom w:val="single" w:sz="8" w:color="CCEEFF"/>
              <w:right w:val="single" w:sz="8" w:color="auto"/>
            </w:tcBorders>
            <w:gridSpan w:val="2"/>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bottom w:val="single" w:sz="8" w:color="CCEEFF"/>
              <w:right w:val="single" w:sz="8" w:color="auto"/>
            </w:tcBorders>
            <w:shd w:val="clear" w:color="auto" w:fill="CCEEFF"/>
          </w:tcPr>
          <w:p>
            <w:pPr>
              <w:spacing w:after="0"/>
              <w:rPr>
                <w:sz w:val="14"/>
                <w:szCs w:val="14"/>
                <w:color w:val="auto"/>
              </w:rPr>
            </w:pPr>
          </w:p>
        </w:tc>
        <w:tc>
          <w:tcPr>
            <w:tcW w:w="1000" w:type="dxa"/>
            <w:vAlign w:val="bottom"/>
            <w:tcBorders>
              <w:bottom w:val="single" w:sz="8" w:color="CCEEFF"/>
              <w:right w:val="single" w:sz="8" w:color="auto"/>
            </w:tcBorders>
            <w:shd w:val="clear" w:color="auto" w:fill="CCEEFF"/>
          </w:tcPr>
          <w:p>
            <w:pPr>
              <w:spacing w:after="0"/>
              <w:rPr>
                <w:sz w:val="14"/>
                <w:szCs w:val="14"/>
                <w:color w:val="auto"/>
              </w:rPr>
            </w:pPr>
          </w:p>
        </w:tc>
        <w:tc>
          <w:tcPr>
            <w:tcW w:w="12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EE"/>
            </w:tcBorders>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dated November 14, 2024, by and between TMC the</w:t>
            </w:r>
          </w:p>
        </w:tc>
        <w:tc>
          <w:tcPr>
            <w:tcW w:w="200" w:type="dxa"/>
            <w:vAlign w:val="bottom"/>
            <w:tcBorders>
              <w:bottom w:val="single" w:sz="8" w:color="CCEEFF"/>
              <w:right w:val="single" w:sz="8" w:color="auto"/>
            </w:tcBorders>
            <w:gridSpan w:val="5"/>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metals company Inc. and Gerard Barron and ERAS</w:t>
            </w:r>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6"/>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700" w:type="dxa"/>
            <w:vAlign w:val="bottom"/>
            <w:tcBorders>
              <w:top w:val="single" w:sz="8" w:color="0000EE"/>
              <w:bottom w:val="single" w:sz="8" w:color="auto"/>
            </w:tcBorders>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Capital LLC</w:t>
            </w:r>
          </w:p>
        </w:tc>
        <w:tc>
          <w:tcPr>
            <w:tcW w:w="300" w:type="dxa"/>
            <w:vAlign w:val="bottom"/>
            <w:tcBorders>
              <w:top w:val="single" w:sz="8" w:color="CCEEFF"/>
              <w:bottom w:val="single" w:sz="8" w:color="auto"/>
              <w:right w:val="single" w:sz="8" w:color="auto"/>
            </w:tcBorders>
            <w:gridSpan w:val="9"/>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10.45</w:t>
            </w:r>
          </w:p>
        </w:tc>
        <w:tc>
          <w:tcPr>
            <w:tcW w:w="160" w:type="dxa"/>
            <w:vAlign w:val="bottom"/>
          </w:tcPr>
          <w:p>
            <w:pPr>
              <w:spacing w:after="0"/>
              <w:rPr>
                <w:sz w:val="14"/>
                <w:szCs w:val="14"/>
                <w:color w:val="auto"/>
              </w:rPr>
            </w:pPr>
          </w:p>
        </w:tc>
        <w:tc>
          <w:tcPr>
            <w:tcW w:w="4000" w:type="dxa"/>
            <w:vAlign w:val="bottom"/>
            <w:tcBorders>
              <w:right w:val="single" w:sz="8" w:color="auto"/>
            </w:tcBorders>
            <w:gridSpan w:val="33"/>
          </w:tcPr>
          <w:p>
            <w:pPr>
              <w:spacing w:after="0" w:line="156" w:lineRule="exact"/>
              <w:rPr>
                <w:sz w:val="20"/>
                <w:szCs w:val="20"/>
                <w:color w:val="auto"/>
              </w:rPr>
            </w:pPr>
            <w:r>
              <w:rPr>
                <w:rFonts w:ascii="Times New Roman" w:cs="Times New Roman" w:eastAsia="Times New Roman" w:hAnsi="Times New Roman"/>
                <w:sz w:val="18"/>
                <w:szCs w:val="18"/>
                <w:color w:val="0000EE"/>
              </w:rPr>
              <w:t>Third Amendment to the Unsecured Credit Facility,</w:t>
            </w:r>
          </w:p>
        </w:tc>
        <w:tc>
          <w:tcPr>
            <w:tcW w:w="740" w:type="dxa"/>
            <w:vAlign w:val="bottom"/>
            <w:tcBorders>
              <w:right w:val="single" w:sz="8" w:color="auto"/>
            </w:tcBorders>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dated March 26, 2025, by and between TMC the</w:t>
            </w:r>
          </w:p>
        </w:tc>
        <w:tc>
          <w:tcPr>
            <w:tcW w:w="280" w:type="dxa"/>
            <w:vAlign w:val="bottom"/>
            <w:tcBorders>
              <w:right w:val="single" w:sz="8" w:color="auto"/>
            </w:tcBorders>
            <w:gridSpan w:val="8"/>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metals company Inc. and Gerard Barron and ERAS</w:t>
            </w: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Capital LLC</w:t>
            </w:r>
          </w:p>
        </w:tc>
        <w:tc>
          <w:tcPr>
            <w:tcW w:w="300" w:type="dxa"/>
            <w:vAlign w:val="bottom"/>
            <w:tcBorders>
              <w:right w:val="single" w:sz="8" w:color="auto"/>
            </w:tcBorders>
            <w:gridSpan w:val="9"/>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rPr>
              <w:t>Insider Trading Policy</w:t>
            </w:r>
          </w:p>
        </w:tc>
        <w:tc>
          <w:tcPr>
            <w:tcW w:w="740" w:type="dxa"/>
            <w:vAlign w:val="bottom"/>
            <w:tcBorders>
              <w:bottom w:val="single" w:sz="8" w:color="auto"/>
              <w:right w:val="single" w:sz="8" w:color="auto"/>
            </w:tcBorders>
            <w:shd w:val="clear" w:color="auto" w:fill="CCEEFF"/>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4"/>
                <w:szCs w:val="14"/>
                <w:color w:val="auto"/>
              </w:rPr>
            </w:pPr>
          </w:p>
        </w:tc>
        <w:tc>
          <w:tcPr>
            <w:tcW w:w="4000" w:type="dxa"/>
            <w:vAlign w:val="bottom"/>
            <w:tcBorders>
              <w:right w:val="single" w:sz="8" w:color="auto"/>
            </w:tcBorders>
            <w:gridSpan w:val="33"/>
          </w:tcPr>
          <w:p>
            <w:pPr>
              <w:spacing w:after="0" w:line="156" w:lineRule="exact"/>
              <w:rPr>
                <w:sz w:val="20"/>
                <w:szCs w:val="20"/>
                <w:color w:val="auto"/>
              </w:rPr>
            </w:pPr>
            <w:r>
              <w:rPr>
                <w:rFonts w:ascii="Times New Roman" w:cs="Times New Roman" w:eastAsia="Times New Roman" w:hAnsi="Times New Roman"/>
                <w:sz w:val="18"/>
                <w:szCs w:val="18"/>
                <w:color w:val="0000EE"/>
              </w:rPr>
              <w:t>List of Subsidiaries</w:t>
            </w:r>
          </w:p>
        </w:tc>
        <w:tc>
          <w:tcPr>
            <w:tcW w:w="740" w:type="dxa"/>
            <w:vAlign w:val="bottom"/>
            <w:tcBorders>
              <w:right w:val="single" w:sz="8" w:color="auto"/>
            </w:tcBorders>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48"/>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56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23.1</w:t>
            </w: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rPr>
              <w:t>Consent of Ernst &amp; Young LLP</w:t>
            </w:r>
          </w:p>
        </w:tc>
        <w:tc>
          <w:tcPr>
            <w:tcW w:w="740" w:type="dxa"/>
            <w:vAlign w:val="bottom"/>
            <w:tcBorders>
              <w:bottom w:val="single" w:sz="8" w:color="auto"/>
              <w:right w:val="single" w:sz="8" w:color="auto"/>
            </w:tcBorders>
            <w:shd w:val="clear" w:color="auto" w:fill="CCEEFF"/>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4"/>
                <w:szCs w:val="14"/>
                <w:color w:val="auto"/>
              </w:rPr>
            </w:pPr>
          </w:p>
        </w:tc>
        <w:tc>
          <w:tcPr>
            <w:tcW w:w="3400" w:type="dxa"/>
            <w:vAlign w:val="bottom"/>
            <w:tcBorders>
              <w:bottom w:val="single" w:sz="8" w:color="0000EE"/>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EE"/>
                <w:w w:val="99"/>
              </w:rPr>
              <w:t>Certification of the Principal Executive Officer</w:t>
            </w:r>
          </w:p>
        </w:tc>
        <w:tc>
          <w:tcPr>
            <w:tcW w:w="600" w:type="dxa"/>
            <w:vAlign w:val="bottom"/>
            <w:tcBorders>
              <w:right w:val="single" w:sz="8" w:color="auto"/>
            </w:tcBorders>
            <w:gridSpan w:val="19"/>
          </w:tcPr>
          <w:p>
            <w:pPr>
              <w:spacing w:after="0"/>
              <w:rPr>
                <w:sz w:val="14"/>
                <w:szCs w:val="14"/>
                <w:color w:val="auto"/>
              </w:rPr>
            </w:pPr>
          </w:p>
        </w:tc>
        <w:tc>
          <w:tcPr>
            <w:tcW w:w="740" w:type="dxa"/>
            <w:vAlign w:val="bottom"/>
            <w:tcBorders>
              <w:right w:val="single" w:sz="8" w:color="auto"/>
            </w:tcBorders>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w:t>
            </w: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2002</w:t>
            </w:r>
          </w:p>
        </w:tc>
        <w:tc>
          <w:tcPr>
            <w:tcW w:w="4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3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rPr>
              <w:t>Certification of the Principal Financial Officer</w:t>
            </w:r>
          </w:p>
        </w:tc>
        <w:tc>
          <w:tcPr>
            <w:tcW w:w="740" w:type="dxa"/>
            <w:vAlign w:val="bottom"/>
            <w:tcBorders>
              <w:right w:val="single" w:sz="8" w:color="auto"/>
            </w:tcBorders>
            <w:shd w:val="clear" w:color="auto" w:fill="CCEEFF"/>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1280" w:type="dxa"/>
            <w:vAlign w:val="bottom"/>
            <w:tcBorders>
              <w:right w:val="single" w:sz="8" w:color="auto"/>
            </w:tcBorders>
            <w:shd w:val="clear" w:color="auto" w:fill="CCEEFF"/>
          </w:tcPr>
          <w:p>
            <w:pPr>
              <w:spacing w:after="0"/>
              <w:rPr>
                <w:sz w:val="14"/>
                <w:szCs w:val="14"/>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560" w:type="dxa"/>
            <w:vAlign w:val="bottom"/>
            <w:tcBorders>
              <w:right w:val="single" w:sz="8" w:color="auto"/>
            </w:tcBorders>
            <w:gridSpan w:val="17"/>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w:t>
            </w:r>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920" w:type="dxa"/>
            <w:vAlign w:val="bottom"/>
            <w:tcBorders>
              <w:top w:val="single" w:sz="8" w:color="0000EE"/>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2002</w:t>
            </w:r>
          </w:p>
        </w:tc>
        <w:tc>
          <w:tcPr>
            <w:tcW w:w="480" w:type="dxa"/>
            <w:vAlign w:val="bottom"/>
            <w:tcBorders>
              <w:top w:val="single" w:sz="8" w:color="0000EE"/>
              <w:bottom w:val="single" w:sz="8" w:color="auto"/>
            </w:tcBorders>
            <w:shd w:val="clear" w:color="auto" w:fill="CCEEFF"/>
          </w:tcPr>
          <w:p>
            <w:pPr>
              <w:spacing w:after="0"/>
              <w:rPr>
                <w:sz w:val="20"/>
                <w:szCs w:val="20"/>
                <w:color w:val="auto"/>
              </w:rPr>
            </w:pPr>
          </w:p>
        </w:tc>
        <w:tc>
          <w:tcPr>
            <w:tcW w:w="220" w:type="dxa"/>
            <w:vAlign w:val="bottom"/>
            <w:tcBorders>
              <w:top w:val="single" w:sz="8" w:color="0000EE"/>
              <w:bottom w:val="single" w:sz="8" w:color="auto"/>
            </w:tcBorders>
            <w:shd w:val="clear" w:color="auto" w:fill="CCEEFF"/>
          </w:tcPr>
          <w:p>
            <w:pPr>
              <w:spacing w:after="0"/>
              <w:rPr>
                <w:sz w:val="20"/>
                <w:szCs w:val="20"/>
                <w:color w:val="auto"/>
              </w:rPr>
            </w:pPr>
          </w:p>
        </w:tc>
        <w:tc>
          <w:tcPr>
            <w:tcW w:w="4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16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760" w:type="dxa"/>
            <w:vAlign w:val="bottom"/>
            <w:tcBorders>
              <w:top w:val="single" w:sz="8" w:color="0000EE"/>
              <w:bottom w:val="single" w:sz="8" w:color="auto"/>
            </w:tcBorders>
            <w:shd w:val="clear" w:color="auto" w:fill="CCEEFF"/>
          </w:tcPr>
          <w:p>
            <w:pPr>
              <w:spacing w:after="0"/>
              <w:rPr>
                <w:sz w:val="20"/>
                <w:szCs w:val="20"/>
                <w:color w:val="auto"/>
              </w:rPr>
            </w:pPr>
          </w:p>
        </w:tc>
        <w:tc>
          <w:tcPr>
            <w:tcW w:w="80" w:type="dxa"/>
            <w:vAlign w:val="bottom"/>
            <w:tcBorders>
              <w:top w:val="single" w:sz="8" w:color="0000EE"/>
              <w:bottom w:val="single" w:sz="8" w:color="auto"/>
            </w:tcBorders>
            <w:shd w:val="clear" w:color="auto" w:fill="CCEEFF"/>
          </w:tcPr>
          <w:p>
            <w:pPr>
              <w:spacing w:after="0"/>
              <w:rPr>
                <w:sz w:val="20"/>
                <w:szCs w:val="20"/>
                <w:color w:val="auto"/>
              </w:rPr>
            </w:pPr>
          </w:p>
        </w:tc>
        <w:tc>
          <w:tcPr>
            <w:tcW w:w="2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4"/>
                <w:szCs w:val="14"/>
                <w:color w:val="auto"/>
              </w:rPr>
            </w:pPr>
          </w:p>
        </w:tc>
        <w:tc>
          <w:tcPr>
            <w:tcW w:w="4000" w:type="dxa"/>
            <w:vAlign w:val="bottom"/>
            <w:tcBorders>
              <w:right w:val="single" w:sz="8" w:color="auto"/>
            </w:tcBorders>
            <w:gridSpan w:val="33"/>
          </w:tcPr>
          <w:p>
            <w:pPr>
              <w:spacing w:after="0" w:line="156" w:lineRule="exact"/>
              <w:rPr>
                <w:sz w:val="20"/>
                <w:szCs w:val="20"/>
                <w:color w:val="auto"/>
              </w:rPr>
            </w:pPr>
            <w:r>
              <w:rPr>
                <w:rFonts w:ascii="Times New Roman" w:cs="Times New Roman" w:eastAsia="Times New Roman" w:hAnsi="Times New Roman"/>
                <w:sz w:val="18"/>
                <w:szCs w:val="18"/>
                <w:color w:val="0000EE"/>
                <w:w w:val="99"/>
              </w:rPr>
              <w:t>Certifications of the Chief Executive Officer and Chief</w:t>
            </w:r>
          </w:p>
        </w:tc>
        <w:tc>
          <w:tcPr>
            <w:tcW w:w="740" w:type="dxa"/>
            <w:vAlign w:val="bottom"/>
            <w:tcBorders>
              <w:right w:val="single" w:sz="8" w:color="auto"/>
            </w:tcBorders>
          </w:tcPr>
          <w:p>
            <w:pPr>
              <w:ind w:left="3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top w:val="single" w:sz="8" w:color="0000EE"/>
              <w:right w:val="single" w:sz="8" w:color="auto"/>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pursuant to Section 906 of the</w:t>
            </w: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560" w:type="dxa"/>
            <w:vAlign w:val="bottom"/>
            <w:tcBorders>
              <w:right w:val="single" w:sz="8" w:color="auto"/>
            </w:tcBorders>
            <w:gridSpan w:val="17"/>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641"/>
        </w:trPr>
        <w:tc>
          <w:tcPr>
            <w:tcW w:w="960" w:type="dxa"/>
            <w:vAlign w:val="bottom"/>
          </w:tcPr>
          <w:p>
            <w:pPr>
              <w:spacing w:after="0"/>
              <w:rPr>
                <w:sz w:val="24"/>
                <w:szCs w:val="24"/>
                <w:color w:val="auto"/>
              </w:rPr>
            </w:pPr>
          </w:p>
        </w:tc>
        <w:tc>
          <w:tcPr>
            <w:tcW w:w="4160" w:type="dxa"/>
            <w:vAlign w:val="bottom"/>
            <w:gridSpan w:val="34"/>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bottom w:val="single" w:sz="8" w:color="CCEEFF"/>
              <w:right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96.1</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3780" w:type="dxa"/>
            <w:vAlign w:val="bottom"/>
            <w:tcBorders>
              <w:top w:val="single" w:sz="8" w:color="auto"/>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Technical Report Summary — Initial Assessment of</w:t>
              </w:r>
            </w:hyperlink>
          </w:p>
        </w:tc>
        <w:tc>
          <w:tcPr>
            <w:tcW w:w="220" w:type="dxa"/>
            <w:vAlign w:val="bottom"/>
            <w:tcBorders>
              <w:top w:val="single" w:sz="8" w:color="auto"/>
              <w:bottom w:val="single" w:sz="8" w:color="CCEEFF"/>
              <w:right w:val="single" w:sz="8" w:color="auto"/>
            </w:tcBorders>
            <w:gridSpan w:val="2"/>
            <w:shd w:val="clear" w:color="auto" w:fill="CCEEFF"/>
          </w:tcPr>
          <w:p>
            <w:pPr>
              <w:spacing w:after="0"/>
              <w:rPr>
                <w:sz w:val="16"/>
                <w:szCs w:val="16"/>
                <w:color w:val="auto"/>
              </w:rPr>
            </w:pPr>
          </w:p>
        </w:tc>
        <w:tc>
          <w:tcPr>
            <w:tcW w:w="740" w:type="dxa"/>
            <w:vAlign w:val="bottom"/>
            <w:tcBorders>
              <w:top w:val="single" w:sz="8" w:color="auto"/>
              <w:bottom w:val="single" w:sz="8" w:color="CCEEFF"/>
              <w:right w:val="single" w:sz="8" w:color="auto"/>
            </w:tcBorders>
            <w:shd w:val="clear" w:color="auto" w:fill="CCEEFF"/>
          </w:tcPr>
          <w:p>
            <w:pPr>
              <w:spacing w:after="0"/>
              <w:rPr>
                <w:sz w:val="16"/>
                <w:szCs w:val="16"/>
                <w:color w:val="auto"/>
              </w:rPr>
            </w:pPr>
          </w:p>
        </w:tc>
        <w:tc>
          <w:tcPr>
            <w:tcW w:w="1780" w:type="dxa"/>
            <w:vAlign w:val="bottom"/>
            <w:tcBorders>
              <w:top w:val="single" w:sz="8" w:color="auto"/>
              <w:bottom w:val="single" w:sz="8" w:color="CCEEFF"/>
              <w:right w:val="single" w:sz="8" w:color="auto"/>
            </w:tcBorders>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top w:val="single" w:sz="8" w:color="auto"/>
              <w:bottom w:val="single" w:sz="8" w:color="CCEEFF"/>
              <w:right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8/5/2021</w:t>
            </w:r>
          </w:p>
        </w:tc>
        <w:tc>
          <w:tcPr>
            <w:tcW w:w="1280" w:type="dxa"/>
            <w:vAlign w:val="bottom"/>
            <w:tcBorders>
              <w:top w:val="single" w:sz="8" w:color="auto"/>
              <w:bottom w:val="single" w:sz="8" w:color="CCEEFF"/>
              <w:right w:val="single" w:sz="8" w:color="auto"/>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right w:val="single" w:sz="8" w:color="auto"/>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the NORI Property, Clarion Clipperton Zone, for Deep</w:t>
              </w:r>
            </w:hyperlink>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96.1)</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Green Metals Inc., effective as of March 17, 2021, by</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CCEEFF"/>
            </w:tcBorders>
            <w:gridSpan w:val="2"/>
            <w:shd w:val="clear" w:color="auto" w:fill="0000EE"/>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AMC Consultants Pty Ltd and other qualified persons</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96.2</w:t>
            </w:r>
          </w:p>
        </w:tc>
        <w:tc>
          <w:tcPr>
            <w:tcW w:w="160" w:type="dxa"/>
            <w:vAlign w:val="bottom"/>
          </w:tcPr>
          <w:p>
            <w:pPr>
              <w:spacing w:after="0"/>
              <w:rPr>
                <w:sz w:val="14"/>
                <w:szCs w:val="14"/>
                <w:color w:val="auto"/>
              </w:rPr>
            </w:pPr>
          </w:p>
        </w:tc>
        <w:tc>
          <w:tcPr>
            <w:tcW w:w="3380" w:type="dxa"/>
            <w:vAlign w:val="bottom"/>
            <w:tcBorders>
              <w:bottom w:val="single" w:sz="8" w:color="0000EE"/>
            </w:tcBorders>
            <w:gridSpan w:val="3"/>
          </w:tcPr>
          <w:p>
            <w:pPr>
              <w:spacing w:after="0" w:line="15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Technical Report Summary — TOML Mineral</w:t>
              </w:r>
            </w:hyperlink>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69" w:lineRule="exact"/>
              <w:rPr>
                <w:sz w:val="20"/>
                <w:szCs w:val="20"/>
                <w:color w:val="auto"/>
              </w:rPr>
            </w:pPr>
            <w:r>
              <w:rPr>
                <w:rFonts w:ascii="Times New Roman" w:cs="Times New Roman" w:eastAsia="Times New Roman" w:hAnsi="Times New Roman"/>
                <w:sz w:val="18"/>
                <w:szCs w:val="18"/>
                <w:color w:val="auto"/>
                <w:w w:val="99"/>
              </w:rPr>
              <w:t>Form S-4/A</w:t>
            </w:r>
          </w:p>
        </w:tc>
        <w:tc>
          <w:tcPr>
            <w:tcW w:w="10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8/5/2021</w:t>
            </w:r>
          </w:p>
        </w:tc>
        <w:tc>
          <w:tcPr>
            <w:tcW w:w="1280" w:type="dxa"/>
            <w:vAlign w:val="bottom"/>
            <w:tcBorders>
              <w:right w:val="single" w:sz="8" w:color="auto"/>
            </w:tcBorders>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8"/>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Resource, Clarion Clipperton Zone, Pacific Ocean, for</w:t>
              </w:r>
            </w:hyperlink>
          </w:p>
        </w:tc>
        <w:tc>
          <w:tcPr>
            <w:tcW w:w="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(Exhibit 96.2)</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Deep Green Metals Inc., effective as of March 26,</w:t>
              </w:r>
            </w:hyperlink>
          </w:p>
        </w:tc>
        <w:tc>
          <w:tcPr>
            <w:tcW w:w="380" w:type="dxa"/>
            <w:vAlign w:val="bottom"/>
            <w:tcBorders>
              <w:right w:val="single" w:sz="8" w:color="auto"/>
            </w:tcBorders>
            <w:gridSpan w:val="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bottom w:val="single" w:sz="8" w:color="0000EE"/>
              <w:right w:val="single" w:sz="8" w:color="auto"/>
            </w:tcBorders>
            <w:gridSpan w:val="8"/>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2021, by AMC Consultants Pty Ltd and other qualified</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8"/>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persons</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8"/>
            <w:shd w:val="clear" w:color="auto" w:fill="CCEEFF"/>
          </w:tcPr>
          <w:p>
            <w:pPr>
              <w:spacing w:after="0" w:line="15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TMC the metals company Inc. Clawback Policy</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Form 10-K</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3/25/2024</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Times New Roman" w:cs="Times New Roman" w:eastAsia="Times New Roman" w:hAnsi="Times New Roman"/>
                <w:sz w:val="18"/>
                <w:szCs w:val="18"/>
                <w:color w:val="auto"/>
                <w:w w:val="99"/>
              </w:rPr>
              <w:t>001-39281</w:t>
            </w: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560" w:type="dxa"/>
            <w:vAlign w:val="bottom"/>
            <w:tcBorders>
              <w:top w:val="single" w:sz="8" w:color="0000EE"/>
              <w:bottom w:val="single" w:sz="8" w:color="auto"/>
            </w:tcBorders>
            <w:shd w:val="clear" w:color="auto" w:fill="CCEEFF"/>
          </w:tcPr>
          <w:p>
            <w:pPr>
              <w:spacing w:after="0"/>
              <w:rPr>
                <w:sz w:val="20"/>
                <w:szCs w:val="20"/>
                <w:color w:val="auto"/>
              </w:rPr>
            </w:pPr>
          </w:p>
        </w:tc>
        <w:tc>
          <w:tcPr>
            <w:tcW w:w="800" w:type="dxa"/>
            <w:vAlign w:val="bottom"/>
            <w:tcBorders>
              <w:top w:val="single" w:sz="8" w:color="0000EE"/>
              <w:bottom w:val="single" w:sz="8" w:color="auto"/>
            </w:tcBorders>
            <w:shd w:val="clear" w:color="auto" w:fill="CCEEFF"/>
          </w:tcPr>
          <w:p>
            <w:pPr>
              <w:spacing w:after="0"/>
              <w:rPr>
                <w:sz w:val="20"/>
                <w:szCs w:val="20"/>
                <w:color w:val="auto"/>
              </w:rPr>
            </w:pPr>
          </w:p>
        </w:tc>
        <w:tc>
          <w:tcPr>
            <w:tcW w:w="202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(Exhibit 97.1)</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91"/>
        </w:trPr>
        <w:tc>
          <w:tcPr>
            <w:tcW w:w="9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6"/>
                <w:szCs w:val="16"/>
                <w:color w:val="auto"/>
              </w:rPr>
            </w:pPr>
          </w:p>
        </w:tc>
        <w:tc>
          <w:tcPr>
            <w:tcW w:w="4000" w:type="dxa"/>
            <w:vAlign w:val="bottom"/>
            <w:tcBorders>
              <w:right w:val="single" w:sz="8" w:color="auto"/>
            </w:tcBorders>
            <w:gridSpan w:val="8"/>
          </w:tcPr>
          <w:p>
            <w:pPr>
              <w:spacing w:after="0" w:line="191" w:lineRule="exact"/>
              <w:rPr>
                <w:sz w:val="20"/>
                <w:szCs w:val="20"/>
                <w:color w:val="auto"/>
              </w:rPr>
            </w:pPr>
            <w:r>
              <w:rPr>
                <w:rFonts w:ascii="Times New Roman" w:cs="Times New Roman" w:eastAsia="Times New Roman" w:hAnsi="Times New Roman"/>
                <w:sz w:val="18"/>
                <w:szCs w:val="18"/>
                <w:color w:val="auto"/>
              </w:rPr>
              <w:t>Inline XBRL Instance Document (the instance</w:t>
            </w:r>
          </w:p>
        </w:tc>
        <w:tc>
          <w:tcPr>
            <w:tcW w:w="740" w:type="dxa"/>
            <w:vAlign w:val="bottom"/>
            <w:tcBorders>
              <w:right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7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7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234"/>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32"/>
        </w:trPr>
        <w:tc>
          <w:tcPr>
            <w:tcW w:w="9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4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960" w:type="dxa"/>
            <w:vAlign w:val="bottom"/>
            <w:tcBorders>
              <w:left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17"/>
                <w:szCs w:val="17"/>
                <w:color w:val="auto"/>
              </w:rPr>
            </w:pPr>
          </w:p>
        </w:tc>
        <w:tc>
          <w:tcPr>
            <w:tcW w:w="4000" w:type="dxa"/>
            <w:vAlign w:val="bottom"/>
            <w:tcBorders>
              <w:right w:val="single" w:sz="8" w:color="auto"/>
            </w:tcBorders>
            <w:gridSpan w:val="8"/>
          </w:tcPr>
          <w:p>
            <w:pPr>
              <w:spacing w:after="0" w:line="195"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740" w:type="dxa"/>
            <w:vAlign w:val="bottom"/>
            <w:tcBorders>
              <w:right w:val="single" w:sz="8" w:color="auto"/>
            </w:tcBorders>
          </w:tcPr>
          <w:p>
            <w:pPr>
              <w:ind w:left="380"/>
              <w:spacing w:after="0" w:line="195"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34"/>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1"/>
        </w:trPr>
        <w:tc>
          <w:tcPr>
            <w:tcW w:w="960" w:type="dxa"/>
            <w:vAlign w:val="bottom"/>
            <w:tcBorders>
              <w:left w:val="single" w:sz="8" w:color="auto"/>
              <w:right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101.DEF</w:t>
            </w:r>
          </w:p>
        </w:tc>
        <w:tc>
          <w:tcPr>
            <w:tcW w:w="160" w:type="dxa"/>
            <w:vAlign w:val="bottom"/>
            <w:shd w:val="clear" w:color="auto" w:fill="CCEEFF"/>
          </w:tcPr>
          <w:p>
            <w:pPr>
              <w:spacing w:after="0"/>
              <w:rPr>
                <w:sz w:val="16"/>
                <w:szCs w:val="16"/>
                <w:color w:val="auto"/>
              </w:rPr>
            </w:pPr>
          </w:p>
        </w:tc>
        <w:tc>
          <w:tcPr>
            <w:tcW w:w="4000" w:type="dxa"/>
            <w:vAlign w:val="bottom"/>
            <w:tcBorders>
              <w:right w:val="single" w:sz="8" w:color="auto"/>
            </w:tcBorders>
            <w:gridSpan w:val="8"/>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740" w:type="dxa"/>
            <w:vAlign w:val="bottom"/>
            <w:tcBorders>
              <w:right w:val="single" w:sz="8" w:color="auto"/>
            </w:tcBorders>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r>
      <w:tr>
        <w:trPr>
          <w:trHeight w:val="234"/>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1"/>
        </w:trPr>
        <w:tc>
          <w:tcPr>
            <w:tcW w:w="9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16"/>
                <w:szCs w:val="16"/>
                <w:color w:val="auto"/>
              </w:rPr>
            </w:pPr>
          </w:p>
        </w:tc>
        <w:tc>
          <w:tcPr>
            <w:tcW w:w="4000" w:type="dxa"/>
            <w:vAlign w:val="bottom"/>
            <w:tcBorders>
              <w:right w:val="single" w:sz="8" w:color="auto"/>
            </w:tcBorders>
            <w:gridSpan w:val="8"/>
          </w:tcPr>
          <w:p>
            <w:pPr>
              <w:spacing w:after="0" w:line="191"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740" w:type="dxa"/>
            <w:vAlign w:val="bottom"/>
            <w:tcBorders>
              <w:right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34"/>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1"/>
        </w:trPr>
        <w:tc>
          <w:tcPr>
            <w:tcW w:w="960" w:type="dxa"/>
            <w:vAlign w:val="bottom"/>
            <w:tcBorders>
              <w:left w:val="single" w:sz="8" w:color="auto"/>
              <w:right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101.PRE</w:t>
            </w:r>
          </w:p>
        </w:tc>
        <w:tc>
          <w:tcPr>
            <w:tcW w:w="160" w:type="dxa"/>
            <w:vAlign w:val="bottom"/>
            <w:shd w:val="clear" w:color="auto" w:fill="CCEEFF"/>
          </w:tcPr>
          <w:p>
            <w:pPr>
              <w:spacing w:after="0"/>
              <w:rPr>
                <w:sz w:val="16"/>
                <w:szCs w:val="16"/>
                <w:color w:val="auto"/>
              </w:rPr>
            </w:pPr>
          </w:p>
        </w:tc>
        <w:tc>
          <w:tcPr>
            <w:tcW w:w="4000" w:type="dxa"/>
            <w:vAlign w:val="bottom"/>
            <w:tcBorders>
              <w:right w:val="single" w:sz="8" w:color="auto"/>
            </w:tcBorders>
            <w:gridSpan w:val="8"/>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740" w:type="dxa"/>
            <w:vAlign w:val="bottom"/>
            <w:tcBorders>
              <w:right w:val="single" w:sz="8" w:color="auto"/>
            </w:tcBorders>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r>
      <w:tr>
        <w:trPr>
          <w:trHeight w:val="234"/>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1"/>
        </w:trPr>
        <w:tc>
          <w:tcPr>
            <w:tcW w:w="9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6"/>
                <w:szCs w:val="16"/>
                <w:color w:val="auto"/>
              </w:rPr>
            </w:pPr>
          </w:p>
        </w:tc>
        <w:tc>
          <w:tcPr>
            <w:tcW w:w="4000" w:type="dxa"/>
            <w:vAlign w:val="bottom"/>
            <w:tcBorders>
              <w:right w:val="single" w:sz="8" w:color="auto"/>
            </w:tcBorders>
            <w:gridSpan w:val="8"/>
          </w:tcPr>
          <w:p>
            <w:pPr>
              <w:spacing w:after="0" w:line="191" w:lineRule="exact"/>
              <w:rPr>
                <w:sz w:val="20"/>
                <w:szCs w:val="20"/>
                <w:color w:val="auto"/>
              </w:rPr>
            </w:pPr>
            <w:r>
              <w:rPr>
                <w:rFonts w:ascii="Times New Roman" w:cs="Times New Roman" w:eastAsia="Times New Roman" w:hAnsi="Times New Roman"/>
                <w:sz w:val="18"/>
                <w:szCs w:val="18"/>
                <w:color w:val="auto"/>
              </w:rPr>
              <w:t>Cover Page Interactive Data File (embedded within</w:t>
            </w:r>
          </w:p>
        </w:tc>
        <w:tc>
          <w:tcPr>
            <w:tcW w:w="740" w:type="dxa"/>
            <w:vAlign w:val="bottom"/>
            <w:tcBorders>
              <w:right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34"/>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01"/>
        </w:trPr>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80" w:type="dxa"/>
            <w:vAlign w:val="bottom"/>
          </w:tcPr>
          <w:p>
            <w:pPr>
              <w:spacing w:after="0"/>
              <w:rPr>
                <w:sz w:val="8"/>
                <w:szCs w:val="8"/>
                <w:color w:val="auto"/>
              </w:rPr>
            </w:pPr>
          </w:p>
        </w:tc>
      </w:tr>
    </w:tbl>
    <w:p>
      <w:pPr>
        <w:spacing w:after="0" w:line="76" w:lineRule="exact"/>
        <w:rPr>
          <w:sz w:val="20"/>
          <w:szCs w:val="20"/>
          <w:color w:val="auto"/>
        </w:rPr>
      </w:pPr>
    </w:p>
    <w:p>
      <w:pPr>
        <w:jc w:val="both"/>
        <w:ind w:left="34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176" w:lineRule="exact"/>
        <w:rPr>
          <w:sz w:val="20"/>
          <w:szCs w:val="20"/>
          <w:color w:val="auto"/>
        </w:rPr>
      </w:pPr>
    </w:p>
    <w:p>
      <w:pPr>
        <w:ind w:left="340" w:hanging="332"/>
        <w:spacing w:after="0" w:line="282"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62"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jc w:val="both"/>
        <w:ind w:left="340" w:hanging="332"/>
        <w:spacing w:after="0" w:line="261"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Annual Report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10-K), irrespective of any general incorporation language contained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Gerard Barron</w:t>
            </w:r>
          </w:p>
        </w:tc>
      </w:tr>
      <w:tr>
        <w:trPr>
          <w:trHeight w:val="191"/>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Pr>
          <w:p>
            <w:pPr>
              <w:spacing w:after="0"/>
              <w:rPr>
                <w:sz w:val="20"/>
                <w:szCs w:val="20"/>
                <w:color w:val="auto"/>
              </w:rPr>
            </w:pPr>
          </w:p>
        </w:tc>
        <w:tc>
          <w:tcPr>
            <w:tcW w:w="38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2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Gerard Barron</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8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Craig Shesky</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Craig Shesky</w:t>
            </w:r>
          </w:p>
        </w:tc>
        <w:tc>
          <w:tcPr>
            <w:tcW w:w="18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Andrew Greig</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Andrew Greig</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Andrew Hall</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Steve Jurvetson</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 Jurvetson</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Sheila Khama</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Andrei Karkar</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Amelia Kinahoi Siamomua</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Christian Madsbjerg</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Brendan May</w:t>
            </w:r>
          </w:p>
        </w:tc>
        <w:tc>
          <w:tcPr>
            <w:tcW w:w="18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28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Brendan May</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 AS AMENDED</w:t>
      </w:r>
    </w:p>
    <w:p>
      <w:pPr>
        <w:spacing w:after="0" w:line="3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of the material terms of the authorized capital of TMC the metals company Inc. is not intended to be a complete summary of the rights and preferences of such securities, and is qualified by reference to our notice of articles and articles (“Notice and Articles”) and the provisions of applicable law, including the Business Corporations Act (British Columbia)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BCBCA”) and the warrant-related documents described herein, each of which are incorporated by reference as an exhibit to the Annual Report on Form 10-K to which this Exhibit is filed, and certain provisions of British Columbia law. We urge you to read each of the Notice and Articles and the warrant-related documents described herein in their entirety for a complete description of the rights and preferences of our securities. Unless the context requires otherwise, all references to “we”, “us,” “our,” the “Company” and “TMC” in this section refer solely to TMC the metals company Inc. and not to our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authorized to issue (a) an unlimited number of Common Shares, without par value (“Common Shares”), (b) an unlimited number of preferred shares, issuable in series without par value, (c) 5,000,000 Class A Special Shares, without par value (“Class A Special Shares”), (d) 10,000,000 Class B Special Shares, without par value (“Class B Special Shares”), (e) 10,000,000 Class C Special Shares, without par value (“Class C Special Shares”), (f) 20,000,000 Class D Special Shares, without par value (“Class D Special Shares”) (g) 20,000,000 Class E Special Shares, without par value (“Class E Special Shares”), (h) 20,000,000 Class F Special Shares, without par value (“Class F Special Shares”), (i) 25,000,000 Class G Special Shares, without par value (“Class G Special Shares”), (j) 25,000,000 Class H Special Shares, without par value (“Class H Special Shares”), (k) 500,000 Class I Special Shares, without par value (“Class I Special Shares”) and (l) 741,000 Class J Special Shares, without par value (“Class J Special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originally known as Sustainable Opportunities Acquisition Corp. (“SOAC”). On September 9, 2021 (the “Closing Date”), we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(“Legacy DeepGreen”).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herein and in the Notice and Articles;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applicable agreements; (v) the Notice and Articles became the governing documents of the Company; and (vi) SOAC’s name changed to “TMC the metals company Inc.”</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pursuant to a court-approved plan of arrangement (the “Plan of Arrangement,” and the arrangement pursuant to such Plan of Arrangement, the “Arrangement”) under the BCBCA, (i) SOAC acquired all of the issued and outstanding common shares in the capital of Legacy DeepGreen (the “DeepGreen Common Shares”); (ii) the shareholders and the optionholders of Legacy DeepGreen became entitled to receive at the Effective Time,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exchange for their DeepGreen Common Shares and options to purchase DeepGreen Common Shares, as applicable, an aggregate of</w:t>
      </w:r>
    </w:p>
    <w:p>
      <w:pPr>
        <w:spacing w:after="0" w:line="27" w:lineRule="exact"/>
        <w:rPr>
          <w:sz w:val="20"/>
          <w:szCs w:val="20"/>
          <w:color w:val="auto"/>
        </w:rPr>
      </w:pPr>
    </w:p>
    <w:p>
      <w:pPr>
        <w:jc w:val="both"/>
        <w:ind w:firstLine="8"/>
        <w:spacing w:after="0" w:line="250" w:lineRule="auto"/>
        <w:tabs>
          <w:tab w:leader="none" w:pos="2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229,162,651 Common Shares (which includes Common Shares underlying options), (b) 4,999,973 Class A Special Shares (which includes Class A Special Shares underlying options), (c) 9,999,853 Class B Special Shares (which includes Class B Special Shares underlying options), (d) 9,999,853 Class C Special Shares (which includes Class C Special Shares underlying options ), (e) 19,999,855 Class D Special Shares (which includes Class D Special Shares underlying options), (f) 19,999,855 Class E Special Shares (which includes Class E Special Shares underlying options), (g) 19,999,855 Class F Special Shares (which includes Class F Special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underlying options), (h) 24,999,860 Class G Special Shares (which includes Class G Special Shares underlying options), and</w:t>
      </w:r>
    </w:p>
    <w:p>
      <w:pPr>
        <w:spacing w:after="0" w:line="9" w:lineRule="exact"/>
        <w:rPr>
          <w:sz w:val="20"/>
          <w:szCs w:val="20"/>
          <w:color w:val="auto"/>
        </w:rPr>
      </w:pPr>
    </w:p>
    <w:p>
      <w:pPr>
        <w:jc w:val="both"/>
        <w:ind w:firstLine="8"/>
        <w:spacing w:after="0" w:line="250" w:lineRule="auto"/>
        <w:tabs>
          <w:tab w:leader="none" w:pos="23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DeepGreen became a wholly-owned subsidiary of the Company; and (iv) Legacy DeepGreen and NewCo Sub amalgamated to continue as one unlimited liability company existing under the laws of British Columbia, Canada. In addition, we assumed a warrant issued to Allseas Group S.A.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based on an exchange ration determined under the Combination Agreement. The time that the Arrangement became effective is referred to as the “Effective Time.”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Effective Time, Sustainable Opportunities Holdings LLC (the “Sponsor”), exchanged 741,000 Common Shares for 500,000 Class I Special Shares and 741,000 Class J Special Shares, each of which is automatically convertible into Common Shares on a one-for-one basis if certain Common Share price thresholds are met as described below.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foregoing and concurrently with the execution of the Business Combination Agreement, SOAC entered into subscription agreements with certain investors, pursuant to which such investors agreed to purchase an aggregate of 11,030,000 Common Shares at a purchase price of $10.00 per share, for aggregate gross proceeds of $110,300,000, which closed concurrently with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non-cumulative dividends as, if and when declared by the board of directors. Subject to the prior rights of the holders of special shares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authorized to issue an unlimited number of preferred shares, issuable in series. Accordingly, the board of directors is authorized, without shareholder approval but subject to the provisions of the BCBCA and the Notice and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and Special Shares. The issuance of preferred shares, while providing flexibility in connection with possible acquisitions and other corporate purposes, could, among other things, have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8" w:name="page169"/>
    <w:bookmarkEnd w:id="168"/>
    <w:p>
      <w:pPr>
        <w:jc w:val="both"/>
        <w:spacing w:after="0" w:line="282" w:lineRule="auto"/>
        <w:rPr>
          <w:sz w:val="20"/>
          <w:szCs w:val="20"/>
          <w:color w:val="auto"/>
        </w:rPr>
      </w:pPr>
      <w:r>
        <w:rPr>
          <w:rFonts w:ascii="Times New Roman" w:cs="Times New Roman" w:eastAsia="Times New Roman" w:hAnsi="Times New Roman"/>
          <w:sz w:val="18"/>
          <w:szCs w:val="18"/>
          <w:color w:val="auto"/>
        </w:rPr>
        <w:t>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Subject to the provisions of the BCBCA, any Special Shares then outstanding shall be redeemed by us without any action on the part of the holders of Special Shares (i) at any time after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year anniversary of the original issue date of the Special Shares or (ii) at any time after a Change of Control, in each case at the Redemption Price. For the purposes of the Notice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Shares will automatically convert into Common Shares on a one (1) for one (1) basis (the “Conversion Rate”) (unless adjusted as described below) upon the occurrence of the following events:</w:t>
      </w:r>
    </w:p>
    <w:p>
      <w:pPr>
        <w:spacing w:after="0" w:line="162" w:lineRule="exact"/>
        <w:rPr>
          <w:sz w:val="20"/>
          <w:szCs w:val="20"/>
          <w:color w:val="auto"/>
        </w:rPr>
      </w:pPr>
    </w:p>
    <w:p>
      <w:pPr>
        <w:jc w:val="both"/>
        <w:ind w:left="660" w:hanging="328"/>
        <w:spacing w:after="0" w:line="261"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A Special Shares, if (a) on any twenty (20) trading days within any thirty (30)trading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9" w:name="page170"/>
    <w:bookmarkEnd w:id="169"/>
    <w:p>
      <w:pPr>
        <w:ind w:left="660"/>
        <w:spacing w:after="0" w:line="282" w:lineRule="auto"/>
        <w:rPr>
          <w:sz w:val="20"/>
          <w:szCs w:val="20"/>
          <w:color w:val="auto"/>
        </w:rPr>
      </w:pPr>
      <w:r>
        <w:rPr>
          <w:rFonts w:ascii="Times New Roman" w:cs="Times New Roman" w:eastAsia="Times New Roman" w:hAnsi="Times New Roman"/>
          <w:sz w:val="18"/>
          <w:szCs w:val="18"/>
          <w:color w:val="auto"/>
        </w:rPr>
        <w:t>transaction resulting in a Change of Control with a valuation of the Common Shares that is greater than or equal to $35.00 per Common Share;</w:t>
      </w:r>
    </w:p>
    <w:p>
      <w:pPr>
        <w:spacing w:after="0" w:line="162" w:lineRule="exact"/>
        <w:rPr>
          <w:sz w:val="20"/>
          <w:szCs w:val="20"/>
          <w:color w:val="auto"/>
        </w:rPr>
      </w:pPr>
    </w:p>
    <w:p>
      <w:pPr>
        <w:jc w:val="both"/>
        <w:ind w:left="66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32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any merger, amalgamation, consolidation, arrangement, reorganization or other business combination involving the Company with another entity, other than a Change of Control, the holders of Special Shares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0" w:name="page171"/>
    <w:bookmarkEnd w:id="170"/>
    <w:p>
      <w:pPr>
        <w:jc w:val="both"/>
        <w:spacing w:after="0" w:line="282" w:lineRule="auto"/>
        <w:rPr>
          <w:sz w:val="20"/>
          <w:szCs w:val="20"/>
          <w:color w:val="auto"/>
        </w:rPr>
      </w:pPr>
      <w:r>
        <w:rPr>
          <w:rFonts w:ascii="Times New Roman" w:cs="Times New Roman" w:eastAsia="Times New Roman" w:hAnsi="Times New Roman"/>
          <w:sz w:val="18"/>
          <w:szCs w:val="18"/>
          <w:color w:val="auto"/>
        </w:rPr>
        <w:t>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27, 2025, there were an aggregate of 15,000,000 outstanding warrants issued in connection with the May 2020 initial public offering of (the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Sustainable Opportunities Holdings LLC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72" w:name="page173"/>
    <w:bookmarkEnd w:id="172"/>
    <w:p>
      <w:pPr>
        <w:jc w:val="both"/>
        <w:spacing w:after="0" w:line="255" w:lineRule="auto"/>
        <w:rPr>
          <w:sz w:val="20"/>
          <w:szCs w:val="20"/>
          <w:color w:val="auto"/>
        </w:rPr>
      </w:pPr>
      <w:r>
        <w:rPr>
          <w:rFonts w:ascii="Times New Roman" w:cs="Times New Roman" w:eastAsia="Times New Roman" w:hAnsi="Times New Roman"/>
          <w:sz w:val="18"/>
          <w:szCs w:val="18"/>
          <w:color w:val="auto"/>
        </w:rPr>
        <w:t>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Agent/Amendment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Annual Report of which this Exhibit is a part, for a complete description of the terms and conditions applicable to the warrants.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as a Shareholder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Shares and any voting rights until they exercise their warrants and receive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27, 2025, there were 9,500,000 private placement warrants outstanding.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August 14, 2023 registered direct offering of Common Shares and accompanying Class A warrants to purchase Common Shares at a purchase price of $2.00 per Common Share and accompanying half of a Class A warrant to purchase one Common Share. As of March 27, 2025, there were Class A warrants outstanding entitling the holders thereof to purchase an aggregate of 6,230,770 Common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Class A warrants are exercisable at any time on or after the issuance date. The Class A warrants will be exercisable, at the option of each holder, in whole or in part by delivering to us a duly executed exercise notice and, at any time a registration statement registering the issuance of the Common Shares underlying the Class A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A warrants under the Securities Act is not then effective or available, the holder may only exercise the Class A warrant through a cashless exercise, in which case the holder would receive upon such exercise the net number of Common Shares determined according to the formula set forth in the Class A warrant. No fractional shares will be issued in connection with the exercise of a Class A warrant. In lieu of fractional shares, we will round down to the next whole share.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Class A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A warrants. However, any holder may increase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74" w:name="page175"/>
    <w:bookmarkEnd w:id="17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decrease such percentage to any other percentage not in excess of 9.99% (or 19.99% with prior written approval of the Company) upon at least 61 days’ prior notice from the holder to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Price/Adjustment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per Common Share purchasable upon exercise of the Class A warrants is $2.00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Transferability/Warrant Agent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laws, the Class A warrants may be offered for sale, sold, transferred or assigned without our consent. There is no trading market for the Class A warrants and a trading market is not expected to develop. The Company will initially act as warrant agent for the Class A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plan on making the Class A warrants eligible to trade on any national securities exchange or any other nationally recognized trading system or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Class A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A warrants will be entitled to receive upon exercise of the Class A warrants the kind and amount of securities, cash or other property that the holders would have received had they exercised the Class A warrants immediately prior to such fundamental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 Provision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terms of the Class A warrants, if (i) the volume weighted average price for each of 30 consecutive trading days exceeds $6.50 (subject to adjustment for forward and reverse stock splits, recapitalizations, stock dividends) and (ii) the holder of the Class A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A warrants for which a notice of exercise has not yet been delivered for consideration equal to $0.0001 per warrant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as a Shareholder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Class A warrants or by virtue of such holder’s ownership of Common Shares, the holder of a Class A warrant does not have the rights or privileges of a holder of our Common Share, including any voting rights, until the holder exercises the Class A warrant.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A warrants are governed by New York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November 14, 2024 registered direct offering of Common Shares and accompanying Class B warrants to purchase Common Shares at a purchase price of $1.00 per Common Share and accompanying half of a Class B warrant to purchase one Common Share. As of March 27, 2025, there were Class B warrants outstanding entitling the holders thereof to purchase an aggregate of 9,950,000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Class B warrants are exercisable at any time on or after the issuance date until five years after issuance. The Class B warrants will be exercisable, at the option of each holder, in whole or in part by delivering to us a duly executed exercise notice and, at any time a registration statement registering the issuance of the Common Shares underlying the Class B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B warrants under the Securities Act is not then effective or available, the holder may only exercise the Class B warrant through a cashless exercise, in which case the holder would receive upon such exercise the net number of Common Shares determined according to the formula set forth in the Class B warrant. No fractional shares will be issued in connection with the exercise of a Class B warrant. In lieu of fractional shares, we will round down to the next whole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Class B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B warrants. However, any holder may increase or decrease such percentage to any other percentage not in excess of 9.99% (or 19.99% with prior written approval of the Company) upon at least 61 days’ prior notice from the holder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 Adjustment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per Common Share purchasable upon exercise of the Class B warrants is $2.00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Transferability/Warrant Agent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laws, the Class B warrants may be offered for sale, sold, transferred or assigned without our consent. There is no trading market for the Class B warrants and a trading market is not expected to develop. The Company will initially act as warrant agent for the Class B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plan on making the Class B warrants eligible to trade on any national securities exchange or any other nationally recognized trading system or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Class B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B warrants will be entitled to receive upon exercise of the Class B warrants the kind and amount of securities, cash or other property that the holders would have received had they exercised the Class B warrants immediately prior to such fundamental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 Provision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of the Class B warrants, if (i) the volume weighted average price for each of 30 consecutive trading days exceeds $5.00 (subject to adjustment for forward and reverse stock splits, recapitalizations,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76" w:name="page177"/>
    <w:bookmarkEnd w:id="176"/>
    <w:p>
      <w:pPr>
        <w:jc w:val="both"/>
        <w:spacing w:after="0" w:line="261" w:lineRule="auto"/>
        <w:rPr>
          <w:sz w:val="20"/>
          <w:szCs w:val="20"/>
          <w:color w:val="auto"/>
        </w:rPr>
      </w:pPr>
      <w:r>
        <w:rPr>
          <w:rFonts w:ascii="Times New Roman" w:cs="Times New Roman" w:eastAsia="Times New Roman" w:hAnsi="Times New Roman"/>
          <w:sz w:val="18"/>
          <w:szCs w:val="18"/>
          <w:color w:val="auto"/>
        </w:rPr>
        <w:t>dividends) and (ii) the holder of the Class B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B warrants for which a notice of exercise has not yet been delivered for consideration equal to $0.0001 per warrant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as a Shareholder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Class B warrants or by virtue of such holder’s ownership of Common Shares, the holder of a Class B warrant does not have the rights or privileges of a holder of our Common Share, including any voting rights, until the holder exercises the Class B warrant.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B warrants are governed by New York law.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securities purchase agreement, as amended, for the registered direct offering of Common Shares and accompanying Class B warrants to purchase Common Shares, we agreed not to issue any Common Shares and Common Share equivalents with an effective price of less than $1.00 per share until May 18, 2025, subject to customary exceptions.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closing of the Business Combination, we, the initial shareholders, including the Sponsor (the “Sponsor Group Holders”), and certain holders of Legacy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(a) the subscription agreements entered into on March 4, 2021, (b) the securities purchase agreements entered into on August 12, 2022, (c) the securities purchase agreement entered into on August 14, 2023 and (d) the securities purchase agreement entered into on November 14, 2024, as amended, provide the investors under each agreement with certain registration rights with respect to the Common Shares and, as applicable, warrants to purchase Common Shares purchased pursuant to such agreements. The Company has filed registration statements, which remain effective, in connection with these registration rights.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Important Provisions of the Notice and Articles and the BCBCA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Objects or Purposes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and Articles do not contain stated objects or purposes and do not place any limitations on the business that we may carry 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Power to vote on matters in which a director is materially interested. </w:t>
      </w:r>
      <w:r>
        <w:rPr>
          <w:rFonts w:ascii="Times New Roman" w:cs="Times New Roman" w:eastAsia="Times New Roman" w:hAnsi="Times New Roman"/>
          <w:sz w:val="18"/>
          <w:szCs w:val="18"/>
          <w:color w:val="auto"/>
        </w:rPr>
        <w:t>Under the BCBCA, a director of a company is liable to account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for any profit that accrues to the director under or as a result of a contract or transaction in which the director holds a disclosable interest if the contract or transaction is material to the company, the company has entered, or proposes to enter, into the contract or transaction, and the director has a material interest in the contract or transaction or is a director or senior officer of, or has a material interest in, a person who has a material interest in the contract or transaction, unless otherwise provided for in the BCBCA. A director does not hold a disclosable interest in a contract or transaction if the contract or transaction: (i) is an arrangement by way of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471805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7" w:name="page178"/>
    <w:bookmarkEnd w:id="177"/>
    <w:p>
      <w:pPr>
        <w:jc w:val="both"/>
        <w:spacing w:after="0" w:line="256" w:lineRule="auto"/>
        <w:rPr>
          <w:sz w:val="20"/>
          <w:szCs w:val="20"/>
          <w:color w:val="auto"/>
        </w:rPr>
      </w:pPr>
      <w:r>
        <w:rPr>
          <w:rFonts w:ascii="Times New Roman" w:cs="Times New Roman" w:eastAsia="Times New Roman" w:hAnsi="Times New Roman"/>
          <w:sz w:val="18"/>
          <w:szCs w:val="18"/>
          <w:color w:val="auto"/>
        </w:rPr>
        <w:t>granted by the company for money loaned to, or obligations undertaken by, the director, or a person in whom the director has a material interest, for the benefit of the company or an affiliate of the company; (ii) relates to an indemnity or insurance permitted under the BCBCA; (iii) relates to the remuneration of the director in his or her capacity as director, officer, employee or agent of the company or an affiliate of the company; (iv) relates to a loan to the company, and the director, or a person in whom the director has a material interest, is or is to be a guarantor of some or all of the loan; or (v) has been or will be made with or for the benefit of a company that is affiliated with the company and the director is also a director or senior officer of that company or an affiliate of that company.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director who holds a disclosable interest may also be liable to account to the company for any profit that accrues to the director under or as a result of a contract or transaction in which the director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w:t>
      </w:r>
    </w:p>
    <w:p>
      <w:pPr>
        <w:spacing w:after="0" w:line="3" w:lineRule="exact"/>
        <w:rPr>
          <w:sz w:val="20"/>
          <w:szCs w:val="20"/>
          <w:color w:val="auto"/>
        </w:rPr>
      </w:pPr>
    </w:p>
    <w:p>
      <w:pPr>
        <w:jc w:val="both"/>
        <w:ind w:firstLine="8"/>
        <w:spacing w:after="0" w:line="252" w:lineRule="auto"/>
        <w:tabs>
          <w:tab w:leader="none" w:pos="26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was entered into before the individual became a director, the disclosable interest was disclosed to the other directors or shareholders and the director who holds the disclosable interest does not vote on any decision or resolution touching on the contract or transaction. Directors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Directors’ power to determine the remuneration of directors. </w:t>
      </w:r>
      <w:r>
        <w:rPr>
          <w:rFonts w:ascii="Times New Roman" w:cs="Times New Roman" w:eastAsia="Times New Roman" w:hAnsi="Times New Roman"/>
          <w:sz w:val="18"/>
          <w:szCs w:val="18"/>
          <w:color w:val="auto"/>
        </w:rPr>
        <w:t>The remuneration of our directors, if any, may be determined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subject to our Articles. The remuneration may be in addition to any salary or other remuneration paid to any of our employees (including senior officers) who are also directors.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shares required to be owned by a director. </w:t>
      </w:r>
      <w:r>
        <w:rPr>
          <w:rFonts w:ascii="Times New Roman" w:cs="Times New Roman" w:eastAsia="Times New Roman" w:hAnsi="Times New Roman"/>
          <w:sz w:val="18"/>
          <w:szCs w:val="18"/>
          <w:color w:val="auto"/>
        </w:rPr>
        <w:t>Our Articles do not and the BCBCA does not provide that a director is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 any shares in the capital of the Company as a qualification for holding his or her office.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Shares are entitled to attend and vote at meetings of our shareholders except meetings at which only holders of another class of shares are entitled to vote. Except as otherwise provided with respect to any particular series of preferred shares or Special Shares, and except as otherwise required by law, the holders of our preferred shares and/or Special Shares are not entitled to receive notice of, or to attend or vote at any meetings of our shareholders. Our directors and officers, our auditor and any other persons invited by our directors are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8" w:name="page179"/>
    <w:bookmarkEnd w:id="178"/>
    <w:p>
      <w:pPr>
        <w:jc w:val="both"/>
        <w:spacing w:after="0" w:line="282" w:lineRule="auto"/>
        <w:rPr>
          <w:sz w:val="20"/>
          <w:szCs w:val="20"/>
          <w:color w:val="auto"/>
        </w:rPr>
      </w:pPr>
      <w:r>
        <w:rPr>
          <w:rFonts w:ascii="Times New Roman" w:cs="Times New Roman" w:eastAsia="Times New Roman" w:hAnsi="Times New Roman"/>
          <w:sz w:val="18"/>
          <w:szCs w:val="18"/>
          <w:color w:val="auto"/>
        </w:rPr>
        <w:t>attend any meeting of our shareholders but will not be counted in the quorum or be entitled to vote at the meeting unless he or she is a shareholder or proxyholder entitled to vote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 and Advance Notice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BCBCA, qualified shareholders holding at least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an uninterrupted period of at least two years before the date of signing the proposal.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 Our board of directors may, in their sole direction, waive any and all requirements set in our Articles in respect of the Advance Notice Provisions.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Notice Date; and (ii) in the case of a special meeting (which is not also an annual meeting) of shareholders called for any purpose which includes electing directors, not later than the close of business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Notice Date.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Forum Selection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9" w:name="page180"/>
    <w:bookmarkEnd w:id="179"/>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civil, criminal, administrative or other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and Exchange Controls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limitation imposed by Canadian law or by the Notice and Articles on the right of a non-resident to hold or vote Common Shares, other than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Act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Limitations on the ability to acquire and hold Common Shares may be imposed by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(Canada). This legislation permits the Commissioner of Competition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where the Commissioner has been notified of the acquisition (or up to three years where no notice has been given to the Commissioner),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0" w:name="page181"/>
    <w:bookmarkEnd w:id="180"/>
    <w:p>
      <w:pPr>
        <w:jc w:val="both"/>
        <w:spacing w:after="0" w:line="282" w:lineRule="auto"/>
        <w:rPr>
          <w:sz w:val="20"/>
          <w:szCs w:val="20"/>
          <w:color w:val="auto"/>
        </w:rPr>
      </w:pPr>
      <w:r>
        <w:rPr>
          <w:rFonts w:ascii="Times New Roman" w:cs="Times New Roman" w:eastAsia="Times New Roman" w:hAnsi="Times New Roman"/>
          <w:sz w:val="18"/>
          <w:szCs w:val="18"/>
          <w:color w:val="auto"/>
        </w:rPr>
        <w:t>or terminates such waiting period or issues an advance ruling certificate. The Commissioner’s review of a notifiable transaction for substantive competition law considerations may take longer than the statutory waiting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Canada Act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requires each “non Canadian” (as defined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Subject to certain exemptions, a transaction that is reviewable under the</w:t>
      </w:r>
      <w:r>
        <w:rPr>
          <w:rFonts w:ascii="Times New Roman" w:cs="Times New Roman" w:eastAsia="Times New Roman" w:hAnsi="Times New Roman"/>
          <w:sz w:val="18"/>
          <w:szCs w:val="18"/>
          <w:i w:val="1"/>
          <w:iCs w:val="1"/>
          <w:color w:val="auto"/>
        </w:rPr>
        <w:t xml:space="preserve"> Investment Canada Act </w:t>
      </w:r>
      <w:r>
        <w:rPr>
          <w:rFonts w:ascii="Times New Roman" w:cs="Times New Roman" w:eastAsia="Times New Roman" w:hAnsi="Times New Roman"/>
          <w:sz w:val="18"/>
          <w:szCs w:val="18"/>
          <w:color w:val="auto"/>
        </w:rPr>
        <w:t>may not be implemented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until an application for review has been filed and the responsible Minister of the federal cabinet has determined that the investment is likely to be of “net benefit to Canada” taking into account certain factors set out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Act</w:t>
      </w:r>
      <w:r>
        <w:rPr>
          <w:rFonts w:ascii="Times New Roman" w:cs="Times New Roman" w:eastAsia="Times New Roman" w:hAnsi="Times New Roman"/>
          <w:sz w:val="18"/>
          <w:szCs w:val="18"/>
          <w:color w:val="auto"/>
        </w:rPr>
        <w:t>, an investment in Common Shares by a non-Canadian who is an investor originating from a country with which Canada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free trade agreement, including a United States investor, would be reviewable only if it were an investment to acquire control of us pursuant to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and our enterprise value (as determined pursuant to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and its regulations) was equal to or greater than the amount specified, which is currently CAD$2.079 billion. For most other investors who are not state-owned enterprises the threshold is currently CAD$1.386 billion for 2025.</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xml:space="preserve">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Under the national-security-review regime in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Certain transactions relating to Common Shares will generally be exempt from the </w:t>
      </w:r>
      <w:r>
        <w:rPr>
          <w:rFonts w:ascii="Times New Roman" w:cs="Times New Roman" w:eastAsia="Times New Roman" w:hAnsi="Times New Roman"/>
          <w:sz w:val="18"/>
          <w:szCs w:val="18"/>
          <w:i w:val="1"/>
          <w:iCs w:val="1"/>
          <w:color w:val="auto"/>
        </w:rPr>
        <w:t>Investment Canada Act</w:t>
      </w:r>
      <w:r>
        <w:rPr>
          <w:rFonts w:ascii="Times New Roman" w:cs="Times New Roman" w:eastAsia="Times New Roman" w:hAnsi="Times New Roman"/>
          <w:sz w:val="18"/>
          <w:szCs w:val="18"/>
          <w:color w:val="auto"/>
        </w:rPr>
        <w:t>, subject to the federal government’s prerogative to conduct a national-security review, including:</w:t>
      </w:r>
    </w:p>
    <w:p>
      <w:pPr>
        <w:spacing w:after="0" w:line="160"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Common Shares by a person in the ordinary course of that persons business as a trader or dealer in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in connection with the realization of security granted for a loan or other financial assistance and not for any purpose related to the provisions of the Investment Canada Act;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no law, governmental decree or regulation in Canada that restricts the export or import of capital, or that would affect the remittance of dividends (if any) or other payments by us to non-resident holders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1" w:name="page182"/>
    <w:bookmarkEnd w:id="18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sanctions, anti-terrorism, anti-money laundering or withholding tax requirements, and the requirements of the BCBCA, including relating generally to dividends, returns of capital and redemptions.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Shares and the Warrant Agent for the Public Warrants is Continental Stock Transfer &amp; Trust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to purchase Common Shares are listed for trading on The Nasdaq Global Select Market under the symbol “TMC” and “TMCWW”,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183"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“inversion”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2" w:name="page183"/>
    <w:bookmarkEnd w:id="182"/>
    <w:p>
      <w:pPr>
        <w:ind w:left="660" w:hanging="328"/>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owning or considered as owning (directly, indirectly, or through attribution) 5% (measured by vote or value) or more of our Common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Shares or public warrants pursuant to an exercise of employee share options, in connection with employee share incentive plans or otherwise as compensation for the performance of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Holders, all of whom may be subject to tax rules that differ materially from those summarized below.</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Common Shares or public warrants, as the case may be, that is:</w:t>
      </w:r>
    </w:p>
    <w:p>
      <w:pPr>
        <w:spacing w:after="0" w:line="225"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Ownership and Disposition of Common Shares and Public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 on Common Shares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distributions on Common Shares will generally be taxable as a dividend for U.S. federal income tax purposes to the extent paid from the Company’s current or accumulated earnings and profits, as determined under U.S. federal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3" w:name="page184"/>
    <w:bookmarkEnd w:id="18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Sale, Taxable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Other Taxable Disposition of Common Shares and Public Warrants.</w:t>
      </w:r>
      <w:r>
        <w:rPr>
          <w:rFonts w:ascii="Times New Roman" w:cs="Times New Roman" w:eastAsia="Times New Roman" w:hAnsi="Times New Roman"/>
          <w:sz w:val="18"/>
          <w:szCs w:val="18"/>
          <w:color w:val="auto"/>
        </w:rPr>
        <w:t>” The amount of any such distribution will include any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withheld by us (or another applicable withholding agent) in respect of Canadian income taxes. Any amount treated as dividend income will be treated as foreign-source dividend income. Amounts treated as dividends that the Company pays to a U.S. Holder that is a taxable corporation generally will be taxed at regular corporate income tax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in the year that the dividend is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applicable limitations, non-refundable Canadian income taxes withheld from dividends on Common Shares at a rate not exceeding the rate provided by the applicable treaty with the United States will be eligible for credit against the U.S. Holder’s’s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Common Shares and Public Warrants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the PFIC rules discussed below under the heading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under the heading “</w:t>
      </w:r>
      <w:r>
        <w:rPr>
          <w:rFonts w:ascii="Times New Roman" w:cs="Times New Roman" w:eastAsia="Times New Roman" w:hAnsi="Times New Roman"/>
          <w:sz w:val="18"/>
          <w:szCs w:val="18"/>
          <w:i w:val="1"/>
          <w:iCs w:val="1"/>
          <w:color w:val="auto"/>
        </w:rPr>
        <w:t>- Tax Consequences of Ownership and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Shares and Public Warrants - Exercise or Lapse of a Public Warrant</w:t>
      </w:r>
      <w:r>
        <w:rPr>
          <w:rFonts w:ascii="Times New Roman" w:cs="Times New Roman" w:eastAsia="Times New Roman" w:hAnsi="Times New Roman"/>
          <w:sz w:val="18"/>
          <w:szCs w:val="18"/>
          <w:color w:val="auto"/>
        </w:rPr>
        <w:t>”). Any such gain or loss generally will be capital gain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and will be long-term capital gain or loss if the U.S. Holder’s holding period for such Common Shares or public warrants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or Lapse of a Public Warrant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4" w:name="page185"/>
    <w:bookmarkEnd w:id="184"/>
    <w:p>
      <w:pPr>
        <w:jc w:val="both"/>
        <w:spacing w:after="0" w:line="282" w:lineRule="auto"/>
        <w:rPr>
          <w:sz w:val="20"/>
          <w:szCs w:val="20"/>
          <w:color w:val="auto"/>
        </w:rPr>
      </w:pPr>
      <w:r>
        <w:rPr>
          <w:rFonts w:ascii="Times New Roman" w:cs="Times New Roman" w:eastAsia="Times New Roman" w:hAnsi="Times New Roman"/>
          <w:sz w:val="18"/>
          <w:szCs w:val="18"/>
          <w:color w:val="auto"/>
        </w:rPr>
        <w:t>to such U.S. Holder’s tax basis in the warrant (calculated in U.S. dollars). Such loss will be long-term if the warrant has been held for more than one (1) year.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the heading “- </w:t>
      </w:r>
      <w:r>
        <w:rPr>
          <w:rFonts w:ascii="Times New Roman" w:cs="Times New Roman" w:eastAsia="Times New Roman" w:hAnsi="Times New Roman"/>
          <w:sz w:val="18"/>
          <w:szCs w:val="18"/>
          <w:i w:val="1"/>
          <w:iCs w:val="1"/>
          <w:color w:val="auto"/>
        </w:rPr>
        <w:t>Tax Consequences of Ownership and Disposition of Common Shares and Public Warrants -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Shares and Public Warrants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 to Exercise Price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 w:cs="Times New Roman" w:eastAsia="Times New Roman" w:hAnsi="Times New Roman"/>
          <w:sz w:val="18"/>
          <w:szCs w:val="18"/>
          <w:i w:val="1"/>
          <w:iCs w:val="1"/>
          <w:color w:val="auto"/>
        </w:rPr>
        <w:t>Tax Consequences of Ownership and Disposition of Common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Public Warrants - Dividends and Other Distributions on Common Shares</w:t>
      </w:r>
      <w:r>
        <w:rPr>
          <w:rFonts w:ascii="Times New Roman" w:cs="Times New Roman" w:eastAsia="Times New Roman" w:hAnsi="Times New Roman"/>
          <w:sz w:val="18"/>
          <w:szCs w:val="18"/>
          <w:color w:val="auto"/>
        </w:rPr>
        <w:t>”). The rules governing constructive distributions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certain adjustments with respect to a public warrant are complex, and U.S. Holders are urged to consult their tax advisors on the tax consequences any such constructive distribution with respect to a public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treatment of U.S. Holders of Common Shares and public warrants could be materially different from that described above if the Company is treated as a PFIC for U.S. federal income tax purposes.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5" w:name="page186"/>
    <w:bookmarkEnd w:id="185"/>
    <w:p>
      <w:pPr>
        <w:jc w:val="both"/>
        <w:spacing w:after="0" w:line="258" w:lineRule="auto"/>
        <w:rPr>
          <w:sz w:val="20"/>
          <w:szCs w:val="20"/>
          <w:color w:val="auto"/>
        </w:rPr>
      </w:pPr>
      <w:r>
        <w:rPr>
          <w:rFonts w:ascii="Times New Roman" w:cs="Times New Roman" w:eastAsia="Times New Roman" w:hAnsi="Times New Roman"/>
          <w:sz w:val="18"/>
          <w:szCs w:val="18"/>
          <w:color w:val="auto"/>
        </w:rPr>
        <w:t>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our initial assessment, we do not believe that the Company was classified as a PFIC for U.S. federal income tax purposes for the taxable year ending December 31, 2024.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hanging="328"/>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Common Shares;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Elections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6" w:name="page187"/>
    <w:bookmarkEnd w:id="186"/>
    <w:p>
      <w:pPr>
        <w:jc w:val="both"/>
        <w:spacing w:after="0" w:line="253" w:lineRule="auto"/>
        <w:rPr>
          <w:sz w:val="20"/>
          <w:szCs w:val="20"/>
          <w:color w:val="auto"/>
        </w:rPr>
      </w:pPr>
      <w:r>
        <w:rPr>
          <w:rFonts w:ascii="Times New Roman" w:cs="Times New Roman" w:eastAsia="Times New Roman" w:hAnsi="Times New Roman"/>
          <w:sz w:val="18"/>
          <w:szCs w:val="18"/>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7" w:name="page188"/>
    <w:bookmarkEnd w:id="187"/>
    <w:p>
      <w:pPr>
        <w:jc w:val="both"/>
        <w:spacing w:after="0" w:line="258" w:lineRule="auto"/>
        <w:rPr>
          <w:sz w:val="20"/>
          <w:szCs w:val="20"/>
          <w:color w:val="auto"/>
        </w:rPr>
      </w:pPr>
      <w:r>
        <w:rPr>
          <w:rFonts w:ascii="Times New Roman" w:cs="Times New Roman" w:eastAsia="Times New Roman" w:hAnsi="Times New Roman"/>
          <w:sz w:val="18"/>
          <w:szCs w:val="18"/>
          <w:color w:val="auto"/>
        </w:rPr>
        <w:t>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PFIC Rules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Canadian Federal Income Tax Considerations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as of the date hereof, a summary of the principal Canadian federal income tax considerations pursuant to the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 Act </w:t>
      </w:r>
      <w:r>
        <w:rPr>
          <w:rFonts w:ascii="Times New Roman" w:cs="Times New Roman" w:eastAsia="Times New Roman" w:hAnsi="Times New Roman"/>
          <w:sz w:val="18"/>
          <w:szCs w:val="18"/>
          <w:color w:val="auto"/>
        </w:rPr>
        <w:t>(Canada) and the regulations thereunder, (the “Tax Act”) that generally apply to the acquisition, holding and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Shares and public warrants by a person who is neither resident nor deemed to be resident in Canada for purposes of the Tax Act and acquires a beneficial interest in Common Shares or public warrants (a “Non-Resident 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applies only to a Non-Resident Holder who, at all relevant times, for purposes of the Tax Act:</w:t>
      </w:r>
    </w:p>
    <w:p>
      <w:pPr>
        <w:spacing w:after="0" w:line="225"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Common Shares and/or public warrants as capital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8" w:name="page189"/>
    <w:bookmarkEnd w:id="188"/>
    <w:p>
      <w:pPr>
        <w:ind w:left="660" w:hanging="328"/>
        <w:spacing w:after="0" w:line="282"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and is not deemed to, use or hold Common Shares or public warrants in the course of carrying on a business in Canada;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and is not affiliated with us.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rules, which are not discussed in this summary, may apply to a Non-Resident Holder that is an insurer that carries on an insurance business in Canada and elsewhere or an “authorized foreign bank” (as defined in the Tax Act).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for the purposes of the Tax Act, all amounts relating to the acquisition, holding and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Base of Common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adjusted cost base to a Non-Resident Holder of a Common Share acquired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Public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473710</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9" w:name="page190"/>
    <w:bookmarkEnd w:id="189"/>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tax from dividends paid to the Non-Resident Holder, and to remit the tax to the Receiver General of Canada for the account of the Non-Resident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 of Common Shares and Public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(as applicable) are “taxable Canadian property” of the Non-Resident Holder for purposes of the Tax Act and the Non-Resident Holder is not entitled to relief under the Treaty or any other applicable income tax treaty or convention.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80" w:lineRule="exact"/>
        <w:rPr>
          <w:sz w:val="20"/>
          <w:szCs w:val="20"/>
          <w:color w:val="auto"/>
        </w:rPr>
      </w:pPr>
    </w:p>
    <w:p>
      <w:pPr>
        <w:jc w:val="both"/>
        <w:ind w:left="660" w:hanging="328"/>
        <w:spacing w:after="0" w:line="261"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Non-Resident Holder, (b) persons with whom the Non-Resident Holder does not deal at arm’s length (for the purposes of the Tax Act), (c) partnerships in which the Non-Resident Holder or a person described in (b) holds an interest directly or indirectly through one or more partnerships, or (d) any combination of persons or partnerships described in (a) to (c), owned 25% or more of the issued shares of any class or series of our capital stock;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any of the foregoing property, whether or not the property exists.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 Heerema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Allseas Investments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Route de Pra de Plan 18 1618 Châtel-St-Denis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Chatel-St-Denis, Switzerland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 Heerema Zaakvoerder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Argentum Cedit Virtuti 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Wiegstraat 21 2000 Antwerp Belgium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Antwerp, Belgium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Cancellation of Credit Facility and Extension of Working Capital Loan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Heerema,</w:t>
      </w:r>
    </w:p>
    <w:p>
      <w:pPr>
        <w:spacing w:after="0" w:line="22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sets forth the mutual understanding and agreement between TMC the metals company Inc. ("</w:t>
      </w:r>
      <w:r>
        <w:rPr>
          <w:rFonts w:ascii="Times New Roman" w:cs="Times New Roman" w:eastAsia="Times New Roman" w:hAnsi="Times New Roman"/>
          <w:sz w:val="18"/>
          <w:szCs w:val="18"/>
          <w:b w:val="1"/>
          <w:bCs w:val="1"/>
          <w:color w:val="auto"/>
        </w:rPr>
        <w:t>TMC</w:t>
      </w:r>
      <w:r>
        <w:rPr>
          <w:rFonts w:ascii="Times New Roman" w:cs="Times New Roman" w:eastAsia="Times New Roman" w:hAnsi="Times New Roman"/>
          <w:sz w:val="18"/>
          <w:szCs w:val="18"/>
          <w:color w:val="auto"/>
        </w:rPr>
        <w:t>"), Allseas Investments S.A. ("</w:t>
      </w:r>
      <w:r>
        <w:rPr>
          <w:rFonts w:ascii="Times New Roman" w:cs="Times New Roman" w:eastAsia="Times New Roman" w:hAnsi="Times New Roman"/>
          <w:sz w:val="18"/>
          <w:szCs w:val="18"/>
          <w:b w:val="1"/>
          <w:bCs w:val="1"/>
          <w:color w:val="auto"/>
        </w:rPr>
        <w:t>Allseas</w:t>
      </w:r>
      <w:r>
        <w:rPr>
          <w:rFonts w:ascii="Times New Roman" w:cs="Times New Roman" w:eastAsia="Times New Roman" w:hAnsi="Times New Roman"/>
          <w:sz w:val="18"/>
          <w:szCs w:val="18"/>
          <w:color w:val="auto"/>
        </w:rPr>
        <w:t>"), and Argentum Cedit Virtuti NV ("</w:t>
      </w:r>
      <w:r>
        <w:rPr>
          <w:rFonts w:ascii="Times New Roman" w:cs="Times New Roman" w:eastAsia="Times New Roman" w:hAnsi="Times New Roman"/>
          <w:sz w:val="18"/>
          <w:szCs w:val="18"/>
          <w:b w:val="1"/>
          <w:bCs w:val="1"/>
          <w:color w:val="auto"/>
        </w:rPr>
        <w:t>Argentum</w:t>
      </w:r>
      <w:r>
        <w:rPr>
          <w:rFonts w:ascii="Times New Roman" w:cs="Times New Roman" w:eastAsia="Times New Roman" w:hAnsi="Times New Roman"/>
          <w:sz w:val="18"/>
          <w:szCs w:val="18"/>
          <w:color w:val="auto"/>
        </w:rPr>
        <w:t>") regarding (i) the cancellation of the unsecured credit facility, which was originally established pursuant to the Unsecured Credit Facility Agreement, dated March 22, 2023, as amended on July 31, 2023, and March 22, 2024 (the "</w:t>
      </w:r>
      <w:r>
        <w:rPr>
          <w:rFonts w:ascii="Times New Roman" w:cs="Times New Roman" w:eastAsia="Times New Roman" w:hAnsi="Times New Roman"/>
          <w:sz w:val="18"/>
          <w:szCs w:val="18"/>
          <w:b w:val="1"/>
          <w:bCs w:val="1"/>
          <w:color w:val="auto"/>
        </w:rPr>
        <w:t>Credit Facility</w:t>
      </w:r>
      <w:r>
        <w:rPr>
          <w:rFonts w:ascii="Times New Roman" w:cs="Times New Roman" w:eastAsia="Times New Roman" w:hAnsi="Times New Roman"/>
          <w:sz w:val="18"/>
          <w:szCs w:val="18"/>
          <w:color w:val="auto"/>
        </w:rPr>
        <w:t>"), and (ii) the extension of the existing working capital loan, which was established pursuant to the Working Capital Loan Agreement dated September 9, 2024, as amended on October 18, 2024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Cancellation of Credit Facility</w:t>
      </w:r>
    </w:p>
    <w:p>
      <w:pPr>
        <w:spacing w:after="0" w:line="22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TMC and Argentum hereby confirm that the credit facility is cancelled in its entirety. Each party acknowledges that no amounts are outstanding under the Credit Facility and that that no further rights or obligations shall arise under or in connection with it, except for TMC’s obligation to pay Argentum the Underutilization Fee, as calculated in accordance with the Credit Facility.</w:t>
      </w:r>
    </w:p>
    <w:p>
      <w:pPr>
        <w:spacing w:after="0" w:line="172"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Extension of Loan Agreement</w:t>
      </w:r>
    </w:p>
    <w:p>
      <w:pPr>
        <w:spacing w:after="0" w:line="2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consideration of the mutual undertakings herein, the parties agree that the Repayment Date of the Loan under the Loan Agreement shall be extended to September 30, 2025. The parties further agree that principal and interest on the Loan will be repayable at the Repayment Date (i.e., September 30, 2025). All other terms and conditions of the Loan Agreement shall remain in full force and effect.</w:t>
      </w:r>
    </w:p>
    <w:p>
      <w:pPr>
        <w:spacing w:after="0" w:line="172"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General Provisions</w:t>
      </w:r>
    </w:p>
    <w:p>
      <w:pPr>
        <w:spacing w:after="0" w:line="211" w:lineRule="exact"/>
        <w:rPr>
          <w:rFonts w:ascii="Times New Roman" w:cs="Times New Roman" w:eastAsia="Times New Roman" w:hAnsi="Times New Roman"/>
          <w:sz w:val="20"/>
          <w:szCs w:val="20"/>
          <w:b w:val="1"/>
          <w:bCs w:val="1"/>
          <w:color w:val="auto"/>
        </w:rPr>
      </w:pPr>
    </w:p>
    <w:p>
      <w:pPr>
        <w:ind w:left="660" w:right="20" w:hanging="324"/>
        <w:spacing w:after="0" w:line="23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17"/>
          <w:szCs w:val="17"/>
          <w:color w:val="auto"/>
        </w:rPr>
        <w:t>This Agreement shall be binding upon and inure to the benefit of the parties hereto and their respective successors and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assigns.</w:t>
      </w:r>
    </w:p>
    <w:p>
      <w:pPr>
        <w:spacing w:after="0" w:line="189" w:lineRule="exact"/>
        <w:rPr>
          <w:rFonts w:ascii="Times New Roman" w:cs="Times New Roman" w:eastAsia="Times New Roman" w:hAnsi="Times New Roman"/>
          <w:sz w:val="20"/>
          <w:szCs w:val="20"/>
          <w:b w:val="1"/>
          <w:bCs w:val="1"/>
          <w:color w:val="auto"/>
        </w:rPr>
      </w:pPr>
    </w:p>
    <w:p>
      <w:pPr>
        <w:ind w:left="660" w:right="500" w:hanging="324"/>
        <w:spacing w:after="0" w:line="23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17"/>
          <w:szCs w:val="17"/>
          <w:color w:val="auto"/>
        </w:rPr>
        <w:t>This Agreement shall be governed by and construed in accordance with the laws of England, and the parties submit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exclusive jurisdiction of the English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1" w:name="page192"/>
    <w:bookmarkEnd w:id="191"/>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 xml:space="preserve">3.3. </w:t>
      </w:r>
      <w:r>
        <w:rPr>
          <w:rFonts w:ascii="Times New Roman" w:cs="Times New Roman" w:eastAsia="Times New Roman" w:hAnsi="Times New Roman"/>
          <w:sz w:val="17"/>
          <w:szCs w:val="17"/>
          <w:color w:val="auto"/>
        </w:rPr>
        <w:t>This Agreement may be executed in counterparts, each of which shall be deemed an original, but all of which together shall</w:t>
      </w:r>
    </w:p>
    <w:p>
      <w:pPr>
        <w:spacing w:after="0" w:line="14" w:lineRule="exact"/>
        <w:rPr>
          <w:sz w:val="20"/>
          <w:szCs w:val="20"/>
          <w:color w:val="auto"/>
        </w:rPr>
      </w:pPr>
    </w:p>
    <w:p>
      <w:pPr>
        <w:ind w:left="660" w:right="300"/>
        <w:spacing w:after="0" w:line="258" w:lineRule="auto"/>
        <w:rPr>
          <w:sz w:val="20"/>
          <w:szCs w:val="20"/>
          <w:color w:val="auto"/>
        </w:rPr>
      </w:pPr>
      <w:r>
        <w:rPr>
          <w:rFonts w:ascii="Times New Roman" w:cs="Times New Roman" w:eastAsia="Times New Roman" w:hAnsi="Times New Roman"/>
          <w:sz w:val="18"/>
          <w:szCs w:val="18"/>
          <w:color w:val="auto"/>
        </w:rPr>
        <w:t>constitute one and the same instrument. Execution and delivery of this Agreement by electronic means shall be deemed effective as an original.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your agreement to the foregoing by executing this Agreement where indicated below. 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Name:Gerard Barron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ALLSEAS INVESTMENTS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E.P.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Name:E.P. Heerema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ARGENTUM CEDIT VIRTUTI 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E.P.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Name:E.P. Heerema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Zaakvoerder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0"/>
          </w:cols>
          <w:pgMar w:left="980" w:top="114" w:right="135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SECOND AMENDMENT TO THE UNSECURED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SECOND AMENDMENT </w:t>
      </w:r>
      <w:r>
        <w:rPr>
          <w:rFonts w:ascii="Times New Roman" w:cs="Times New Roman" w:eastAsia="Times New Roman" w:hAnsi="Times New Roman"/>
          <w:sz w:val="18"/>
          <w:szCs w:val="18"/>
          <w:color w:val="auto"/>
        </w:rPr>
        <w:t>is dated November 14, 2024 between: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TMC THE METALS COMPANY INC., </w:t>
      </w:r>
      <w:r>
        <w:rPr>
          <w:rFonts w:ascii="Times New Roman" w:cs="Times New Roman" w:eastAsia="Times New Roman" w:hAnsi="Times New Roman"/>
          <w:sz w:val="18"/>
          <w:szCs w:val="18"/>
          <w:color w:val="auto"/>
        </w:rPr>
        <w:t>a company organized under the laws of British Columbia, Canada (“</w:t>
      </w:r>
      <w:r>
        <w:rPr>
          <w:rFonts w:ascii="Times New Roman" w:cs="Times New Roman" w:eastAsia="Times New Roman" w:hAnsi="Times New Roman"/>
          <w:sz w:val="18"/>
          <w:szCs w:val="18"/>
          <w:b w:val="1"/>
          <w:bCs w:val="1"/>
          <w:color w:val="auto"/>
        </w:rPr>
        <w:t>TMC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ERAS CAPITAL LLC, </w:t>
      </w:r>
      <w:r>
        <w:rPr>
          <w:rFonts w:ascii="Times New Roman" w:cs="Times New Roman" w:eastAsia="Times New Roman" w:hAnsi="Times New Roman"/>
          <w:sz w:val="18"/>
          <w:szCs w:val="18"/>
          <w:color w:val="auto"/>
        </w:rPr>
        <w:t>a Delaware limited liability company, and</w:t>
      </w:r>
      <w:r>
        <w:rPr>
          <w:rFonts w:ascii="Times New Roman" w:cs="Times New Roman" w:eastAsia="Times New Roman" w:hAnsi="Times New Roman"/>
          <w:sz w:val="18"/>
          <w:szCs w:val="18"/>
          <w:b w:val="1"/>
          <w:bCs w:val="1"/>
          <w:color w:val="auto"/>
        </w:rPr>
        <w:t xml:space="preserve"> GERARD BARRON</w:t>
      </w:r>
      <w:r>
        <w:rPr>
          <w:rFonts w:ascii="Times New Roman" w:cs="Times New Roman" w:eastAsia="Times New Roman" w:hAnsi="Times New Roman"/>
          <w:sz w:val="18"/>
          <w:szCs w:val="18"/>
          <w:color w:val="auto"/>
        </w:rPr>
        <w:t>, an individual.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TMC, ERAS and Barron entered into an Unsecured Credit Facility Agreement on March 22, 2024, as amended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Amendment to the Unsecured Credit Facility dated August 13, 2024 (the “</w:t>
      </w:r>
      <w:r>
        <w:rPr>
          <w:rFonts w:ascii="Times New Roman" w:cs="Times New Roman" w:eastAsia="Times New Roman" w:hAnsi="Times New Roman"/>
          <w:sz w:val="18"/>
          <w:szCs w:val="18"/>
          <w:b w:val="1"/>
          <w:bCs w:val="1"/>
          <w:color w:val="auto"/>
        </w:rPr>
        <w:t>UCF</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AND WHERAS </w:t>
      </w:r>
      <w:r>
        <w:rPr>
          <w:rFonts w:ascii="Times New Roman" w:cs="Times New Roman" w:eastAsia="Times New Roman" w:hAnsi="Times New Roman"/>
          <w:sz w:val="18"/>
          <w:szCs w:val="18"/>
          <w:color w:val="auto"/>
        </w:rPr>
        <w:t>the parties wish to amend the UCF as set forth below.</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WITNESSES THAT </w:t>
      </w:r>
      <w:r>
        <w:rPr>
          <w:rFonts w:ascii="Times New Roman" w:cs="Times New Roman" w:eastAsia="Times New Roman" w:hAnsi="Times New Roman"/>
          <w:sz w:val="18"/>
          <w:szCs w:val="18"/>
          <w:color w:val="auto"/>
        </w:rPr>
        <w:t>in consideration of the respective covenants,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herein contained and for other good and valuable consideration (the receipt and sufficiency of which are acknowledged by each party), the parties to this Agreement covenant and agree as follows:</w:t>
      </w:r>
    </w:p>
    <w:p>
      <w:pPr>
        <w:spacing w:after="0" w:line="175" w:lineRule="exact"/>
        <w:rPr>
          <w:sz w:val="20"/>
          <w:szCs w:val="20"/>
          <w:color w:val="auto"/>
        </w:rPr>
      </w:pPr>
    </w:p>
    <w:p>
      <w:pPr>
        <w:ind w:left="660" w:hanging="652"/>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defined in this Amendment have the respective meanings assigned to them in the UCF.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UCF is hereby amended as follows:</w:t>
      </w:r>
    </w:p>
    <w:p>
      <w:pPr>
        <w:spacing w:after="0" w:line="225" w:lineRule="exact"/>
        <w:rPr>
          <w:rFonts w:ascii="Times New Roman" w:cs="Times New Roman" w:eastAsia="Times New Roman" w:hAnsi="Times New Roman"/>
          <w:sz w:val="18"/>
          <w:szCs w:val="18"/>
          <w:color w:val="auto"/>
        </w:rPr>
      </w:pPr>
    </w:p>
    <w:p>
      <w:pPr>
        <w:ind w:left="660" w:right="39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Section 1.1.12 shall be replaced in its entirety with the following: “Section 1.1.12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December 31, 2025.”</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2.2.Section 1.1.17 shall be replaced in its entirety with the following:</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1.1.17 “Principal Amount” means the principal amount advanced and outstanding under this Agreement from time to time, being up to a maximum of USD $19,000,000 with respect to ERAS and USD $19,000,000 with respect to Barron, and which may be reduced by any Prepayment Amount in accordance with Section 2.7;”</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2.3.Section 1.1.18 shall be replaced in its entirety with the following:</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“Underutilization Fee” means a fee equal to 6.5% per annum of any amount of the then current maximum Principal Amount, being USD $19,000.000 with respect to ERAS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3" w:name="page194"/>
    <w:bookmarkEnd w:id="193"/>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USD $19,000,000 with respect to Barron, less any drawn amounts under the facility, respectively. For the avoidance of doubt, this amendment to the Underutilization Fee applies retroactively to the date of the original Agreement, March 22, 2024.”</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Section 2.7 shall be replaced in its entirety with the following:</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Borrower shall pay to the Lenders their respective Underutilization Fee quarterly if all or any amount of the aggregate maximum amount of the Principal Amount has not been previously drawn pursuant to this Agreement, respectively. The Borrower will pay the Underutilization Fee in cash or shares, at the Borrower’s election. The Underutilization Fee shall be fully payable in the event the Borrower gives notice of termination of this Agreement in accordance with Section 2.9. For greater certainty, the calculation of the Underutilization Fee payable upon termination shall apply up to and including the Maturity Date.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The first paragraph of Section 2.9 shall be replaced in its entirety with the following:</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“This Agreement shall terminate automatically without any action by Borrower or the Lenders at such time Borrower or any of its subsidiaries raises at least USD $50,000,000 in the aggregate (i) through the issuance of any debt or equity securities of Borrower or any of its subsidiaries, including an increase in borrowing capacity on existing facilities or (ii) in prepayments under an off-take agreement or similar commercial agreement.</w:t>
      </w:r>
    </w:p>
    <w:p>
      <w:pPr>
        <w:spacing w:after="0" w:line="180" w:lineRule="exact"/>
        <w:rPr>
          <w:sz w:val="20"/>
          <w:szCs w:val="20"/>
          <w:color w:val="auto"/>
        </w:rPr>
      </w:pPr>
    </w:p>
    <w:p>
      <w:pPr>
        <w:jc w:val="both"/>
        <w:ind w:left="660" w:hanging="652"/>
        <w:spacing w:after="0" w:line="254"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shall be read together with the UCF, as a single agreement, and together constitute the entire agreement between the Parties with respect to the subject matter hereof and thereof. Each Party agrees to execute, acknowledge and deliver such further instructions, and to do all such other acts, as may be necessary or appropriate in order to carry out the purposes and intent of this Amendment. This Amendment may be executed in multiple originals, each of which shall be considered an original for all purposes and, collectively, shall be considered to constitute this Amendment. Signatures transmitted by facsimile or in a Portable Document Format (pdf) may be considered an original for all purposes, including, without limitation, the execution of this Amendment and enforcement of this Amendment. This Amendment shall prevail in case of any conflict with the UCF.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4" w:name="page195"/>
    <w:bookmarkEnd w:id="194"/>
    <w:p>
      <w:pPr>
        <w:ind w:left="20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Amendment this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 of November 2024.</w:t>
      </w:r>
    </w:p>
    <w:p>
      <w:pPr>
        <w:spacing w:after="0" w:line="1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28803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ERAS CAPITAL LLC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28803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Andrei Karkar</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28803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494665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THIRD AMENDMENT TO THE UNSECURED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THIRD AMENDMENT </w:t>
      </w:r>
      <w:r>
        <w:rPr>
          <w:rFonts w:ascii="Times New Roman" w:cs="Times New Roman" w:eastAsia="Times New Roman" w:hAnsi="Times New Roman"/>
          <w:sz w:val="18"/>
          <w:szCs w:val="18"/>
          <w:color w:val="auto"/>
        </w:rPr>
        <w:t>is dated March 26, 2025 between: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TMC THE METALS COMPANY INC., </w:t>
      </w:r>
      <w:r>
        <w:rPr>
          <w:rFonts w:ascii="Times New Roman" w:cs="Times New Roman" w:eastAsia="Times New Roman" w:hAnsi="Times New Roman"/>
          <w:sz w:val="18"/>
          <w:szCs w:val="18"/>
          <w:color w:val="auto"/>
        </w:rPr>
        <w:t>a company organized under the laws of British Columbia, Canada (“</w:t>
      </w:r>
      <w:r>
        <w:rPr>
          <w:rFonts w:ascii="Times New Roman" w:cs="Times New Roman" w:eastAsia="Times New Roman" w:hAnsi="Times New Roman"/>
          <w:sz w:val="18"/>
          <w:szCs w:val="18"/>
          <w:b w:val="1"/>
          <w:bCs w:val="1"/>
          <w:color w:val="auto"/>
        </w:rPr>
        <w:t>TMC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ERAS CAPITAL LLC, </w:t>
      </w:r>
      <w:r>
        <w:rPr>
          <w:rFonts w:ascii="Times New Roman" w:cs="Times New Roman" w:eastAsia="Times New Roman" w:hAnsi="Times New Roman"/>
          <w:sz w:val="18"/>
          <w:szCs w:val="18"/>
          <w:color w:val="auto"/>
        </w:rPr>
        <w:t>a Delaware limited liability company, and</w:t>
      </w:r>
      <w:r>
        <w:rPr>
          <w:rFonts w:ascii="Times New Roman" w:cs="Times New Roman" w:eastAsia="Times New Roman" w:hAnsi="Times New Roman"/>
          <w:sz w:val="18"/>
          <w:szCs w:val="18"/>
          <w:b w:val="1"/>
          <w:bCs w:val="1"/>
          <w:color w:val="auto"/>
        </w:rPr>
        <w:t xml:space="preserve"> GERARD BARRON</w:t>
      </w:r>
      <w:r>
        <w:rPr>
          <w:rFonts w:ascii="Times New Roman" w:cs="Times New Roman" w:eastAsia="Times New Roman" w:hAnsi="Times New Roman"/>
          <w:sz w:val="18"/>
          <w:szCs w:val="18"/>
          <w:color w:val="auto"/>
        </w:rPr>
        <w:t>, an individual.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TMC, ERAS and Barron entered into an Unsecured Credit Facility Agreement on March 22, 2024, as amended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Amendment to the Unsecured Credit Facility dated August 13, 2024 and by the Second Amendment to the Unsecured Credit Facility dated November 14, 2024 (the “</w:t>
      </w:r>
      <w:r>
        <w:rPr>
          <w:rFonts w:ascii="Times New Roman" w:cs="Times New Roman" w:eastAsia="Times New Roman" w:hAnsi="Times New Roman"/>
          <w:sz w:val="18"/>
          <w:szCs w:val="18"/>
          <w:b w:val="1"/>
          <w:bCs w:val="1"/>
          <w:color w:val="auto"/>
        </w:rPr>
        <w:t>UCF</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AND WHERAS </w:t>
      </w:r>
      <w:r>
        <w:rPr>
          <w:rFonts w:ascii="Times New Roman" w:cs="Times New Roman" w:eastAsia="Times New Roman" w:hAnsi="Times New Roman"/>
          <w:sz w:val="18"/>
          <w:szCs w:val="18"/>
          <w:color w:val="auto"/>
        </w:rPr>
        <w:t>the parties wish to amend the UCF as set forth below.</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WITNESSES THAT </w:t>
      </w:r>
      <w:r>
        <w:rPr>
          <w:rFonts w:ascii="Times New Roman" w:cs="Times New Roman" w:eastAsia="Times New Roman" w:hAnsi="Times New Roman"/>
          <w:sz w:val="18"/>
          <w:szCs w:val="18"/>
          <w:color w:val="auto"/>
        </w:rPr>
        <w:t>in consideration of the respective covenants,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herein contained and for other good and valuable consideration (the receipt and sufficiency of which are acknowledged by each party), the parties to this Agreement covenant and agree as follows:</w:t>
      </w:r>
    </w:p>
    <w:p>
      <w:pPr>
        <w:spacing w:after="0" w:line="175" w:lineRule="exact"/>
        <w:rPr>
          <w:sz w:val="20"/>
          <w:szCs w:val="20"/>
          <w:color w:val="auto"/>
        </w:rPr>
      </w:pPr>
    </w:p>
    <w:p>
      <w:pPr>
        <w:ind w:left="660" w:right="20" w:hanging="652"/>
        <w:spacing w:after="0" w:line="282"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defined in this Amendment have the respective meanings assigned to them in the UCF.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UCF is hereby amended as follows: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Extension of Maturity Date and Lender Option to Extend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1.1.12 of the UCF shall be replaced in its entirety with the following:</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means June 30, 2026; provided, however, that the Lenders, in their sole discretion, may elect to extend the Maturity Date by up to two (2) additional one-year periods, such that the latest possible Maturity Date shall be June 30, 2028.</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right to extend the Maturity Date must be exercised by written notice to the Borrower no later than two (2) days before the then-applicable Maturity Date, or, if applicable, no later than two (2) days before a termination pursuant to Section 2.9. If the Lenders provide such notice, the Maturity Date shall be deemed extended, regardless of whether termination under Section 2.9 subsequently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6" w:name="page197"/>
    <w:bookmarkEnd w:id="196"/>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Principal Amount</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Section 1.1.17 shall be replaced in its entirety with the following:</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“Section 1.1.17 “Principal Amount” means the principal amount advanced and outstanding under this Agreement from time to time, being up to a maximum of USD $22,000,000 with respect to ERAS and USD $22,000,000 with respect to Barron, and which may be reduced by any Prepayment Amount in accordance with Section 2.7;”</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Section 1.1.18 shall be replaced in its entirety with the following:</w:t>
      </w:r>
    </w:p>
    <w:p>
      <w:pPr>
        <w:spacing w:after="0" w:line="225"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“Underutilization Fee” means a fee equal to 6.5% per annum of any amount of the then current maximum Principal Amount, being USD $22,000.000 with respect to ERAS and USD $22,000,000 with respect to Barron, less any drawn amounts under the facility, respectively. For the avoidance of doubt, this amendment to the Underutilization Fee applies retroactively to the date of the original Agreement, March 22, 2024.”</w:t>
      </w:r>
    </w:p>
    <w:p>
      <w:pPr>
        <w:spacing w:after="0" w:line="180"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Underutilization Fee Structure</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Section 2.7 of the UCF shall be replaced in its entirety with the following:</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“The Borrower shall pay to the Lenders their respective Underutilization Fee quarterly if all or any amount of the aggregate maximum amount of the Principal Amount has not been previously drawn pursuant to this Agreement, respectively. The Borrower will pay the Underutilization Fee in cash or shares, at the Lenders’ election.</w:t>
      </w:r>
    </w:p>
    <w:p>
      <w:pPr>
        <w:spacing w:after="0" w:line="176"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in the event this Agreement is terminated pursuant to Section 2.9, and the Lenders had exercised their right to extend the Maturity Date pursuant to Section 1.1.12 prior to such termination, the Underutilization Fee shall continue to accrue and be payable as if the Agreement had remained in effect through the latest extended Maturity Date.”</w:t>
      </w:r>
    </w:p>
    <w:p>
      <w:pPr>
        <w:spacing w:after="0" w:line="180"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Termination</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first paragraph of Section 2.9 shall be replaced in its entirety with the following:</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“The Lenders may, at their option, terminate this Agreement with immediate effect upon notice at such time Borrower or any of its subsidiaries raises at least USD $50,000,000 in the aggregate (i) through the issuance of any debt or equity securities of Borrower or any of its subsidiaries, or (ii) in prepayments under an off-take agreement or similar commercial agreement.”</w:t>
      </w:r>
    </w:p>
    <w:p>
      <w:pPr>
        <w:spacing w:after="0" w:line="176" w:lineRule="exact"/>
        <w:rPr>
          <w:sz w:val="20"/>
          <w:szCs w:val="20"/>
          <w:color w:val="auto"/>
        </w:rPr>
      </w:pPr>
    </w:p>
    <w:p>
      <w:pPr>
        <w:jc w:val="both"/>
        <w:ind w:left="652" w:hanging="652"/>
        <w:spacing w:after="0" w:line="266" w:lineRule="auto"/>
        <w:tabs>
          <w:tab w:leader="none" w:pos="65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shall be read together with the UCF, as a single agreement, and together constitute the entire agreement between the Parties with respect to the subject matter hereof and thereof. Each Party agrees to execute, acknowledge and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197" w:name="page198"/>
    <w:bookmarkEnd w:id="197"/>
    <w:p>
      <w:pPr>
        <w:jc w:val="both"/>
        <w:ind w:left="200"/>
        <w:spacing w:after="0" w:line="256" w:lineRule="auto"/>
        <w:rPr>
          <w:sz w:val="20"/>
          <w:szCs w:val="20"/>
          <w:color w:val="auto"/>
        </w:rPr>
      </w:pPr>
      <w:r>
        <w:rPr>
          <w:rFonts w:ascii="Times New Roman" w:cs="Times New Roman" w:eastAsia="Times New Roman" w:hAnsi="Times New Roman"/>
          <w:sz w:val="18"/>
          <w:szCs w:val="18"/>
          <w:color w:val="auto"/>
        </w:rPr>
        <w:t>such further instructions, and to do all such other acts, as may be necessary or appropriate in order to carry out the purposes and intent of this Amendment. This Amendment may be executed in multiple originals, each of which shall be considered an original for all purposes and, collectively, shall be considered to constitute this Amendment. Signatures transmitted by facsimile or in a Portable Document Format (pdf) may be considered an original for all purposes, including, without limitation, the execution of this Amendment and enforcement of this Amendment. This Amendment shall prevail in case of any conflict with the UCF.</w:t>
      </w:r>
    </w:p>
    <w:p>
      <w:pPr>
        <w:spacing w:after="0" w:line="18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634365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98" w:name="page199"/>
    <w:bookmarkEnd w:id="198"/>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Amendment this 26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March 2025.</w:t>
      </w:r>
    </w:p>
    <w:p>
      <w:pPr>
        <w:spacing w:after="0" w:line="1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9317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ERAS CAPITAL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9317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Andrei Karkar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9317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494665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4634865</wp:posOffset>
            </wp:positionH>
            <wp:positionV relativeFrom="paragraph">
              <wp:posOffset>156845</wp:posOffset>
            </wp:positionV>
            <wp:extent cx="1663065" cy="6089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3">
                      <a:extLst>
                        <a:ext uri="{28A0092B-C50C-407E-A947-70E740481C1C}"/>
                      </a:extLst>
                    </a:blip>
                    <a:srcRect/>
                    <a:stretch>
                      <a:fillRect/>
                    </a:stretch>
                  </pic:blipFill>
                  <pic:spPr bwMode="auto">
                    <a:xfrm>
                      <a:off x="0" y="0"/>
                      <a:ext cx="166306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TMC the metals company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the following policy regarding trading by Company personnel (including contractors) in the Company’s securities (the “</w:t>
      </w:r>
      <w:r>
        <w:rPr>
          <w:rFonts w:ascii="Times New Roman" w:cs="Times New Roman" w:eastAsia="Times New Roman" w:hAnsi="Times New Roman"/>
          <w:sz w:val="18"/>
          <w:szCs w:val="18"/>
          <w:u w:val="single" w:color="auto"/>
          <w:color w:val="auto"/>
        </w:rPr>
        <w:t>Insider Trading Policy</w:t>
      </w:r>
      <w:r>
        <w:rPr>
          <w:rFonts w:ascii="Times New Roman" w:cs="Times New Roman" w:eastAsia="Times New Roman" w:hAnsi="Times New Roman"/>
          <w:sz w:val="18"/>
          <w:szCs w:val="18"/>
          <w:color w:val="auto"/>
        </w:rPr>
        <w:t>,” or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xml:space="preserve">”). This Policy applies to </w:t>
      </w:r>
      <w:r>
        <w:rPr>
          <w:rFonts w:ascii="Times New Roman" w:cs="Times New Roman" w:eastAsia="Times New Roman" w:hAnsi="Times New Roman"/>
          <w:sz w:val="18"/>
          <w:szCs w:val="18"/>
          <w:i w:val="1"/>
          <w:iCs w:val="1"/>
          <w:color w:val="auto"/>
        </w:rPr>
        <w:t>all</w:t>
      </w:r>
      <w:r>
        <w:rPr>
          <w:rFonts w:ascii="Times New Roman" w:cs="Times New Roman" w:eastAsia="Times New Roman" w:hAnsi="Times New Roman"/>
          <w:sz w:val="18"/>
          <w:szCs w:val="18"/>
          <w:color w:val="auto"/>
        </w:rPr>
        <w:t xml:space="preserve"> Company personnel, including directors, officers, employees and consultants of the Company and its subsidiaries. This Policy also applies to certain family members, other members of a person’s household and entities controlled by Company personnel, as described in </w:t>
      </w:r>
      <w:r>
        <w:rPr>
          <w:rFonts w:ascii="Times New Roman" w:cs="Times New Roman" w:eastAsia="Times New Roman" w:hAnsi="Times New Roman"/>
          <w:sz w:val="18"/>
          <w:szCs w:val="18"/>
          <w:u w:val="single" w:color="auto"/>
          <w:color w:val="auto"/>
        </w:rPr>
        <w:t>Section IV</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ind w:left="660" w:right="6240" w:hanging="652"/>
        <w:spacing w:after="0" w:line="503" w:lineRule="auto"/>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The Need for an Insider Trading Policy </w:t>
      </w:r>
      <w:r>
        <w:rPr>
          <w:rFonts w:ascii="Times New Roman" w:cs="Times New Roman" w:eastAsia="Times New Roman" w:hAnsi="Times New Roman"/>
          <w:sz w:val="18"/>
          <w:szCs w:val="18"/>
          <w:color w:val="auto"/>
        </w:rPr>
        <w:t>This Policy has been developed:</w:t>
      </w:r>
    </w:p>
    <w:p>
      <w:pPr>
        <w:ind w:left="980" w:right="20" w:hanging="324"/>
        <w:spacing w:after="0" w:line="282"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educate all Company personnel as to the federal securities laws and the rules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insider trading in public company securities;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forth requirements that apply to Company personnel and other persons covered by this Policy who seek to trade in the Company’s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the Company and its personnel from legal liability;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preserve the reputation of the Company and its personnel for integrity and ethical conduct.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Because the Company is a public company, transactions in the Company’s securities are subject to the federal securities laws and regulations adopted by the SEC. These laws and regulations make it illegal for an individual to buy or sell securities of the Company while aware of </w:t>
      </w:r>
      <w:r>
        <w:rPr>
          <w:rFonts w:ascii="Times New Roman" w:cs="Times New Roman" w:eastAsia="Times New Roman" w:hAnsi="Times New Roman"/>
          <w:sz w:val="18"/>
          <w:szCs w:val="18"/>
          <w:b w:val="1"/>
          <w:bCs w:val="1"/>
          <w:i w:val="1"/>
          <w:iCs w:val="1"/>
          <w:color w:val="auto"/>
        </w:rPr>
        <w:t>material non-public information</w:t>
      </w:r>
      <w:r>
        <w:rPr>
          <w:rFonts w:ascii="Times New Roman" w:cs="Times New Roman" w:eastAsia="Times New Roman" w:hAnsi="Times New Roman"/>
          <w:sz w:val="18"/>
          <w:szCs w:val="18"/>
          <w:color w:val="auto"/>
        </w:rPr>
        <w:t>. The SEC takes insider trading very seriously and devotes significant resources to uncovering the activity and to prosecuting offenders. Liability may extend not only to the individuals who trade while in possession of material non-public information but also to their “tippers,” people who leak material non-public information to individuals who then trade based on that information. The Company and “controlling persons” of the Company may also be liable for violations by Company employees.</w:t>
      </w:r>
    </w:p>
    <w:p>
      <w:pPr>
        <w:spacing w:after="0" w:line="185" w:lineRule="exact"/>
        <w:rPr>
          <w:sz w:val="20"/>
          <w:szCs w:val="20"/>
          <w:color w:val="auto"/>
        </w:rPr>
      </w:pPr>
    </w:p>
    <w:p>
      <w:pPr>
        <w:ind w:left="660" w:right="5960" w:hanging="652"/>
        <w:spacing w:after="0" w:line="503" w:lineRule="auto"/>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What is Material Non-Public Information? </w:t>
      </w:r>
      <w:r>
        <w:rPr>
          <w:rFonts w:ascii="Times New Roman" w:cs="Times New Roman" w:eastAsia="Times New Roman" w:hAnsi="Times New Roman"/>
          <w:sz w:val="18"/>
          <w:szCs w:val="18"/>
          <w:b w:val="1"/>
          <w:bCs w:val="1"/>
          <w:i w:val="1"/>
          <w:iCs w:val="1"/>
          <w:color w:val="auto"/>
        </w:rPr>
        <w:t>Definition.</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Material non-public information is any information (positive or negative) that:</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generally known to the public,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if publicly known, would likely affect either the market price of the Company’s securities or a person’s decision to buy, sell or hold the Company’s securities.</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ind w:left="4920" w:hanging="106"/>
        <w:spacing w:after="0"/>
        <w:tabs>
          <w:tab w:leader="none" w:pos="492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0" w:name="page201"/>
    <w:bookmarkEnd w:id="200"/>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Examples. </w:t>
      </w:r>
      <w:r>
        <w:rPr>
          <w:rFonts w:ascii="Times New Roman" w:cs="Times New Roman" w:eastAsia="Times New Roman" w:hAnsi="Times New Roman"/>
          <w:sz w:val="18"/>
          <w:szCs w:val="18"/>
          <w:color w:val="auto"/>
        </w:rPr>
        <w:t>Common examples of information that will frequently be regarded as material include, but are not limited to:</w:t>
      </w:r>
    </w:p>
    <w:p>
      <w:pPr>
        <w:spacing w:after="0" w:line="162" w:lineRule="exact"/>
        <w:rPr>
          <w:sz w:val="20"/>
          <w:szCs w:val="20"/>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or annual earnings results;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financial results;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supplier;</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acquisitions, tender offers, joint ventures, divestitures or other significant changes in assets;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news or developments in the Company’s business and/or product development efforts;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significant technologies;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modification or termination of significant strategic alliances or collaborations;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agreements with significant new customers or for a significant quantity of the Company’s products;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transactions with officers, directors or greater than 5% shareholders;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changes or changes in control;</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or private sale of additional securities by the Company;</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arbitrations or similar disputes;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by the Company of a program to buy the Company’s own shares;</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amendment or termination of a material contract;</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contract, license, registration or collaboration;</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disagreements with auditors, or a notification that the auditor’s reports may no longer be relied upon;</w:t>
      </w:r>
    </w:p>
    <w:p>
      <w:pPr>
        <w:spacing w:after="0" w:line="18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Company’s credit status; or</w:t>
      </w:r>
    </w:p>
    <w:p>
      <w:pPr>
        <w:spacing w:after="0" w:line="184"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that require the filing of a Current Report on Form 8-K with the SEC.</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Twenty-Twenty Hindsight. </w:t>
      </w:r>
      <w:r>
        <w:rPr>
          <w:rFonts w:ascii="Times New Roman" w:cs="Times New Roman" w:eastAsia="Times New Roman" w:hAnsi="Times New Roman"/>
          <w:sz w:val="18"/>
          <w:szCs w:val="18"/>
          <w:color w:val="auto"/>
        </w:rPr>
        <w:t>In determining whether information is material, the SEC and other regulators will view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after-the-fact with the benefit of hindsight. As a result, in determining whether any information is material, we will, and you should, carefully consider whether regulators and others might view the information as being material in hindsight, with the benefit of all relevant information that later becomes available. For example, if there is a significant change in the Company’s stock price following release of certain information, that information will likely be determined to have been material when viewed with the benefit of hindsight.</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addressing the relevant statutes and regulations in this area, we are adopting this Policy to avoid even the appearance of improper conduct on the part of anyone employed by or associated with the Company and certain related persons, not just members of senior management.</w:t>
      </w:r>
    </w:p>
    <w:p>
      <w:pPr>
        <w:spacing w:after="0" w:line="131"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Consequences of Insider Trading</w:t>
      </w:r>
    </w:p>
    <w:p>
      <w:pPr>
        <w:spacing w:after="0" w:line="20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consequences of insider trading violations can be severe:</w:t>
      </w:r>
    </w:p>
    <w:p>
      <w:pPr>
        <w:spacing w:after="0" w:line="1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For individuals</w:t>
      </w:r>
      <w:r>
        <w:rPr>
          <w:rFonts w:ascii="Times New Roman" w:cs="Times New Roman" w:eastAsia="Times New Roman" w:hAnsi="Times New Roman"/>
          <w:sz w:val="18"/>
          <w:szCs w:val="18"/>
          <w:color w:val="auto"/>
        </w:rPr>
        <w:t xml:space="preserve"> who trade while in possession of material non-public information (or tip information to others):</w:t>
      </w:r>
    </w:p>
    <w:p>
      <w:pPr>
        <w:spacing w:after="0" w:line="198"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three times the profit gained or loss avoided;</w:t>
      </w:r>
    </w:p>
    <w:p>
      <w:pPr>
        <w:spacing w:after="0" w:line="184" w:lineRule="exact"/>
        <w:rPr>
          <w:rFonts w:ascii="Times New Roman" w:cs="Times New Roman" w:eastAsia="Times New Roman" w:hAnsi="Times New Roman"/>
          <w:sz w:val="18"/>
          <w:szCs w:val="18"/>
          <w:color w:val="auto"/>
        </w:rPr>
      </w:pPr>
    </w:p>
    <w:p>
      <w:pPr>
        <w:ind w:left="4920" w:hanging="106"/>
        <w:spacing w:after="0"/>
        <w:tabs>
          <w:tab w:leader="none" w:pos="492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1" w:name="page202"/>
    <w:bookmarkEnd w:id="201"/>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fine (no matter how small the profit) of up to $5 million;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jail term of up to 20 years.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penalties can apply even if the individual is not a member of the Board of Directors or an officer of the Company. Moreover, if an employee violates this Policy, he or she may also be subject to Company-imposed sanctions, including termination for cause.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For a company</w:t>
      </w:r>
      <w:r>
        <w:rPr>
          <w:rFonts w:ascii="Times New Roman" w:cs="Times New Roman" w:eastAsia="Times New Roman" w:hAnsi="Times New Roman"/>
          <w:sz w:val="18"/>
          <w:szCs w:val="18"/>
          <w:color w:val="auto"/>
        </w:rPr>
        <w:t xml:space="preserve"> (as well as possibly any supervisory person) that fails to take appropriate steps to prevent illegal trading:</w:t>
      </w:r>
    </w:p>
    <w:p>
      <w:pPr>
        <w:spacing w:after="0" w:line="225" w:lineRule="exact"/>
        <w:rPr>
          <w:sz w:val="20"/>
          <w:szCs w:val="20"/>
          <w:color w:val="auto"/>
        </w:rPr>
      </w:pPr>
    </w:p>
    <w:p>
      <w:pPr>
        <w:ind w:left="980" w:hanging="324"/>
        <w:spacing w:after="0" w:line="282"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the greater of $1 million or three times the profit gained or loss avoided as a result of the employee’s violation;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penalty of up to $25 million.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 above consequences, including an SEC investigation that does not result in prosecution, can tarnish the Company’s or an individual’s reputation and irreparably damage a career.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Our Policy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Prohibition on Trading. </w:t>
      </w:r>
      <w:r>
        <w:rPr>
          <w:rFonts w:ascii="Times New Roman" w:cs="Times New Roman" w:eastAsia="Times New Roman" w:hAnsi="Times New Roman"/>
          <w:sz w:val="18"/>
          <w:szCs w:val="18"/>
          <w:color w:val="auto"/>
        </w:rPr>
        <w:t>Company personnel and Related Persons (as defined below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IV</w:t>
      </w:r>
      <w:r>
        <w:rPr>
          <w:rFonts w:ascii="Times New Roman" w:cs="Times New Roman" w:eastAsia="Times New Roman" w:hAnsi="Times New Roman"/>
          <w:sz w:val="18"/>
          <w:szCs w:val="18"/>
          <w:color w:val="auto"/>
        </w:rPr>
        <w:t>) may not buy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sell securities of the Company while in possession of material non-public information or engage in any other action to take advantage of, or pass on to others, that information, subject to the specific exceptions noted below in this </w:t>
      </w:r>
      <w:r>
        <w:rPr>
          <w:rFonts w:ascii="Times New Roman" w:cs="Times New Roman" w:eastAsia="Times New Roman" w:hAnsi="Times New Roman"/>
          <w:sz w:val="18"/>
          <w:szCs w:val="18"/>
          <w:u w:val="single" w:color="auto"/>
          <w:color w:val="auto"/>
        </w:rPr>
        <w:t>Section IV</w:t>
      </w:r>
      <w:r>
        <w:rPr>
          <w:rFonts w:ascii="Times New Roman" w:cs="Times New Roman" w:eastAsia="Times New Roman" w:hAnsi="Times New Roman"/>
          <w:sz w:val="18"/>
          <w:szCs w:val="18"/>
          <w:color w:val="auto"/>
        </w:rPr>
        <w:t xml:space="preserve"> under the caption “Exceptions for Certain Transactions.”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by Family Members, Others in Your Household and Entities You Control. </w:t>
      </w:r>
      <w:r>
        <w:rPr>
          <w:rFonts w:ascii="Times New Roman" w:cs="Times New Roman" w:eastAsia="Times New Roman" w:hAnsi="Times New Roman"/>
          <w:sz w:val="18"/>
          <w:szCs w:val="18"/>
          <w:color w:val="auto"/>
        </w:rPr>
        <w:t>The restrictions in this Policy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apply to (1) immediate family members who reside with you, (2) others living in your household (whether or not related to you), (3) family members who do not live in your household but whose transactions in the Company’s securities are directed by you or are subject to your influence or control (e.g., parents or children who consult with you before they trade in the Company’s securities) and (4) any entities that you influence or control, including any corporations, limited liability companies, partnerships or trusts (each person or entity identified in clauses (1) – (4), a “</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SEC regulations specifically provide that any material non-public information about the Company communicated to any spouse, parent, child or sibling is considered to have been communicated under a duty of trust or confidence; and that any trading in the Company’s securities by such family members while they are aware of such information may, therefore, violate insider trading laws and regulations. Company personnel are expected to be responsible for the compliance of all Related Persons with this Policy. This means that, to the extent such Related Persons of Company personnel intend to trade in the Company’s securities, the Related Persons need to comply with the black-out periods and all other restrictions in this Policy. Furthermore, you should not participate in any investment club (i.e., groups of people who pool their money to make investments) that may invest in the Company’s securities.</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Companies’ Non-public Information. </w:t>
      </w:r>
      <w:r>
        <w:rPr>
          <w:rFonts w:ascii="Times New Roman" w:cs="Times New Roman" w:eastAsia="Times New Roman" w:hAnsi="Times New Roman"/>
          <w:sz w:val="18"/>
          <w:szCs w:val="18"/>
          <w:color w:val="auto"/>
        </w:rPr>
        <w:t>This Policy also applies with equal force to information relating to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including our customers or suppliers, obtained by Company personnel during the course of their service to or employment by the Company. Specifically, no Company personnel who, in the course of work on behalf of the Company, learns of material non-public information about a company with which the Company does business may trade in the other company’s securities until the information becomes public or is no longer material.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2" w:name="page203"/>
    <w:bookmarkEnd w:id="20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Personal or Independent Reasons Are Not Exceptions. </w:t>
      </w:r>
      <w:r>
        <w:rPr>
          <w:rFonts w:ascii="Times New Roman" w:cs="Times New Roman" w:eastAsia="Times New Roman" w:hAnsi="Times New Roman"/>
          <w:sz w:val="18"/>
          <w:szCs w:val="18"/>
          <w:color w:val="auto"/>
        </w:rPr>
        <w:t>Transactions in the Company’s securities that may be necessary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Policy Administrator. </w:t>
      </w:r>
      <w:r>
        <w:rPr>
          <w:rFonts w:ascii="Times New Roman" w:cs="Times New Roman" w:eastAsia="Times New Roman" w:hAnsi="Times New Roman"/>
          <w:sz w:val="18"/>
          <w:szCs w:val="18"/>
          <w:color w:val="auto"/>
        </w:rPr>
        <w:t>This Policy shall be administered by the “</w:t>
      </w:r>
      <w:r>
        <w:rPr>
          <w:rFonts w:ascii="Times New Roman" w:cs="Times New Roman" w:eastAsia="Times New Roman" w:hAnsi="Times New Roman"/>
          <w:sz w:val="18"/>
          <w:szCs w:val="18"/>
          <w:u w:val="single" w:color="auto"/>
          <w:color w:val="auto"/>
        </w:rPr>
        <w:t>Policy Administrator</w:t>
      </w:r>
      <w:r>
        <w:rPr>
          <w:rFonts w:ascii="Times New Roman" w:cs="Times New Roman" w:eastAsia="Times New Roman" w:hAnsi="Times New Roman"/>
          <w:sz w:val="18"/>
          <w:szCs w:val="18"/>
          <w:color w:val="auto"/>
        </w:rPr>
        <w:t>,” who shall initially be the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the General Counsel shall serve as the alternate Policy Administrator. The Policy Administrator may, however, change from time to time.</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When Information Becomes Public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Policy applies to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about the Company, which means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trading is permitted once the information becomes known to the public (unless some other Company policy or legal obligation restricts trading at that time). Because the Company’s shareholders and the investing public should be afforded time to receive and absorb information, as a general rule, you should not engage in any transactions until the beginning of the second business day after material information has been released. Thus, if an announcement is made before the market opens on a Monday, Wednesday generally would be the first day on which you may trade. If an announcement is made before the market opens on a Friday, Tuesday generally would be the first day on which you may trade. However, if the information released is complex, such as a major financing or other significant transaction, it may be necessary to allow additional time for the information to be absorbed by the investing public. In such circumstances, you will be notified by the Policy Administrator regarding a suitable waiting period before trading. In addition, we have established specified black-out periods, as described below.</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Prohibited Trading Periods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it is never permissible to trade based on material non-public information,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implementing the following procedures to help prevent inadvertent violations of this Policy and avoid even the appearance of an improper transaction (which could result, for example, where Company personnel engage in a trade while unaware of a pending major development).</w:t>
      </w:r>
    </w:p>
    <w:p>
      <w:pPr>
        <w:spacing w:after="0" w:line="180" w:lineRule="exact"/>
        <w:rPr>
          <w:sz w:val="20"/>
          <w:szCs w:val="20"/>
          <w:color w:val="auto"/>
        </w:rPr>
      </w:pPr>
    </w:p>
    <w:p>
      <w:pPr>
        <w:ind w:right="20" w:firstLine="656"/>
        <w:spacing w:after="0" w:line="282" w:lineRule="auto"/>
        <w:tabs>
          <w:tab w:leader="none" w:pos="129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Company-Wide Black-Out Periods Applicable to All Company Personnel</w:t>
      </w:r>
      <w:r>
        <w:rPr>
          <w:rFonts w:ascii="Times New Roman" w:cs="Times New Roman" w:eastAsia="Times New Roman" w:hAnsi="Times New Roman"/>
          <w:sz w:val="18"/>
          <w:szCs w:val="18"/>
          <w:color w:val="auto"/>
        </w:rPr>
        <w:t>. All Company personnel and Related Persons are prohibited from trading in any of the Company’s securities during the following periods:</w:t>
      </w:r>
    </w:p>
    <w:p>
      <w:pPr>
        <w:spacing w:after="0" w:line="162" w:lineRule="exact"/>
        <w:rPr>
          <w:sz w:val="20"/>
          <w:szCs w:val="20"/>
          <w:color w:val="auto"/>
        </w:rPr>
      </w:pPr>
    </w:p>
    <w:p>
      <w:pPr>
        <w:jc w:val="both"/>
        <w:ind w:left="980" w:hanging="324"/>
        <w:spacing w:after="0" w:line="261" w:lineRule="auto"/>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each such individual becomes aware of the material information (the black-out start times often vary), until the beginning of the second business day after the day the Company has made a public announcement of material information, including earnings releases, unless the information released is complex, in which case it may be necessary to extend this period and the Policy Administrator will notify you of any such extension of the black-out period; and</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other specified periods when significant developments or announcements are anticipated, as notified by the Policy Administrator.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will be notified by e-mail when you may not trade in the Company’s securities during periods when significant developments or announcements are anticipated, in which event you will also be notified when trading restrictions are lifted. </w:t>
      </w:r>
      <w:r>
        <w:rPr>
          <w:rFonts w:ascii="Times New Roman" w:cs="Times New Roman" w:eastAsia="Times New Roman" w:hAnsi="Times New Roman"/>
          <w:sz w:val="18"/>
          <w:szCs w:val="18"/>
          <w:i w:val="1"/>
          <w:iCs w:val="1"/>
          <w:color w:val="auto"/>
        </w:rPr>
        <w:t>Of course,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 during periods when trading is permitted, no one, including persons or entities who do not fall within the definition of Related Persons, should trade in the Company’s securities if he or she possesses material non-public information.</w:t>
      </w:r>
    </w:p>
    <w:p>
      <w:pPr>
        <w:spacing w:after="0" w:line="180" w:lineRule="exact"/>
        <w:rPr>
          <w:sz w:val="20"/>
          <w:szCs w:val="20"/>
          <w:color w:val="auto"/>
        </w:rPr>
      </w:pPr>
    </w:p>
    <w:p>
      <w:pPr>
        <w:jc w:val="both"/>
        <w:ind w:firstLine="656"/>
        <w:spacing w:after="0" w:line="261" w:lineRule="auto"/>
        <w:tabs>
          <w:tab w:leader="none" w:pos="129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Black-Out Periods Applicable to the Board of Directors, Senior Management, Financial Team Members and Designated Employees</w:t>
      </w:r>
      <w:r>
        <w:rPr>
          <w:rFonts w:ascii="Times New Roman" w:cs="Times New Roman" w:eastAsia="Times New Roman" w:hAnsi="Times New Roman"/>
          <w:sz w:val="18"/>
          <w:szCs w:val="18"/>
          <w:color w:val="auto"/>
        </w:rPr>
        <w:t>. In addition to being subject to the trading procedures applicable to all Company personnel (above), members of the Company’s Board of Directors, Senior Management, Financial Team Members, Designated Employees (each as defined below) and Related</w:t>
      </w:r>
    </w:p>
    <w:p>
      <w:pPr>
        <w:spacing w:after="0" w:line="200" w:lineRule="exact"/>
        <w:rPr>
          <w:rFonts w:ascii="Times New Roman" w:cs="Times New Roman" w:eastAsia="Times New Roman" w:hAnsi="Times New Roman"/>
          <w:sz w:val="18"/>
          <w:szCs w:val="18"/>
          <w:color w:val="auto"/>
        </w:rPr>
      </w:pPr>
    </w:p>
    <w:p>
      <w:pPr>
        <w:spacing w:after="0" w:line="371" w:lineRule="exact"/>
        <w:rPr>
          <w:rFonts w:ascii="Times New Roman" w:cs="Times New Roman" w:eastAsia="Times New Roman" w:hAnsi="Times New Roman"/>
          <w:sz w:val="18"/>
          <w:szCs w:val="18"/>
          <w:color w:val="auto"/>
        </w:rPr>
      </w:pPr>
    </w:p>
    <w:p>
      <w:pPr>
        <w:ind w:left="4920" w:hanging="106"/>
        <w:spacing w:after="0"/>
        <w:tabs>
          <w:tab w:leader="none" w:pos="49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Persons of such individuals are also subject to additional trading procedures and restrictions during the following periods:</w:t>
      </w:r>
    </w:p>
    <w:p>
      <w:pPr>
        <w:spacing w:after="0" w:line="225" w:lineRule="exact"/>
        <w:rPr>
          <w:sz w:val="20"/>
          <w:szCs w:val="20"/>
          <w:color w:val="auto"/>
        </w:rPr>
      </w:pPr>
    </w:p>
    <w:p>
      <w:pPr>
        <w:ind w:left="980" w:right="20" w:hanging="324"/>
        <w:spacing w:after="0" w:line="282" w:lineRule="auto"/>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from the close of each fiscal quarter until the beginning of the second business day after the release of the Company’s financial results for each quarter and, in the case of the fourth quarter, financial results for the year end;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periods as determined by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members of management constitute the “</w:t>
      </w:r>
      <w:r>
        <w:rPr>
          <w:rFonts w:ascii="Times New Roman" w:cs="Times New Roman" w:eastAsia="Times New Roman" w:hAnsi="Times New Roman"/>
          <w:sz w:val="18"/>
          <w:szCs w:val="18"/>
          <w:u w:val="single" w:color="auto"/>
          <w:color w:val="auto"/>
        </w:rPr>
        <w:t>Senior Management</w:t>
      </w:r>
      <w:r>
        <w:rPr>
          <w:rFonts w:ascii="Times New Roman" w:cs="Times New Roman" w:eastAsia="Times New Roman" w:hAnsi="Times New Roman"/>
          <w:sz w:val="18"/>
          <w:szCs w:val="18"/>
          <w:color w:val="auto"/>
        </w:rPr>
        <w:t xml:space="preserve">” of the Company: all Executive (Section 16) Officers, as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which list shall be amended from time to time to reflect the then-current group of such individuals.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individuals constitute the “</w:t>
      </w:r>
      <w:r>
        <w:rPr>
          <w:rFonts w:ascii="Times New Roman" w:cs="Times New Roman" w:eastAsia="Times New Roman" w:hAnsi="Times New Roman"/>
          <w:sz w:val="18"/>
          <w:szCs w:val="18"/>
          <w:u w:val="single" w:color="auto"/>
          <w:color w:val="auto"/>
        </w:rPr>
        <w:t>Financial Team Members</w:t>
      </w:r>
      <w:r>
        <w:rPr>
          <w:rFonts w:ascii="Times New Roman" w:cs="Times New Roman" w:eastAsia="Times New Roman" w:hAnsi="Times New Roman"/>
          <w:sz w:val="18"/>
          <w:szCs w:val="18"/>
          <w:color w:val="auto"/>
        </w:rPr>
        <w:t xml:space="preserve">” of the Company: all members of the Company’s financial team, as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which list shall be amended from time to time to reflect the then-current group of such individuals.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individuals constitute other “</w:t>
      </w:r>
      <w:r>
        <w:rPr>
          <w:rFonts w:ascii="Times New Roman" w:cs="Times New Roman" w:eastAsia="Times New Roman" w:hAnsi="Times New Roman"/>
          <w:sz w:val="18"/>
          <w:szCs w:val="18"/>
          <w:u w:val="single" w:color="auto"/>
          <w:color w:val="auto"/>
        </w:rPr>
        <w:t>Designated Employees</w:t>
      </w:r>
      <w:r>
        <w:rPr>
          <w:rFonts w:ascii="Times New Roman" w:cs="Times New Roman" w:eastAsia="Times New Roman" w:hAnsi="Times New Roman"/>
          <w:sz w:val="18"/>
          <w:szCs w:val="18"/>
          <w:color w:val="auto"/>
        </w:rPr>
        <w:t xml:space="preserve">” of the Company: certain additional members of Company personnel, as listed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which list shall be amended from time to time to reflect the then-current group of such individuals.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Policy Administrator may, from time to time, amend the list of and/or designate other employees as Senior Management, Financial Team Members or Designated Employees, in which case the Policy Administrator shall notify the affected individuals.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Exceptions for Certain Transactions.</w:t>
      </w:r>
    </w:p>
    <w:p>
      <w:pPr>
        <w:spacing w:after="0" w:line="227" w:lineRule="exact"/>
        <w:rPr>
          <w:sz w:val="20"/>
          <w:szCs w:val="20"/>
          <w:color w:val="auto"/>
        </w:rPr>
      </w:pPr>
    </w:p>
    <w:p>
      <w:pPr>
        <w:jc w:val="both"/>
        <w:ind w:firstLine="656"/>
        <w:spacing w:after="0" w:line="267" w:lineRule="auto"/>
        <w:tabs>
          <w:tab w:leader="none" w:pos="129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Gifts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are not transactions that are subject to this Policy, unless the person making the gift (the donor) has reason to believe that the recipient of the gift intends to sell the Company’s securities while the donor is in possession of material non-public information.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Funds</w:t>
      </w:r>
      <w:r>
        <w:rPr>
          <w:rFonts w:ascii="Times New Roman" w:cs="Times New Roman" w:eastAsia="Times New Roman" w:hAnsi="Times New Roman"/>
          <w:sz w:val="18"/>
          <w:szCs w:val="18"/>
          <w:color w:val="auto"/>
        </w:rPr>
        <w:t>. Transactions in mutual funds that are invested in the Company’s securities are not transactions subject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this Policy.</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Involving Company Equity Plans</w:t>
      </w:r>
      <w:r>
        <w:rPr>
          <w:rFonts w:ascii="Times New Roman" w:cs="Times New Roman" w:eastAsia="Times New Roman" w:hAnsi="Times New Roman"/>
          <w:sz w:val="18"/>
          <w:szCs w:val="18"/>
          <w:color w:val="auto"/>
        </w:rPr>
        <w:t>. Except as otherwise noted below, this Policy does not apply to the following transactions:</w:t>
      </w:r>
    </w:p>
    <w:p>
      <w:pPr>
        <w:spacing w:after="0" w:line="160" w:lineRule="exact"/>
        <w:rPr>
          <w:sz w:val="20"/>
          <w:szCs w:val="20"/>
          <w:color w:val="auto"/>
        </w:rPr>
      </w:pPr>
    </w:p>
    <w:p>
      <w:pPr>
        <w:jc w:val="both"/>
        <w:ind w:left="980" w:hanging="324"/>
        <w:spacing w:after="0" w:line="258" w:lineRule="auto"/>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 Exercises. </w:t>
      </w:r>
      <w:r>
        <w:rPr>
          <w:rFonts w:ascii="Times New Roman" w:cs="Times New Roman" w:eastAsia="Times New Roman" w:hAnsi="Times New Roman"/>
          <w:sz w:val="18"/>
          <w:szCs w:val="18"/>
          <w:color w:val="auto"/>
        </w:rPr>
        <w:t>This Policy does not apply to the exercise of an employee stock option acquired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of stock for the purpose of generating the cash needed to pay the exercise price and or taxes upon the exercise of an option.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Awards and Restricted Stock Unit Awards. </w:t>
      </w:r>
      <w:r>
        <w:rPr>
          <w:rFonts w:ascii="Times New Roman" w:cs="Times New Roman" w:eastAsia="Times New Roman" w:hAnsi="Times New Roman"/>
          <w:sz w:val="18"/>
          <w:szCs w:val="18"/>
          <w:color w:val="auto"/>
        </w:rPr>
        <w:t>This Policy does not apply to the vesting of restricted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or the exercise of a tax withholding right pursuant to which a person elects to have the Company withhold shares of stock to satisfy tax withholding requirements upon the vesting of any restricted stock or restricted stock unit. This Policy does apply, however, to any market sale of restricted stock or shares received upon vesting of restricted stock units.</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4920" w:hanging="106"/>
        <w:spacing w:after="0"/>
        <w:tabs>
          <w:tab w:leader="none" w:pos="49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04" w:name="page205"/>
    <w:bookmarkEnd w:id="204"/>
    <w:p>
      <w:pPr>
        <w:jc w:val="both"/>
        <w:ind w:left="980" w:hanging="324"/>
        <w:spacing w:after="0" w:line="267" w:lineRule="auto"/>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This Policy does not apply to purchases of the Company’s securities under any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purchase plan of the Company. This Policy does apply, however, to subsequent sales or other transfers of such securities.</w:t>
      </w:r>
    </w:p>
    <w:p>
      <w:pPr>
        <w:spacing w:after="0" w:line="173"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Transactions with the Company. </w:t>
      </w:r>
      <w:r>
        <w:rPr>
          <w:rFonts w:ascii="Times New Roman" w:cs="Times New Roman" w:eastAsia="Times New Roman" w:hAnsi="Times New Roman"/>
          <w:sz w:val="18"/>
          <w:szCs w:val="18"/>
          <w:color w:val="auto"/>
        </w:rPr>
        <w:t>Any other purchase of the Company’s securities from the Company or sales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securities to the Company are not subject to this Policy.</w:t>
      </w:r>
    </w:p>
    <w:p>
      <w:pPr>
        <w:spacing w:after="0" w:line="160" w:lineRule="exact"/>
        <w:rPr>
          <w:sz w:val="20"/>
          <w:szCs w:val="20"/>
          <w:color w:val="auto"/>
        </w:rPr>
      </w:pPr>
    </w:p>
    <w:p>
      <w:pPr>
        <w:jc w:val="both"/>
        <w:ind w:firstLine="656"/>
        <w:spacing w:after="0" w:line="253" w:lineRule="auto"/>
        <w:tabs>
          <w:tab w:leader="none" w:pos="129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10b5-1 Trading Plans</w:t>
      </w:r>
      <w:r>
        <w:rPr>
          <w:rFonts w:ascii="Times New Roman" w:cs="Times New Roman" w:eastAsia="Times New Roman" w:hAnsi="Times New Roman"/>
          <w:sz w:val="18"/>
          <w:szCs w:val="18"/>
          <w:color w:val="auto"/>
        </w:rPr>
        <w:t>. Notwithstanding the restrictions and prohibitions on trading in the Company’s securities set forth in this Policy, persons subject to this Policy are permitted to effect transactions in the Company’s securities pursuant to approved trading plans established under Rule 10b5-1 of the Securities Exchange Act of 1934, as amended (“</w:t>
      </w:r>
      <w:r>
        <w:rPr>
          <w:rFonts w:ascii="Times New Roman" w:cs="Times New Roman" w:eastAsia="Times New Roman" w:hAnsi="Times New Roman"/>
          <w:sz w:val="18"/>
          <w:szCs w:val="18"/>
          <w:u w:val="single" w:color="auto"/>
          <w:color w:val="auto"/>
        </w:rPr>
        <w:t>Trading Plans</w:t>
      </w:r>
      <w:r>
        <w:rPr>
          <w:rFonts w:ascii="Times New Roman" w:cs="Times New Roman" w:eastAsia="Times New Roman" w:hAnsi="Times New Roman"/>
          <w:sz w:val="18"/>
          <w:szCs w:val="18"/>
          <w:color w:val="auto"/>
        </w:rPr>
        <w:t>”), which may include transactions during the prohibited periods discussed above. Rule 10b5-1 requires that these transactions be made pursuant to a plan that was established while the person was not in possession of material non-public information, and the SEC requires that these plans not be entered into during any applicable Company-imposed black-out period. In order to comply with this Policy, the Company must pre-approve any such Trading Plan prior to its effectiveness. After a Trading Plan is approved, you must wait for a cooling-off period before the first trade is made under the Trading Plan, the length of which will be determined by the Policy Administrator. Once the Trading Plan is adopted, you must not exercise any influence over the amount of securities to be traded, the price at which they are to be traded or the dates of the trades. The Trading Plan must either specify the amount, pricing and timing of transactions in advance or delegate discretion on these matters to an independent third party. Any modification of a Trading Plan is the equivalent of entering into a new Trading Plan and cancelling the old Trading Plan. Company personnel seeking to establish, modify or cancel a Trading Plan should contact the Policy Administrator.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Pre-Clearance of All Acquisitions, Sales and Other Transfers by Certain Company Personnel. </w:t>
      </w:r>
      <w:r>
        <w:rPr>
          <w:rFonts w:ascii="Times New Roman" w:cs="Times New Roman" w:eastAsia="Times New Roman" w:hAnsi="Times New Roman"/>
          <w:sz w:val="18"/>
          <w:szCs w:val="18"/>
          <w:color w:val="auto"/>
        </w:rPr>
        <w:t>In order to ensure compliance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with this Policy and with any Section 16 reporting requirements, all transactions in the Company’s securities (including acquisitions, sales, gifts and other transfers, whether or not for value), including the execution of Trading Plans, by members of the Company’s Board of Directors, Senior Management, Financial Team Members, Designated Employees and Related Persons, must be pre-cleared by the Policy Administrator. If you are a member of one of the groups listed above and you contemplate a transaction in the Company’s securities, you must contact the Policy Administrator or other designated individual prior to executing the transaction. The Policy Administrator will use his or her reasonable best efforts to provide approval or disapproval within two business days. You must wait until receiving pre-clearance to execute the transaction. Neither the Company nor the Policy Administrator shall be liable for any delays that may occur due to the pre-clearance process. If the transaction is pre-cleared by the Policy Administrator, it must be executed by the end of the second business day after receipt of pre-clearance. Notwithstanding receipt of pre-clearance of a transaction, if you become aware of material non-public information about the Company after receiving the pre-clearance but prior to the execution of the transaction, you may not execute the transaction. The responsibility for determining whether you are in possession of material non-public information rests with you, as discussed below in </w:t>
      </w:r>
      <w:r>
        <w:rPr>
          <w:rFonts w:ascii="Times New Roman" w:cs="Times New Roman" w:eastAsia="Times New Roman" w:hAnsi="Times New Roman"/>
          <w:sz w:val="18"/>
          <w:szCs w:val="18"/>
          <w:u w:val="single" w:color="auto"/>
          <w:color w:val="auto"/>
        </w:rPr>
        <w:t>Section V</w:t>
      </w:r>
      <w:r>
        <w:rPr>
          <w:rFonts w:ascii="Times New Roman" w:cs="Times New Roman" w:eastAsia="Times New Roman" w:hAnsi="Times New Roman"/>
          <w:sz w:val="18"/>
          <w:szCs w:val="18"/>
          <w:color w:val="auto"/>
        </w:rPr>
        <w:t>. If you are a Section 16 reporting person, promptly following execution of the transaction, but in no event later than the end of the first business day after the execution of the transaction, you must notify the Policy Administrator and provide details regarding the transaction sufficient to complete the required Section 16 filing.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Employees of the Company who are not Directors, members of Senior Management, Financial Team Members or Designated Employees may, but are not required to, pre-clear transactions in the Company’s securities in the same manner as set forth above. Such employees are not required to notify the Policy Administrator following execution of the transaction.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205" w:name="page206"/>
    <w:bookmarkEnd w:id="20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Please note that pre-clearance does not provide Company personnel with immunity from investigation or suit, for which it is the responsibility of the individual to comply with the federal securities regulations.</w:t>
      </w:r>
    </w:p>
    <w:p>
      <w:pPr>
        <w:spacing w:after="0" w:line="155"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Individual Responsibility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Persons subject to this Policy have ethical and legal obligations to maintain the confidentiality of information about the Company and to refrain from engaging in transactions in the Company’s securities while in possession of material non-public information. Each individual is responsible for making sure that he or she complies with this Policy, and that any Related Person, whose transactions are subject to this Policy, also comply with this Policy. In all cases, the responsibility for determining whether an individual is in possession of material non-public information rests with that individual, and any action on the part of the Company, the Policy Administrator or any other employee or director pursuant to this Policy (or otherwise) does not in any way constitute legal advice or insulate an individual from liability under applicable securities laws. You may be subject to legal penalties and disciplinary action by law enforcement officials and/or the Company for any conduct prohibited by this Policy or applicable securities laws, as described in </w:t>
      </w:r>
      <w:r>
        <w:rPr>
          <w:rFonts w:ascii="Times New Roman" w:cs="Times New Roman" w:eastAsia="Times New Roman" w:hAnsi="Times New Roman"/>
          <w:sz w:val="18"/>
          <w:szCs w:val="18"/>
          <w:u w:val="single" w:color="auto"/>
          <w:color w:val="auto"/>
        </w:rPr>
        <w:t>Section</w:t>
      </w:r>
    </w:p>
    <w:p>
      <w:pPr>
        <w:spacing w:after="0" w:line="1" w:lineRule="exact"/>
        <w:rPr>
          <w:sz w:val="20"/>
          <w:szCs w:val="20"/>
          <w:color w:val="auto"/>
        </w:rPr>
      </w:pPr>
    </w:p>
    <w:p>
      <w:pPr>
        <w:ind w:left="240" w:hanging="232"/>
        <w:spacing w:after="0"/>
        <w:tabs>
          <w:tab w:leader="none" w:pos="240" w:val="left"/>
        </w:tabs>
        <w:numPr>
          <w:ilvl w:val="0"/>
          <w:numId w:val="1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Tipping Information to Others. </w:t>
      </w:r>
      <w:r>
        <w:rPr>
          <w:rFonts w:ascii="Times New Roman" w:cs="Times New Roman" w:eastAsia="Times New Roman" w:hAnsi="Times New Roman"/>
          <w:sz w:val="18"/>
          <w:szCs w:val="18"/>
          <w:color w:val="auto"/>
        </w:rPr>
        <w:t>Company personnel must not disclose non-public information about the Company to others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outside the Company who do not have an obligation to maintain the confidentiality of such information. If the outsider trades on such information, penalties for insider trading may apply in these situations whether or not you derive any monetary benefit from the other person’s trading activities. Material non-public information is sometimes inadvertently disclosed or overheard in casual, social conversations. Please take care to avoid such disclosures.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Prevention of Insider Trading by Others. </w:t>
      </w:r>
      <w:r>
        <w:rPr>
          <w:rFonts w:ascii="Times New Roman" w:cs="Times New Roman" w:eastAsia="Times New Roman" w:hAnsi="Times New Roman"/>
          <w:sz w:val="18"/>
          <w:szCs w:val="18"/>
          <w:color w:val="auto"/>
        </w:rPr>
        <w:t>If you become aware of a potential insider trading violation, you must immediately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advise our Policy Administrator and/or report the matter using the Company’s anonymous whistleblower reporting procedures. You should also take steps, where appropriate, to prevent persons under your supervision and/or control from using material non-public information for trading purposes. Moreover, Company-imposed sanctions, including termination for cause, could result if an employee fails to comply with this Policy.</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Confidentiality. </w:t>
      </w:r>
      <w:r>
        <w:rPr>
          <w:rFonts w:ascii="Times New Roman" w:cs="Times New Roman" w:eastAsia="Times New Roman" w:hAnsi="Times New Roman"/>
          <w:sz w:val="18"/>
          <w:szCs w:val="18"/>
          <w:color w:val="auto"/>
        </w:rPr>
        <w:t>Serious problems could be caused for the Company by the unauthorized disclosure of internal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about the Company, whether or not for the purpose of facilitating improper trading in the Company’s securities. Company personnel should not discuss internal Company matters or developments (whether or not you think such information is material) with anyone outside of the Company (including, but not limited to, family, friends, business associates, investors and expert consulting firms), except as required in the performance of regular corporate duties. This prohibition applies specifically (but not exclusively) to inquiries about the Company that may be made by the financial press, investment analysts or others in the financial community and also includes posting material non-public information on any social media outlets such as Facebook, Twitter, etc. It is important that all such communications on behalf of the Company be made only through an authorized officer under carefully controlled circumstances. Unless you are expressly authorized to the contrary, if you receive any inquiries of this nature, you should decline comment and refer the inquirer to the General Counsel and Corporate Secretary. Please review the Company’s separate Regulation FD Policy, which governs all public communications with people outside the Company.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6" w:name="page207"/>
    <w:bookmarkEnd w:id="20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Additional Prohibited Transactions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Because we believe it is generally improper and inappropriate for Company personnel to engage in short-term or speculative transactions involving the Company’s securities, it is our policy that Company personnel and Related Persons not engage in any of the following activities:</w:t>
      </w:r>
    </w:p>
    <w:p>
      <w:pPr>
        <w:spacing w:after="0" w:line="176" w:lineRule="exact"/>
        <w:rPr>
          <w:sz w:val="20"/>
          <w:szCs w:val="20"/>
          <w:color w:val="auto"/>
        </w:rPr>
      </w:pPr>
    </w:p>
    <w:p>
      <w:pPr>
        <w:ind w:left="980" w:hanging="324"/>
        <w:spacing w:after="0" w:line="282" w:lineRule="auto"/>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Company’s securities on a short-term basis. Any shares of Company common stock purchased in the open market must be held for a minimum of six months and ideally longer;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of financial instruments (including prepaid variable forward contracts, equity swaps, puts, calls, straddles, collars and exchange funds) that are designed to hedge or offset any decrease in the market value of the Company’s equity securities and entering into other transactions with the same economic effect, including short sales;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or other arrangements involving pledge of securities;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 security future that establishes a position that increases in value as the value of the underlying equity security decreases.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u w:val="single" w:color="auto"/>
          <w:color w:val="auto"/>
        </w:rPr>
        <w:t>Post-Termination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Policy will no longer apply after termination of service to the Company. However, if an individual is in possession of material non-public information when his or her service terminates, that individual may not trade in the Company’s securities until that information has become public or is no longer material, and it would be prudent for the individual, if he or she is subject to a black-out period upon termination of service, to refrain from trading until those restrictions no longer apply to Company personnel.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8"/>
          <w:szCs w:val="18"/>
          <w:b w:val="1"/>
          <w:bCs w:val="1"/>
          <w:u w:val="single" w:color="auto"/>
          <w:color w:val="auto"/>
        </w:rPr>
        <w:t>Company Assistance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person who has any questions about specific transactions or this Policy in general may obtain additional guidance from the Policy Administrator. Remember, however, the ultimate responsibility for adhering to this Policy and avoiding improper transactions rests with you. In this regard, please use your best judgment when considering a transaction in the Company’s securities.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condition to employment, all employees will be required to certify their understanding of and intent to comply with this Policy. Members of the Board of Directors, Senior Management and other personnel may be required to certify compliance on an annual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7" w:name="page208"/>
    <w:bookmarkEnd w:id="207"/>
    <w:tbl>
      <w:tblPr>
        <w:tblLayout w:type="fixed"/>
        <w:tblInd w:w="10" w:type="dxa"/>
        <w:tblCellMar>
          <w:top w:w="0" w:type="dxa"/>
          <w:left w:w="0" w:type="dxa"/>
          <w:bottom w:w="0" w:type="dxa"/>
          <w:right w:w="0" w:type="dxa"/>
        </w:tblCellMar>
      </w:tblPr>
      <w:tr>
        <w:trPr>
          <w:trHeight w:val="262"/>
        </w:trPr>
        <w:tc>
          <w:tcPr>
            <w:tcW w:w="3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2340" w:type="dxa"/>
            <w:vAlign w:val="bottom"/>
          </w:tcPr>
          <w:p>
            <w:pPr>
              <w:ind w:left="1300"/>
              <w:spacing w:after="0"/>
              <w:rPr>
                <w:sz w:val="20"/>
                <w:szCs w:val="20"/>
                <w:color w:val="auto"/>
              </w:rPr>
            </w:pPr>
            <w:r>
              <w:rPr>
                <w:rFonts w:ascii="Times New Roman" w:cs="Times New Roman" w:eastAsia="Times New Roman" w:hAnsi="Times New Roman"/>
                <w:sz w:val="20"/>
                <w:szCs w:val="20"/>
                <w:b w:val="1"/>
                <w:bCs w:val="1"/>
                <w:color w:val="auto"/>
                <w:w w:val="96"/>
              </w:rPr>
              <w:t>Exhibit 21.1</w:t>
            </w:r>
          </w:p>
        </w:tc>
        <w:tc>
          <w:tcPr>
            <w:tcW w:w="0" w:type="dxa"/>
            <w:vAlign w:val="bottom"/>
          </w:tcPr>
          <w:p>
            <w:pPr>
              <w:spacing w:after="0"/>
              <w:rPr>
                <w:sz w:val="1"/>
                <w:szCs w:val="1"/>
                <w:color w:val="auto"/>
              </w:rPr>
            </w:pPr>
          </w:p>
        </w:tc>
      </w:tr>
      <w:tr>
        <w:trPr>
          <w:trHeight w:val="642"/>
        </w:trPr>
        <w:tc>
          <w:tcPr>
            <w:tcW w:w="3500" w:type="dxa"/>
            <w:vAlign w:val="bottom"/>
          </w:tcPr>
          <w:p>
            <w:pPr>
              <w:spacing w:after="0"/>
              <w:rPr>
                <w:sz w:val="24"/>
                <w:szCs w:val="24"/>
                <w:color w:val="auto"/>
              </w:rPr>
            </w:pPr>
          </w:p>
        </w:tc>
        <w:tc>
          <w:tcPr>
            <w:tcW w:w="41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500" w:type="dxa"/>
            <w:vAlign w:val="bottom"/>
            <w:tcBorders>
              <w:left w:val="single" w:sz="8" w:color="auto"/>
            </w:tcBorders>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880" w:type="dxa"/>
            <w:vAlign w:val="bottom"/>
            <w:tcBorders>
              <w:right w:val="single" w:sz="8" w:color="auto"/>
            </w:tcBorders>
          </w:tcPr>
          <w:p>
            <w:pPr>
              <w:spacing w:after="0"/>
              <w:rPr>
                <w:sz w:val="16"/>
                <w:szCs w:val="16"/>
                <w:color w:val="auto"/>
              </w:rPr>
            </w:pPr>
          </w:p>
        </w:tc>
        <w:tc>
          <w:tcPr>
            <w:tcW w:w="3220" w:type="dxa"/>
            <w:vAlign w:val="bottom"/>
            <w:tcBorders>
              <w:right w:val="single" w:sz="8" w:color="auto"/>
            </w:tcBorders>
          </w:tcPr>
          <w:p>
            <w:pPr>
              <w:jc w:val="center"/>
              <w:ind w:lef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Country</w:t>
            </w:r>
          </w:p>
        </w:tc>
        <w:tc>
          <w:tcPr>
            <w:tcW w:w="23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30"/>
        </w:trPr>
        <w:tc>
          <w:tcPr>
            <w:tcW w:w="3500" w:type="dxa"/>
            <w:vAlign w:val="bottom"/>
            <w:tcBorders>
              <w:left w:val="single" w:sz="8" w:color="auto"/>
            </w:tcBorders>
            <w:vMerge w:val="continue"/>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3220" w:type="dxa"/>
            <w:vAlign w:val="bottom"/>
            <w:tcBorders>
              <w:right w:val="single" w:sz="8" w:color="auto"/>
            </w:tcBorders>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of Organization</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0" w:type="dxa"/>
            <w:vAlign w:val="bottom"/>
          </w:tcPr>
          <w:p>
            <w:pPr>
              <w:spacing w:after="0"/>
              <w:rPr>
                <w:sz w:val="1"/>
                <w:szCs w:val="1"/>
                <w:color w:val="auto"/>
              </w:rPr>
            </w:pPr>
          </w:p>
        </w:tc>
      </w:tr>
      <w:tr>
        <w:trPr>
          <w:trHeight w:val="108"/>
        </w:trPr>
        <w:tc>
          <w:tcPr>
            <w:tcW w:w="3500" w:type="dxa"/>
            <w:vAlign w:val="bottom"/>
            <w:tcBorders>
              <w:left w:val="single" w:sz="8" w:color="auto"/>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3220" w:type="dxa"/>
            <w:vAlign w:val="bottom"/>
            <w:tcBorders>
              <w:bottom w:val="single" w:sz="8" w:color="auto"/>
              <w:right w:val="single" w:sz="8" w:color="auto"/>
            </w:tcBorders>
            <w:vMerge w:val="continue"/>
          </w:tcPr>
          <w:p>
            <w:pPr>
              <w:spacing w:after="0"/>
              <w:rPr>
                <w:sz w:val="9"/>
                <w:szCs w:val="9"/>
                <w:color w:val="auto"/>
              </w:rPr>
            </w:pPr>
          </w:p>
        </w:tc>
        <w:tc>
          <w:tcPr>
            <w:tcW w:w="23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DeepGreen Engineering Pte. Ltd.</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9"/>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DeepGreen Metals ULC</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0"/>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Metals Company USA, LLC</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9"/>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DeepGreen TOML Holding 1 Ltd.</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0"/>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DeepGreen TOML Holding 2 Ltd.</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9"/>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DeepGreen TOML Singapore Ltd.</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9"/>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Koloa Moana Resources Ltd.</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0"/>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Nauru Ocean Resources Inc.</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Republic of Nauru</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9"/>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Offshore Minerals Pty. Ltd.</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9"/>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Metals Company Australia Pty Ltd</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0"/>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TMC The Metals Company UK Limited</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9"/>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Tonga Offshore Mining Limited</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Kingdom of Tonga</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0"/>
        </w:trPr>
        <w:tc>
          <w:tcPr>
            <w:tcW w:w="35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Seafloor Mineral Ventures</w:t>
            </w:r>
          </w:p>
        </w:tc>
        <w:tc>
          <w:tcPr>
            <w:tcW w:w="88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770"/>
        </w:trPr>
        <w:tc>
          <w:tcPr>
            <w:tcW w:w="3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14" w:right="97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(Registration Nos. 333-260126, 333-267479 and 333-275822) and the Registration Statements on Form S-8 (Registration Nos. 333-261221, 333-265318, 333-265319, 333-270875,333-270876,333-278222 and 333-278223) of TMC the metals company Inc. of our report dated March 27, 2025, with respect to the consolidated financial statements of TMC the metals company Inc., included in this Annual Report (Form 10-K)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Vancouver, Canada</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 Ernst &amp; Young LLP</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Chartered Professional Accountants</w:t>
            </w:r>
          </w:p>
        </w:tc>
      </w:tr>
      <w:tr>
        <w:trPr>
          <w:trHeight w:val="776"/>
        </w:trPr>
        <w:tc>
          <w:tcPr>
            <w:tcW w:w="43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Barron, certify that:</w:t>
      </w:r>
    </w:p>
    <w:p>
      <w:pPr>
        <w:spacing w:after="0" w:line="225" w:lineRule="exact"/>
        <w:rPr>
          <w:sz w:val="20"/>
          <w:szCs w:val="20"/>
          <w:color w:val="auto"/>
        </w:rPr>
      </w:pPr>
    </w:p>
    <w:p>
      <w:pPr>
        <w:ind w:left="840" w:hanging="184"/>
        <w:spacing w:after="0"/>
        <w:tabs>
          <w:tab w:leader="none" w:pos="8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6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83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83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firstLine="656"/>
        <w:spacing w:after="0" w:line="282" w:lineRule="auto"/>
        <w:tabs>
          <w:tab w:leader="none" w:pos="8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Barron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Shesky, certify that:</w:t>
      </w:r>
    </w:p>
    <w:p>
      <w:pPr>
        <w:spacing w:after="0" w:line="225" w:lineRule="exact"/>
        <w:rPr>
          <w:sz w:val="20"/>
          <w:szCs w:val="20"/>
          <w:color w:val="auto"/>
        </w:rPr>
      </w:pPr>
    </w:p>
    <w:p>
      <w:pPr>
        <w:ind w:left="840" w:hanging="184"/>
        <w:spacing w:after="0"/>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6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83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83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firstLine="656"/>
        <w:spacing w:after="0" w:line="282" w:lineRule="auto"/>
        <w:tabs>
          <w:tab w:leader="none" w:pos="85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Shesky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March 27, 2025</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14"/>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March 27, 2025</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14"/>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1)"/>
      <w:numFmt w:val="lowerRoman"/>
      <w:start w:val="2"/>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1)"/>
      <w:numFmt w:val="lowerRoman"/>
      <w:start w:val="1"/>
    </w:lvl>
  </w:abstractNum>
  <w:abstractNum w:abstractNumId="11">
    <w:nsid w:val="7BD3EE7B"/>
    <w:multiLevelType w:val="hybridMultilevel"/>
    <w:lvl w:ilvl="0">
      <w:lvlJc w:val="left"/>
      <w:lvlText w:val="(%1)"/>
      <w:numFmt w:val="lowerRoman"/>
      <w:start w:val="3"/>
    </w:lvl>
  </w:abstractNum>
  <w:abstractNum w:abstractNumId="12">
    <w:nsid w:val="51D9C564"/>
    <w:multiLevelType w:val="hybridMultilevel"/>
    <w:lvl w:ilvl="0">
      <w:lvlJc w:val="left"/>
      <w:lvlText w:val="(%1)"/>
      <w:numFmt w:val="lowerRoman"/>
      <w:start w:val="4"/>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1."/>
      <w:numFmt w:val="upperLetter"/>
      <w:start w:val="9"/>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1)"/>
      <w:numFmt w:val="lowerRoman"/>
      <w:start w:val="3"/>
    </w:lvl>
  </w:abstractNum>
  <w:abstractNum w:abstractNumId="32">
    <w:nsid w:val="6F6DD9AC"/>
    <w:multiLevelType w:val="hybridMultilevel"/>
    <w:lvl w:ilvl="0">
      <w:lvlJc w:val="left"/>
      <w:lvlText w:val="(%1)"/>
      <w:numFmt w:val="lowerRoman"/>
      <w:start w:val="7"/>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1"/>
      <w:numFmt w:val="upperLetter"/>
      <w:start w:val="30"/>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
      <w:numFmt w:val="bullet"/>
      <w:start w:val="1"/>
    </w:lvl>
  </w:abstractNum>
  <w:abstractNum w:abstractNumId="45">
    <w:nsid w:val="39EE015C"/>
    <w:multiLevelType w:val="hybridMultilevel"/>
    <w:lvl w:ilvl="0">
      <w:lvlJc w:val="left"/>
      <w:lvlText w:val="●"/>
      <w:numFmt w:val="bullet"/>
      <w:start w:val="1"/>
    </w:lvl>
    <w:lvl w:ilvl="1">
      <w:lvlJc w:val="left"/>
      <w:lvlText w:val="●"/>
      <w:numFmt w:val="bullet"/>
      <w:start w:val="1"/>
    </w:lvl>
  </w:abstractNum>
  <w:abstractNum w:abstractNumId="46">
    <w:nsid w:val="57FC4FBB"/>
    <w:multiLevelType w:val="hybridMultilevel"/>
    <w:lvl w:ilvl="0">
      <w:lvlJc w:val="left"/>
      <w:lvlText w:val="●"/>
      <w:numFmt w:val="bullet"/>
      <w:start w:val="1"/>
    </w:lvl>
  </w:abstractNum>
  <w:abstractNum w:abstractNumId="47">
    <w:nsid w:val="CC1016F"/>
    <w:multiLevelType w:val="hybridMultilevel"/>
    <w:lvl w:ilvl="0">
      <w:lvlJc w:val="left"/>
      <w:lvlText w:val="●"/>
      <w:numFmt w:val="bullet"/>
      <w:start w:val="1"/>
    </w:lvl>
  </w:abstractNum>
  <w:abstractNum w:abstractNumId="48">
    <w:nsid w:val="43F18422"/>
    <w:multiLevelType w:val="hybridMultilevel"/>
    <w:lvl w:ilvl="0">
      <w:lvlJc w:val="left"/>
      <w:lvlText w:val="%1."/>
      <w:numFmt w:val="decimal"/>
      <w:start w:val="1"/>
    </w:lvl>
  </w:abstractNum>
  <w:abstractNum w:abstractNumId="49">
    <w:nsid w:val="60EF0119"/>
    <w:multiLevelType w:val="hybridMultilevel"/>
    <w:lvl w:ilvl="0">
      <w:lvlJc w:val="left"/>
      <w:lvlText w:val="(%1)"/>
      <w:numFmt w:val="decimal"/>
      <w:start w:val="1"/>
    </w:lvl>
  </w:abstractNum>
  <w:abstractNum w:abstractNumId="50">
    <w:nsid w:val="26F324BA"/>
    <w:multiLevelType w:val="hybridMultilevel"/>
    <w:lvl w:ilvl="0">
      <w:lvlJc w:val="left"/>
      <w:lvlText w:val="%1."/>
      <w:numFmt w:val="decimal"/>
      <w:start w:val="3"/>
    </w:lvl>
  </w:abstractNum>
  <w:abstractNum w:abstractNumId="51">
    <w:nsid w:val="7F01579B"/>
    <w:multiLevelType w:val="hybridMultilevel"/>
    <w:lvl w:ilvl="0">
      <w:lvlJc w:val="left"/>
      <w:lvlText w:val="%1."/>
      <w:numFmt w:val="lowerRoman"/>
      <w:start w:val="5"/>
    </w:lvl>
  </w:abstractNum>
  <w:abstractNum w:abstractNumId="52">
    <w:nsid w:val="49DA307D"/>
    <w:multiLevelType w:val="hybridMultilevel"/>
    <w:lvl w:ilvl="0">
      <w:lvlJc w:val="left"/>
      <w:lvlText w:val="●"/>
      <w:numFmt w:val="bullet"/>
      <w:start w:val="1"/>
    </w:lvl>
  </w:abstractNum>
  <w:abstractNum w:abstractNumId="53">
    <w:nsid w:val="7055A5F5"/>
    <w:multiLevelType w:val="hybridMultilevel"/>
    <w:lvl w:ilvl="0">
      <w:lvlJc w:val="left"/>
      <w:lvlText w:val="%1."/>
      <w:numFmt w:val="lowerRoman"/>
      <w:start w:val="10"/>
    </w:lvl>
  </w:abstractNum>
  <w:abstractNum w:abstractNumId="54">
    <w:nsid w:val="5FB8370B"/>
    <w:multiLevelType w:val="hybridMultilevel"/>
    <w:lvl w:ilvl="0">
      <w:lvlJc w:val="left"/>
      <w:lvlText w:val="%1."/>
      <w:numFmt w:val="decimal"/>
      <w:start w:val="4"/>
    </w:lvl>
  </w:abstractNum>
  <w:abstractNum w:abstractNumId="55">
    <w:nsid w:val="50801EE1"/>
    <w:multiLevelType w:val="hybridMultilevel"/>
    <w:lvl w:ilvl="0">
      <w:lvlJc w:val="left"/>
      <w:lvlText w:val="%1."/>
      <w:numFmt w:val="decimal"/>
      <w:start w:val="5"/>
    </w:lvl>
  </w:abstractNum>
  <w:abstractNum w:abstractNumId="56">
    <w:nsid w:val="488AC1A"/>
    <w:multiLevelType w:val="hybridMultilevel"/>
    <w:lvl w:ilvl="0">
      <w:lvlJc w:val="left"/>
      <w:lvlText w:val="%1."/>
      <w:numFmt w:val="decimal"/>
      <w:start w:val="7"/>
    </w:lvl>
  </w:abstractNum>
  <w:abstractNum w:abstractNumId="57">
    <w:nsid w:val="5FB8011C"/>
    <w:multiLevelType w:val="hybridMultilevel"/>
    <w:lvl w:ilvl="0">
      <w:lvlJc w:val="left"/>
      <w:lvlText w:val="%1"/>
      <w:numFmt w:val="decimal"/>
      <w:start w:val="1"/>
    </w:lvl>
    <w:lvl w:ilvl="1">
      <w:lvlJc w:val="left"/>
      <w:lvlText w:val="(%2)"/>
      <w:numFmt w:val="decimal"/>
      <w:start w:val="1"/>
    </w:lvl>
  </w:abstractNum>
  <w:abstractNum w:abstractNumId="58">
    <w:nsid w:val="6AA78F7F"/>
    <w:multiLevelType w:val="hybridMultilevel"/>
    <w:lvl w:ilvl="0">
      <w:lvlJc w:val="left"/>
      <w:lvlText w:val="%1."/>
      <w:numFmt w:val="decimal"/>
      <w:start w:val="8"/>
    </w:lvl>
    <w:lvl w:ilvl="1">
      <w:lvlJc w:val="left"/>
      <w:lvlText w:val="%2"/>
      <w:numFmt w:val="decimal"/>
      <w:start w:val="1"/>
    </w:lvl>
  </w:abstractNum>
  <w:abstractNum w:abstractNumId="59">
    <w:nsid w:val="7672BD23"/>
    <w:multiLevelType w:val="hybridMultilevel"/>
    <w:lvl w:ilvl="0">
      <w:lvlJc w:val="left"/>
      <w:lvlText w:val="%1."/>
      <w:numFmt w:val="decimal"/>
      <w:start w:val="9"/>
    </w:lvl>
  </w:abstractNum>
  <w:abstractNum w:abstractNumId="60">
    <w:nsid w:val="6FC75AF8"/>
    <w:multiLevelType w:val="hybridMultilevel"/>
    <w:lvl w:ilvl="0">
      <w:lvlJc w:val="left"/>
      <w:lvlText w:val="%1."/>
      <w:numFmt w:val="decimal"/>
      <w:start w:val="10"/>
    </w:lvl>
  </w:abstractNum>
  <w:abstractNum w:abstractNumId="61">
    <w:nsid w:val="6A5F7029"/>
    <w:multiLevelType w:val="hybridMultilevel"/>
    <w:lvl w:ilvl="0">
      <w:lvlJc w:val="left"/>
      <w:lvlText w:val="%1"/>
      <w:numFmt w:val="decimal"/>
      <w:start w:val="1"/>
    </w:lvl>
    <w:lvl w:ilvl="1">
      <w:lvlJc w:val="left"/>
      <w:lvlText w:val="(%2)"/>
      <w:numFmt w:val="decimal"/>
      <w:start w:val="1"/>
    </w:lvl>
  </w:abstractNum>
  <w:abstractNum w:abstractNumId="62">
    <w:nsid w:val="7D5E18F8"/>
    <w:multiLevelType w:val="hybridMultilevel"/>
    <w:lvl w:ilvl="0">
      <w:lvlJc w:val="left"/>
      <w:lvlText w:val="%1."/>
      <w:numFmt w:val="decimal"/>
      <w:start w:val="12"/>
    </w:lvl>
    <w:lvl w:ilvl="1">
      <w:lvlJc w:val="left"/>
      <w:lvlText w:val="%2"/>
      <w:numFmt w:val="decimal"/>
      <w:start w:val="1"/>
    </w:lvl>
  </w:abstractNum>
  <w:abstractNum w:abstractNumId="63">
    <w:nsid w:val="5F3534A4"/>
    <w:multiLevelType w:val="hybridMultilevel"/>
    <w:lvl w:ilvl="0">
      <w:lvlJc w:val="left"/>
      <w:lvlText w:val="%1"/>
      <w:numFmt w:val="decimal"/>
      <w:start w:val="1"/>
    </w:lvl>
    <w:lvl w:ilvl="1">
      <w:lvlJc w:val="left"/>
      <w:lvlText w:val="(%2)"/>
      <w:numFmt w:val="decimal"/>
      <w:start w:val="1"/>
    </w:lvl>
  </w:abstractNum>
  <w:abstractNum w:abstractNumId="64">
    <w:nsid w:val="73A1821B"/>
    <w:multiLevelType w:val="hybridMultilevel"/>
    <w:lvl w:ilvl="0">
      <w:lvlJc w:val="left"/>
      <w:lvlText w:val="%1."/>
      <w:numFmt w:val="decimal"/>
      <w:start w:val="13"/>
    </w:lvl>
    <w:lvl w:ilvl="1">
      <w:lvlJc w:val="left"/>
      <w:lvlText w:val="%2"/>
      <w:numFmt w:val="decimal"/>
      <w:start w:val="1"/>
    </w:lvl>
  </w:abstractNum>
  <w:abstractNum w:abstractNumId="65">
    <w:nsid w:val="7DE67713"/>
    <w:multiLevelType w:val="hybridMultilevel"/>
    <w:lvl w:ilvl="0">
      <w:lvlJc w:val="left"/>
      <w:lvlText w:val="%1."/>
      <w:numFmt w:val="decimal"/>
      <w:start w:val="14"/>
    </w:lvl>
  </w:abstractNum>
  <w:abstractNum w:abstractNumId="66">
    <w:nsid w:val="555C55B5"/>
    <w:multiLevelType w:val="hybridMultilevel"/>
    <w:lvl w:ilvl="0">
      <w:lvlJc w:val="left"/>
      <w:lvlText w:val="●"/>
      <w:numFmt w:val="bullet"/>
      <w:start w:val="1"/>
    </w:lvl>
  </w:abstractNum>
  <w:abstractNum w:abstractNumId="67">
    <w:nsid w:val="3FA62ACA"/>
    <w:multiLevelType w:val="hybridMultilevel"/>
    <w:lvl w:ilvl="0">
      <w:lvlJc w:val="left"/>
      <w:lvlText w:val="●"/>
      <w:numFmt w:val="bullet"/>
      <w:start w:val="1"/>
    </w:lvl>
  </w:abstractNum>
  <w:abstractNum w:abstractNumId="68">
    <w:nsid w:val="14FCE74E"/>
    <w:multiLevelType w:val="hybridMultilevel"/>
    <w:lvl w:ilvl="0">
      <w:lvlJc w:val="left"/>
      <w:lvlText w:val="(%1)"/>
      <w:numFmt w:val="lowerRoman"/>
      <w:start w:val="1"/>
    </w:lvl>
  </w:abstractNum>
  <w:abstractNum w:abstractNumId="69">
    <w:nsid w:val="6A3DD3E8"/>
    <w:multiLevelType w:val="hybridMultilevel"/>
    <w:lvl w:ilvl="0">
      <w:lvlJc w:val="left"/>
      <w:lvlText w:val="●"/>
      <w:numFmt w:val="bullet"/>
      <w:start w:val="1"/>
    </w:lvl>
  </w:abstractNum>
  <w:abstractNum w:abstractNumId="70">
    <w:nsid w:val="71C91298"/>
    <w:multiLevelType w:val="hybridMultilevel"/>
    <w:lvl w:ilvl="0">
      <w:lvlJc w:val="left"/>
      <w:lvlText w:val="%1."/>
      <w:numFmt w:val="decimal"/>
      <w:start w:val="16"/>
    </w:lvl>
  </w:abstractNum>
  <w:abstractNum w:abstractNumId="71">
    <w:nsid w:val="9DAF632"/>
    <w:multiLevelType w:val="hybridMultilevel"/>
    <w:lvl w:ilvl="0">
      <w:lvlJc w:val="left"/>
      <w:lvlText w:val="%1."/>
      <w:numFmt w:val="decimal"/>
      <w:start w:val="17"/>
    </w:lvl>
  </w:abstractNum>
  <w:abstractNum w:abstractNumId="72">
    <w:nsid w:val="53299938"/>
    <w:multiLevelType w:val="hybridMultilevel"/>
    <w:lvl w:ilvl="0">
      <w:lvlJc w:val="left"/>
      <w:lvlText w:val="(%1)"/>
      <w:numFmt w:val="decimal"/>
      <w:start w:val="1"/>
    </w:lvl>
  </w:abstractNum>
  <w:abstractNum w:abstractNumId="73">
    <w:nsid w:val="1FBFE8E0"/>
    <w:multiLevelType w:val="hybridMultilevel"/>
    <w:lvl w:ilvl="0">
      <w:lvlJc w:val="left"/>
      <w:lvlText w:val="(%1)"/>
      <w:numFmt w:val="decimal"/>
      <w:start w:val="1"/>
    </w:lvl>
  </w:abstractNum>
  <w:abstractNum w:abstractNumId="74">
    <w:nsid w:val="5092CA79"/>
    <w:multiLevelType w:val="hybridMultilevel"/>
    <w:lvl w:ilvl="0">
      <w:lvlJc w:val="left"/>
      <w:lvlText w:val="(%1)"/>
      <w:numFmt w:val="decimal"/>
      <w:start w:val="1"/>
    </w:lvl>
  </w:abstractNum>
  <w:abstractNum w:abstractNumId="75">
    <w:nsid w:val="1D545C4D"/>
    <w:multiLevelType w:val="hybridMultilevel"/>
    <w:lvl w:ilvl="0">
      <w:lvlJc w:val="left"/>
      <w:lvlText w:val="●"/>
      <w:numFmt w:val="bullet"/>
      <w:start w:val="1"/>
    </w:lvl>
  </w:abstractNum>
  <w:abstractNum w:abstractNumId="76">
    <w:nsid w:val="59ADEA3D"/>
    <w:multiLevelType w:val="hybridMultilevel"/>
    <w:lvl w:ilvl="0">
      <w:lvlJc w:val="left"/>
      <w:lvlText w:val="%1."/>
      <w:numFmt w:val="decimal"/>
      <w:start w:val="18"/>
    </w:lvl>
  </w:abstractNum>
  <w:abstractNum w:abstractNumId="77">
    <w:nsid w:val="288F1A34"/>
    <w:multiLevelType w:val="hybridMultilevel"/>
    <w:lvl w:ilvl="0">
      <w:lvlJc w:val="left"/>
      <w:lvlText w:val="%1."/>
      <w:numFmt w:val="decimal"/>
      <w:start w:val="20"/>
    </w:lvl>
  </w:abstractNum>
  <w:abstractNum w:abstractNumId="78">
    <w:nsid w:val="2A155DBC"/>
    <w:multiLevelType w:val="hybridMultilevel"/>
    <w:lvl w:ilvl="0">
      <w:lvlJc w:val="left"/>
      <w:lvlText w:val="%1."/>
      <w:numFmt w:val="decimal"/>
      <w:start w:val="21"/>
    </w:lvl>
  </w:abstractNum>
  <w:abstractNum w:abstractNumId="79">
    <w:nsid w:val="1D9F6E5F"/>
    <w:multiLevelType w:val="hybridMultilevel"/>
    <w:lvl w:ilvl="0">
      <w:lvlJc w:val="left"/>
      <w:lvlText w:val="%1."/>
      <w:numFmt w:val="decimal"/>
      <w:start w:val="23"/>
    </w:lvl>
  </w:abstractNum>
  <w:abstractNum w:abstractNumId="80">
    <w:nsid w:val="97E1B4E"/>
    <w:multiLevelType w:val="hybridMultilevel"/>
    <w:lvl w:ilvl="0">
      <w:lvlJc w:val="left"/>
      <w:lvlText w:val="%1."/>
      <w:numFmt w:val="decimal"/>
      <w:start w:val="24"/>
    </w:lvl>
  </w:abstractNum>
  <w:abstractNum w:abstractNumId="81">
    <w:nsid w:val="51088277"/>
    <w:multiLevelType w:val="hybridMultilevel"/>
    <w:lvl w:ilvl="0">
      <w:lvlJc w:val="left"/>
      <w:lvlText w:val="(%1)"/>
      <w:numFmt w:val="decimal"/>
      <w:start w:val="1"/>
    </w:lvl>
  </w:abstractNum>
  <w:abstractNum w:abstractNumId="82">
    <w:nsid w:val="1CA0C5FA"/>
    <w:multiLevelType w:val="hybridMultilevel"/>
    <w:lvl w:ilvl="0">
      <w:lvlJc w:val="left"/>
      <w:lvlText w:val="%1."/>
      <w:numFmt w:val="decimal"/>
      <w:start w:val="25"/>
    </w:lvl>
  </w:abstractNum>
  <w:abstractNum w:abstractNumId="83">
    <w:nsid w:val="53584BCB"/>
    <w:multiLevelType w:val="hybridMultilevel"/>
    <w:lvl w:ilvl="0">
      <w:lvlJc w:val="left"/>
      <w:lvlText w:val="●"/>
      <w:numFmt w:val="bullet"/>
      <w:start w:val="1"/>
    </w:lvl>
  </w:abstractNum>
  <w:abstractNum w:abstractNumId="84">
    <w:nsid w:val="415E286C"/>
    <w:multiLevelType w:val="hybridMultilevel"/>
    <w:lvl w:ilvl="0">
      <w:lvlJc w:val="left"/>
      <w:lvlText w:val="(%1)"/>
      <w:numFmt w:val="decimal"/>
      <w:start w:val="1"/>
    </w:lvl>
  </w:abstractNum>
  <w:abstractNum w:abstractNumId="85">
    <w:nsid w:val="7C58FD05"/>
    <w:multiLevelType w:val="hybridMultilevel"/>
    <w:lvl w:ilvl="0">
      <w:lvlJc w:val="left"/>
      <w:lvlText w:val="(%1)"/>
      <w:numFmt w:val="decimal"/>
      <w:start w:val="2"/>
    </w:lvl>
  </w:abstractNum>
  <w:abstractNum w:abstractNumId="86">
    <w:nsid w:val="23D86AAC"/>
    <w:multiLevelType w:val="hybridMultilevel"/>
    <w:lvl w:ilvl="0">
      <w:lvlJc w:val="left"/>
      <w:lvlText w:val="(%1)"/>
      <w:numFmt w:val="decimal"/>
      <w:start w:val="3"/>
    </w:lvl>
  </w:abstractNum>
  <w:abstractNum w:abstractNumId="87">
    <w:nsid w:val="45E6D486"/>
    <w:multiLevelType w:val="hybridMultilevel"/>
    <w:lvl w:ilvl="0">
      <w:lvlJc w:val="left"/>
      <w:lvlText w:val="†"/>
      <w:numFmt w:val="bullet"/>
      <w:start w:val="1"/>
    </w:lvl>
  </w:abstractNum>
  <w:abstractNum w:abstractNumId="88">
    <w:nsid w:val="5C10FE21"/>
    <w:multiLevelType w:val="hybridMultilevel"/>
    <w:lvl w:ilvl="0">
      <w:lvlJc w:val="left"/>
      <w:lvlText w:val="††"/>
      <w:numFmt w:val="bullet"/>
      <w:start w:val="1"/>
    </w:lvl>
  </w:abstractNum>
  <w:abstractNum w:abstractNumId="89">
    <w:nsid w:val="E7FFA2B"/>
    <w:multiLevelType w:val="hybridMultilevel"/>
    <w:lvl w:ilvl="0">
      <w:lvlJc w:val="left"/>
      <w:lvlText w:val="+"/>
      <w:numFmt w:val="bullet"/>
      <w:start w:val="1"/>
    </w:lvl>
  </w:abstractNum>
  <w:abstractNum w:abstractNumId="90">
    <w:nsid w:val="3C5991AA"/>
    <w:multiLevelType w:val="hybridMultilevel"/>
    <w:lvl w:ilvl="0">
      <w:lvlJc w:val="left"/>
      <w:lvlText w:val="*"/>
      <w:numFmt w:val="bullet"/>
      <w:start w:val="1"/>
    </w:lvl>
  </w:abstractNum>
  <w:abstractNum w:abstractNumId="91">
    <w:nsid w:val="4BD8591A"/>
    <w:multiLevelType w:val="hybridMultilevel"/>
    <w:lvl w:ilvl="0">
      <w:lvlJc w:val="left"/>
      <w:lvlText w:val="(%1)"/>
      <w:numFmt w:val="lowerLetter"/>
      <w:start w:val="1"/>
    </w:lvl>
  </w:abstractNum>
  <w:abstractNum w:abstractNumId="92">
    <w:nsid w:val="78DF6A55"/>
    <w:multiLevelType w:val="hybridMultilevel"/>
    <w:lvl w:ilvl="0">
      <w:lvlJc w:val="left"/>
      <w:lvlText w:val="(%1)"/>
      <w:numFmt w:val="lowerRoman"/>
      <w:start w:val="1"/>
    </w:lvl>
  </w:abstractNum>
  <w:abstractNum w:abstractNumId="93">
    <w:nsid w:val="39B7AAA2"/>
    <w:multiLevelType w:val="hybridMultilevel"/>
    <w:lvl w:ilvl="0">
      <w:lvlJc w:val="left"/>
      <w:lvlText w:val="(%1)"/>
      <w:numFmt w:val="lowerRoman"/>
      <w:start w:val="3"/>
    </w:lvl>
  </w:abstractNum>
  <w:abstractNum w:abstractNumId="94">
    <w:nsid w:val="2B0D8DBE"/>
    <w:multiLevelType w:val="hybridMultilevel"/>
    <w:lvl w:ilvl="0">
      <w:lvlJc w:val="left"/>
      <w:lvlText w:val="·"/>
      <w:numFmt w:val="bullet"/>
      <w:start w:val="1"/>
    </w:lvl>
  </w:abstractNum>
  <w:abstractNum w:abstractNumId="95">
    <w:nsid w:val="6C80EC70"/>
    <w:multiLevelType w:val="hybridMultilevel"/>
    <w:lvl w:ilvl="0">
      <w:lvlJc w:val="left"/>
      <w:lvlText w:val="·"/>
      <w:numFmt w:val="bullet"/>
      <w:start w:val="1"/>
    </w:lvl>
  </w:abstractNum>
  <w:abstractNum w:abstractNumId="96">
    <w:nsid w:val="379E21B5"/>
    <w:multiLevelType w:val="hybridMultilevel"/>
    <w:lvl w:ilvl="0">
      <w:lvlJc w:val="left"/>
      <w:lvlText w:val="·"/>
      <w:numFmt w:val="bullet"/>
      <w:start w:val="1"/>
    </w:lvl>
  </w:abstractNum>
  <w:abstractNum w:abstractNumId="97">
    <w:nsid w:val="69E373"/>
    <w:multiLevelType w:val="hybridMultilevel"/>
    <w:lvl w:ilvl="0">
      <w:lvlJc w:val="left"/>
      <w:lvlText w:val="(%1)"/>
      <w:numFmt w:val="lowerRoman"/>
      <w:start w:val="2"/>
    </w:lvl>
  </w:abstractNum>
  <w:abstractNum w:abstractNumId="98">
    <w:nsid w:val="2C27173B"/>
    <w:multiLevelType w:val="hybridMultilevel"/>
    <w:lvl w:ilvl="0">
      <w:lvlJc w:val="left"/>
      <w:lvlText w:val="·"/>
      <w:numFmt w:val="bullet"/>
      <w:start w:val="1"/>
    </w:lvl>
  </w:abstractNum>
  <w:abstractNum w:abstractNumId="99">
    <w:nsid w:val="4C9B0904"/>
    <w:multiLevelType w:val="hybridMultilevel"/>
    <w:lvl w:ilvl="0">
      <w:lvlJc w:val="left"/>
      <w:lvlText w:val="·"/>
      <w:numFmt w:val="bullet"/>
      <w:start w:val="1"/>
    </w:lvl>
  </w:abstractNum>
  <w:abstractNum w:abstractNumId="100">
    <w:nsid w:val="6AA7B75C"/>
    <w:multiLevelType w:val="hybridMultilevel"/>
    <w:lvl w:ilvl="0">
      <w:lvlJc w:val="left"/>
      <w:lvlText w:val="·"/>
      <w:numFmt w:val="bullet"/>
      <w:start w:val="1"/>
    </w:lvl>
  </w:abstractNum>
  <w:abstractNum w:abstractNumId="101">
    <w:nsid w:val="1DF029D3"/>
    <w:multiLevelType w:val="hybridMultilevel"/>
    <w:lvl w:ilvl="0">
      <w:lvlJc w:val="left"/>
      <w:lvlText w:val="·"/>
      <w:numFmt w:val="bullet"/>
      <w:start w:val="1"/>
    </w:lvl>
  </w:abstractNum>
  <w:abstractNum w:abstractNumId="102">
    <w:nsid w:val="5675FF36"/>
    <w:multiLevelType w:val="hybridMultilevel"/>
    <w:lvl w:ilvl="0">
      <w:lvlJc w:val="left"/>
      <w:lvlText w:val="·"/>
      <w:numFmt w:val="bullet"/>
      <w:start w:val="1"/>
    </w:lvl>
  </w:abstractNum>
  <w:abstractNum w:abstractNumId="103">
    <w:nsid w:val="3DD15094"/>
    <w:multiLevelType w:val="hybridMultilevel"/>
    <w:lvl w:ilvl="0">
      <w:lvlJc w:val="left"/>
      <w:lvlText w:val="·"/>
      <w:numFmt w:val="bullet"/>
      <w:start w:val="1"/>
    </w:lvl>
  </w:abstractNum>
  <w:abstractNum w:abstractNumId="104">
    <w:nsid w:val="3DB012B3"/>
    <w:multiLevelType w:val="hybridMultilevel"/>
    <w:lvl w:ilvl="0">
      <w:lvlJc w:val="left"/>
      <w:lvlText w:val="·"/>
      <w:numFmt w:val="bullet"/>
      <w:start w:val="1"/>
    </w:lvl>
  </w:abstractNum>
  <w:abstractNum w:abstractNumId="105">
    <w:nsid w:val="2708C9AF"/>
    <w:multiLevelType w:val="hybridMultilevel"/>
    <w:lvl w:ilvl="0">
      <w:lvlJc w:val="left"/>
      <w:lvlText w:val="%1."/>
      <w:numFmt w:val="decimal"/>
      <w:start w:val="1"/>
    </w:lvl>
  </w:abstractNum>
  <w:abstractNum w:abstractNumId="106">
    <w:nsid w:val="5B25ACE2"/>
    <w:multiLevelType w:val="hybridMultilevel"/>
    <w:lvl w:ilvl="0">
      <w:lvlJc w:val="left"/>
      <w:lvlText w:val="%1."/>
      <w:numFmt w:val="decimal"/>
      <w:start w:val="1"/>
    </w:lvl>
  </w:abstractNum>
  <w:abstractNum w:abstractNumId="107">
    <w:nsid w:val="175DFCF0"/>
    <w:multiLevelType w:val="hybridMultilevel"/>
    <w:lvl w:ilvl="0">
      <w:lvlJc w:val="left"/>
      <w:lvlText w:val="%1."/>
      <w:numFmt w:val="decimal"/>
      <w:start w:val="2"/>
    </w:lvl>
  </w:abstractNum>
  <w:abstractNum w:abstractNumId="108">
    <w:nsid w:val="4F97E3E4"/>
    <w:multiLevelType w:val="hybridMultilevel"/>
    <w:lvl w:ilvl="0">
      <w:lvlJc w:val="left"/>
      <w:lvlText w:val="%1."/>
      <w:numFmt w:val="decimal"/>
      <w:start w:val="3"/>
    </w:lvl>
  </w:abstractNum>
  <w:abstractNum w:abstractNumId="109">
    <w:nsid w:val="53B0A9E"/>
    <w:multiLevelType w:val="hybridMultilevel"/>
    <w:lvl w:ilvl="0">
      <w:lvlJc w:val="left"/>
      <w:lvlText w:val="%1."/>
      <w:numFmt w:val="decimal"/>
      <w:start w:val="1"/>
    </w:lvl>
  </w:abstractNum>
  <w:abstractNum w:abstractNumId="110">
    <w:nsid w:val="34FD6B4F"/>
    <w:multiLevelType w:val="hybridMultilevel"/>
    <w:lvl w:ilvl="0">
      <w:lvlJc w:val="left"/>
      <w:lvlText w:val="%1."/>
      <w:numFmt w:val="decimal"/>
      <w:start w:val="3"/>
    </w:lvl>
  </w:abstractNum>
  <w:abstractNum w:abstractNumId="111">
    <w:nsid w:val="5915FF32"/>
    <w:multiLevelType w:val="hybridMultilevel"/>
    <w:lvl w:ilvl="0">
      <w:lvlJc w:val="left"/>
      <w:lvlText w:val="%1."/>
      <w:numFmt w:val="decimal"/>
      <w:start w:val="1"/>
    </w:lvl>
  </w:abstractNum>
  <w:abstractNum w:abstractNumId="112">
    <w:nsid w:val="56438D15"/>
    <w:multiLevelType w:val="hybridMultilevel"/>
    <w:lvl w:ilvl="0">
      <w:lvlJc w:val="left"/>
      <w:lvlText w:val="%1."/>
      <w:numFmt w:val="decimal"/>
      <w:start w:val="3"/>
    </w:lvl>
  </w:abstractNum>
  <w:abstractNum w:abstractNumId="113">
    <w:nsid w:val="519E3149"/>
    <w:multiLevelType w:val="hybridMultilevel"/>
    <w:lvl w:ilvl="0">
      <w:lvlJc w:val="left"/>
      <w:lvlText w:val="%1."/>
      <w:numFmt w:val="upperLetter"/>
      <w:start w:val="9"/>
    </w:lvl>
    <w:lvl w:ilvl="1">
      <w:lvlJc w:val="left"/>
      <w:lvlText w:val="·"/>
      <w:numFmt w:val="bullet"/>
      <w:start w:val="1"/>
    </w:lvl>
  </w:abstractNum>
  <w:abstractNum w:abstractNumId="114">
    <w:nsid w:val="2C6E4AFD"/>
    <w:multiLevelType w:val="hybridMultilevel"/>
    <w:lvl w:ilvl="0">
      <w:lvlJc w:val="left"/>
      <w:lvlText w:val="%1."/>
      <w:numFmt w:val="upperLetter"/>
      <w:start w:val="35"/>
    </w:lvl>
    <w:lvl w:ilvl="1">
      <w:lvlJc w:val="left"/>
      <w:lvlText w:val="·"/>
      <w:numFmt w:val="bullet"/>
      <w:start w:val="1"/>
    </w:lvl>
    <w:lvl w:ilvl="2">
      <w:lvlJc w:val="left"/>
      <w:lvlText w:val="-"/>
      <w:numFmt w:val="bullet"/>
      <w:start w:val="1"/>
    </w:lvl>
  </w:abstractNum>
  <w:abstractNum w:abstractNumId="115">
    <w:nsid w:val="17A1B582"/>
    <w:multiLevelType w:val="hybridMultilevel"/>
    <w:lvl w:ilvl="0">
      <w:lvlJc w:val="left"/>
      <w:lvlText w:val="·"/>
      <w:numFmt w:val="bullet"/>
      <w:start w:val="1"/>
    </w:lvl>
  </w:abstractNum>
  <w:abstractNum w:abstractNumId="116">
    <w:nsid w:val="4DF72E4E"/>
    <w:multiLevelType w:val="hybridMultilevel"/>
    <w:lvl w:ilvl="0">
      <w:lvlJc w:val="left"/>
      <w:lvlText w:val="%1."/>
      <w:numFmt w:val="upperLetter"/>
      <w:start w:val="61"/>
    </w:lvl>
    <w:lvl w:ilvl="1">
      <w:lvlJc w:val="left"/>
      <w:lvlText w:val="·"/>
      <w:numFmt w:val="bullet"/>
      <w:start w:val="1"/>
    </w:lvl>
    <w:lvl w:ilvl="2">
      <w:lvlJc w:val="left"/>
      <w:lvlText w:val="-"/>
      <w:numFmt w:val="bullet"/>
      <w:start w:val="1"/>
    </w:lvl>
  </w:abstractNum>
  <w:abstractNum w:abstractNumId="117">
    <w:nsid w:val="5046B5A9"/>
    <w:multiLevelType w:val="hybridMultilevel"/>
    <w:lvl w:ilvl="0">
      <w:lvlJc w:val="left"/>
      <w:lvlText w:val="·"/>
      <w:numFmt w:val="bullet"/>
      <w:start w:val="1"/>
    </w:lvl>
  </w:abstractNum>
  <w:abstractNum w:abstractNumId="118">
    <w:nsid w:val="5D888A08"/>
    <w:multiLevelType w:val="hybridMultilevel"/>
    <w:lvl w:ilvl="0">
      <w:lvlJc w:val="left"/>
      <w:lvlText w:val="·"/>
      <w:numFmt w:val="bullet"/>
      <w:start w:val="1"/>
    </w:lvl>
  </w:abstractNum>
  <w:abstractNum w:abstractNumId="119">
    <w:nsid w:val="2A082C70"/>
    <w:multiLevelType w:val="hybridMultilevel"/>
    <w:lvl w:ilvl="0">
      <w:lvlJc w:val="left"/>
      <w:lvlText w:val="(%1)"/>
      <w:numFmt w:val="decimal"/>
      <w:start w:val="1"/>
    </w:lvl>
  </w:abstractNum>
  <w:abstractNum w:abstractNumId="120">
    <w:nsid w:val="5EC6AFD4"/>
    <w:multiLevelType w:val="hybridMultilevel"/>
    <w:lvl w:ilvl="0">
      <w:lvlJc w:val="left"/>
      <w:lvlText w:val="·"/>
      <w:numFmt w:val="bullet"/>
      <w:start w:val="1"/>
    </w:lvl>
  </w:abstractNum>
  <w:abstractNum w:abstractNumId="121">
    <w:nsid w:val="19E21BB2"/>
    <w:multiLevelType w:val="hybridMultilevel"/>
    <w:lvl w:ilvl="0">
      <w:lvlJc w:val="left"/>
      <w:lvlText w:val="(%1)"/>
      <w:numFmt w:val="decimal"/>
      <w:start w:val="2"/>
    </w:lvl>
    <w:lvl w:ilvl="1">
      <w:lvlJc w:val="left"/>
      <w:lvlText w:val="-"/>
      <w:numFmt w:val="bullet"/>
      <w:start w:val="1"/>
    </w:lvl>
  </w:abstractNum>
  <w:abstractNum w:abstractNumId="122">
    <w:nsid w:val="75E0858A"/>
    <w:multiLevelType w:val="hybridMultilevel"/>
    <w:lvl w:ilvl="0">
      <w:lvlJc w:val="left"/>
      <w:lvlText w:val="·"/>
      <w:numFmt w:val="bullet"/>
      <w:start w:val="1"/>
    </w:lvl>
  </w:abstractNum>
  <w:abstractNum w:abstractNumId="123">
    <w:nsid w:val="57A61A29"/>
    <w:multiLevelType w:val="hybridMultilevel"/>
    <w:lvl w:ilvl="0">
      <w:lvlJc w:val="left"/>
      <w:lvlText w:val="(%1)"/>
      <w:numFmt w:val="decimal"/>
      <w:start w:val="1"/>
    </w:lvl>
  </w:abstractNum>
  <w:abstractNum w:abstractNumId="124">
    <w:nsid w:val="5399C654"/>
    <w:multiLevelType w:val="hybridMultilevel"/>
    <w:lvl w:ilvl="0">
      <w:lvlJc w:val="left"/>
      <w:lvlText w:val="·"/>
      <w:numFmt w:val="bullet"/>
      <w:start w:val="1"/>
    </w:lvl>
    <w:lvl w:ilvl="1">
      <w:lvlJc w:val="left"/>
      <w:lvlText w:val="-"/>
      <w:numFmt w:val="bullet"/>
      <w:start w:val="1"/>
    </w:lvl>
  </w:abstractNum>
  <w:abstractNum w:abstractNumId="125">
    <w:nsid w:val="20EE1348"/>
    <w:multiLevelType w:val="hybridMultilevel"/>
    <w:lvl w:ilvl="0">
      <w:lvlJc w:val="left"/>
      <w:lvlText w:val="·"/>
      <w:numFmt w:val="bullet"/>
      <w:start w:val="1"/>
    </w:lvl>
  </w:abstractNum>
  <w:abstractNum w:abstractNumId="126">
    <w:nsid w:val="4427069A"/>
    <w:multiLevelType w:val="hybridMultilevel"/>
    <w:lvl w:ilvl="0">
      <w:lvlJc w:val="left"/>
      <w:lvlText w:val="(%1)"/>
      <w:numFmt w:val="decimal"/>
      <w:start w:val="4"/>
    </w:lvl>
  </w:abstractNum>
  <w:abstractNum w:abstractNumId="127">
    <w:nsid w:val="B37E80A"/>
    <w:multiLevelType w:val="hybridMultilevel"/>
    <w:lvl w:ilvl="0">
      <w:lvlJc w:val="left"/>
      <w:lvlText w:val="%1."/>
      <w:numFmt w:val="upperLetter"/>
      <w:start w:val="22"/>
    </w:lvl>
  </w:abstractNum>
  <w:abstractNum w:abstractNumId="128">
    <w:nsid w:val="2157F6BC"/>
    <w:multiLevelType w:val="hybridMultilevel"/>
    <w:lvl w:ilvl="0">
      <w:lvlJc w:val="left"/>
      <w:lvlText w:val="%1"/>
      <w:numFmt w:val="upperLetter"/>
      <w:start w:val="61"/>
    </w:lvl>
  </w:abstractNum>
  <w:abstractNum w:abstractNumId="129">
    <w:nsid w:val="704E1DD5"/>
    <w:multiLevelType w:val="hybridMultilevel"/>
    <w:lvl w:ilvl="0">
      <w:lvlJc w:val="left"/>
      <w:lvlText w:val="·"/>
      <w:numFmt w:val="bullet"/>
      <w:start w:val="1"/>
    </w:lvl>
  </w:abstractNum>
  <w:abstractNum w:abstractNumId="130">
    <w:nsid w:val="57D2F10E"/>
    <w:multiLevelType w:val="hybridMultilevel"/>
    <w:lvl w:ilvl="0">
      <w:lvlJc w:val="left"/>
      <w:lvlText w:val="%1."/>
      <w:numFmt w:val="decimal"/>
      <w:start w:val="1"/>
    </w:lvl>
  </w:abstractNum>
  <w:abstractNum w:abstractNumId="131">
    <w:nsid w:val="BFFAE18"/>
    <w:multiLevelType w:val="hybridMultilevel"/>
    <w:lvl w:ilvl="0">
      <w:lvlJc w:val="left"/>
      <w:lvlText w:val="%1)"/>
      <w:numFmt w:val="lowerLetter"/>
      <w:start w:val="1"/>
    </w:lvl>
  </w:abstractNum>
  <w:abstractNum w:abstractNumId="132">
    <w:nsid w:val="E3E47A8"/>
    <w:multiLevelType w:val="hybridMultilevel"/>
    <w:lvl w:ilvl="0">
      <w:lvlJc w:val="left"/>
      <w:lvlText w:val="%1."/>
      <w:numFmt w:val="decimal"/>
      <w:start w:val="5"/>
    </w:lvl>
  </w:abstractNum>
  <w:abstractNum w:abstractNumId="133">
    <w:nsid w:val="2E48F044"/>
    <w:multiLevelType w:val="hybridMultilevel"/>
    <w:lvl w:ilvl="0">
      <w:lvlJc w:val="left"/>
      <w:lvlText w:val="%1)"/>
      <w:numFmt w:val="lowerLetter"/>
      <w:start w:val="1"/>
    </w:lvl>
  </w:abstractNum>
  <w:abstractNum w:abstractNumId="134">
    <w:nsid w:val="49D0FEAC"/>
    <w:multiLevelType w:val="hybridMultilevel"/>
    <w:lvl w:ilvl="0">
      <w:lvlJc w:val="left"/>
      <w:lvlText w:val="%1."/>
      <w:numFmt w:val="decimal"/>
      <w:start w:val="1"/>
    </w:lvl>
  </w:abstractNum>
  <w:abstractNum w:abstractNumId="135">
    <w:nsid w:val="4BEE5A5B"/>
    <w:multiLevelType w:val="hybridMultilevel"/>
    <w:lvl w:ilvl="0">
      <w:lvlJc w:val="left"/>
      <w:lvlText w:val="%1)"/>
      <w:numFmt w:val="lowerLetter"/>
      <w:start w:val="1"/>
    </w:lvl>
  </w:abstractNum>
  <w:abstractNum w:abstractNumId="136">
    <w:nsid w:val="5551B9F3"/>
    <w:multiLevelType w:val="hybridMultilevel"/>
    <w:lvl w:ilvl="0">
      <w:lvlJc w:val="left"/>
      <w:lvlText w:val="%1."/>
      <w:numFmt w:val="decimal"/>
      <w:start w:val="5"/>
    </w:lvl>
  </w:abstractNum>
  <w:abstractNum w:abstractNumId="137">
    <w:nsid w:val="24F6AB8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276" Type="http://schemas.openxmlformats.org/officeDocument/2006/relationships/image" Target="media/image214.png"/><Relationship Id="rId277" Type="http://schemas.openxmlformats.org/officeDocument/2006/relationships/image" Target="media/image215.png"/><Relationship Id="rId278" Type="http://schemas.openxmlformats.org/officeDocument/2006/relationships/image" Target="media/image216.png"/><Relationship Id="rId279" Type="http://schemas.openxmlformats.org/officeDocument/2006/relationships/image" Target="media/image217.png"/><Relationship Id="rId280" Type="http://schemas.openxmlformats.org/officeDocument/2006/relationships/image" Target="media/image218.png"/><Relationship Id="rId281" Type="http://schemas.openxmlformats.org/officeDocument/2006/relationships/image" Target="media/image219.png"/><Relationship Id="rId282" Type="http://schemas.openxmlformats.org/officeDocument/2006/relationships/image" Target="media/image220.png"/><Relationship Id="rId283" Type="http://schemas.openxmlformats.org/officeDocument/2006/relationships/image" Target="media/image221.jpeg"/><Relationship Id="rId284" Type="http://schemas.openxmlformats.org/officeDocument/2006/relationships/image" Target="media/image222.png"/><Relationship Id="rId285" Type="http://schemas.openxmlformats.org/officeDocument/2006/relationships/image" Target="media/image223.png"/><Relationship Id="rId286" Type="http://schemas.openxmlformats.org/officeDocument/2006/relationships/image" Target="media/image224.png"/><Relationship Id="rId287" Type="http://schemas.openxmlformats.org/officeDocument/2006/relationships/image" Target="media/image225.png"/><Relationship Id="rId288" Type="http://schemas.openxmlformats.org/officeDocument/2006/relationships/image" Target="media/image226.png"/><Relationship Id="rId289" Type="http://schemas.openxmlformats.org/officeDocument/2006/relationships/image" Target="media/image227.png"/><Relationship Id="rId290" Type="http://schemas.openxmlformats.org/officeDocument/2006/relationships/image" Target="media/image228.png"/><Relationship Id="rId291" Type="http://schemas.openxmlformats.org/officeDocument/2006/relationships/image" Target="media/image229.png"/><Relationship Id="rId292" Type="http://schemas.openxmlformats.org/officeDocument/2006/relationships/image" Target="media/image230.png"/><Relationship Id="rId293" Type="http://schemas.openxmlformats.org/officeDocument/2006/relationships/image" Target="media/image231.png"/><Relationship Id="rId294" Type="http://schemas.openxmlformats.org/officeDocument/2006/relationships/image" Target="media/image232.png"/><Relationship Id="rId295" Type="http://schemas.openxmlformats.org/officeDocument/2006/relationships/image" Target="media/image233.png"/><Relationship Id="rId296" Type="http://schemas.openxmlformats.org/officeDocument/2006/relationships/image" Target="media/image234.png"/><Relationship Id="rId184" Type="http://schemas.openxmlformats.org/officeDocument/2006/relationships/hyperlink" Target="https://www.sec.gov/Archives/edgar/data/1798562/000121390021013347/ea137001ex2-1_sustainable.htm" TargetMode="External"/><Relationship Id="rId185" Type="http://schemas.openxmlformats.org/officeDocument/2006/relationships/hyperlink" Target="https://www.sec.gov/Archives/edgar/data/1798562/000121390021048261/ea147253ex3-1_tmcthemet.htm" TargetMode="External"/><Relationship Id="rId186" Type="http://schemas.openxmlformats.org/officeDocument/2006/relationships/hyperlink" Target="https://www.sec.gov/Archives/edgar/data/1798562/000121390021048261/ea147253ex3-2_tmcthemet.htm" TargetMode="External"/><Relationship Id="rId187" Type="http://schemas.openxmlformats.org/officeDocument/2006/relationships/hyperlink" Target="https://www.sec.gov/Archives/edgar/data/1798562/000121390021048261/ea147253ex4-1_tmcthemet.htm" TargetMode="External"/><Relationship Id="rId188" Type="http://schemas.openxmlformats.org/officeDocument/2006/relationships/hyperlink" Target="https://www.sec.gov/Archives/edgar/data/1798562/000121390020011491/ea121545ex4-1_sustainable.htm" TargetMode="External"/><Relationship Id="rId189" Type="http://schemas.openxmlformats.org/officeDocument/2006/relationships/hyperlink" Target="https://www.sec.gov/Archives/edgar/data/1798562/000110465923091027/tm2323509d2_ex4-1.htm" TargetMode="External"/><Relationship Id="rId190" Type="http://schemas.openxmlformats.org/officeDocument/2006/relationships/hyperlink" Target="https://www.sec.gov/Archives/edgar/data/1798562/000110465924119790/tm2427511d3_ex4-1.htm" TargetMode="External"/><Relationship Id="rId191" Type="http://schemas.openxmlformats.org/officeDocument/2006/relationships/hyperlink" Target="https://www.sec.gov/Archives/edgar/data/1798562/000121390021020731/fs42021ex10-7_sustainable.htm" TargetMode="External"/><Relationship Id="rId192" Type="http://schemas.openxmlformats.org/officeDocument/2006/relationships/hyperlink" Target="https://www.sec.gov/Archives/edgar/data/1798562/000121390021020731/fs42021ex10-9_sustainable.htm" TargetMode="External"/><Relationship Id="rId193" Type="http://schemas.openxmlformats.org/officeDocument/2006/relationships/hyperlink" Target="https://www.sec.gov/Archives/edgar/data/1798562/000121390021036767/fs42021ex10-23_sustainable.htm" TargetMode="External"/><Relationship Id="rId194" Type="http://schemas.openxmlformats.org/officeDocument/2006/relationships/hyperlink" Target="https://www.sec.gov/Archives/edgar/data/1798562/000110465923023295/tm237199d2_ex10-1.htm" TargetMode="External"/><Relationship Id="rId195" Type="http://schemas.openxmlformats.org/officeDocument/2006/relationships/hyperlink" Target="https://www.sec.gov/Archives/edgar/data/1798562/000110465923086437/tm2322494d1_ex10-1.htm" TargetMode="External"/><Relationship Id="rId196" Type="http://schemas.openxmlformats.org/officeDocument/2006/relationships/hyperlink" Target="https://www.sec.gov/Archives/edgar/data/1798562/000121390021020731/fs42021ex10-13_sustainable.htm" TargetMode="External"/><Relationship Id="rId197" Type="http://schemas.openxmlformats.org/officeDocument/2006/relationships/hyperlink" Target="https://www.sec.gov/Archives/edgar/data/1798562/000121390021051893/fs12021ex10-13_tmcthemet.htm" TargetMode="External"/><Relationship Id="rId198" Type="http://schemas.openxmlformats.org/officeDocument/2006/relationships/hyperlink" Target="https://www.sec.gov/Archives/edgar/data/1798562/000121390021020731/fs42021ex10-14_sustainable.htm" TargetMode="External"/><Relationship Id="rId199" Type="http://schemas.openxmlformats.org/officeDocument/2006/relationships/hyperlink" Target="https://www.sec.gov/Archives/edgar/data/1798562/000121390021039153/fs42021a4ex10-24_sustainable.htm" TargetMode="External"/><Relationship Id="rId200" Type="http://schemas.openxmlformats.org/officeDocument/2006/relationships/hyperlink" Target="https://www.sec.gov/Archives/edgar/data/1798562/000121390021020731/fs42021ex10-15_sustainable.htm" TargetMode="External"/><Relationship Id="rId201" Type="http://schemas.openxmlformats.org/officeDocument/2006/relationships/hyperlink" Target="https://www.sec.gov/Archives/edgar/data/1798562/000121390021020731/fs42021ex10-16_sustainable.htm" TargetMode="External"/><Relationship Id="rId202" Type="http://schemas.openxmlformats.org/officeDocument/2006/relationships/hyperlink" Target="https://www.sec.gov/Archives/edgar/data/1798562/000121390021048261/ea147253ex10-18_tmcthemet.htm" TargetMode="External"/><Relationship Id="rId203" Type="http://schemas.openxmlformats.org/officeDocument/2006/relationships/hyperlink" Target="https://www.sec.gov/Archives/edgar/data/1798562/000121390021048261/ea147253ex10-19_tmcthemet.htm" TargetMode="External"/><Relationship Id="rId204" Type="http://schemas.openxmlformats.org/officeDocument/2006/relationships/hyperlink" Target="https://www.sec.gov/Archives/edgar/data/1798562/000110465924048642/tm2411911d1_ex10-1.htm" TargetMode="External"/><Relationship Id="rId205" Type="http://schemas.openxmlformats.org/officeDocument/2006/relationships/hyperlink" Target="https://www.sec.gov/Archives/edgar/data/1798562/000110465924048641/tm241118d2_ex10-16.htm" TargetMode="External"/><Relationship Id="rId206" Type="http://schemas.openxmlformats.org/officeDocument/2006/relationships/hyperlink" Target="https://www.sec.gov/Archives/edgar/data/1798562/000110465922057493/tmc-20220331xex10d3.htm" TargetMode="External"/><Relationship Id="rId207" Type="http://schemas.openxmlformats.org/officeDocument/2006/relationships/hyperlink" Target="https://www.sec.gov/Archives/edgar/data/1798562/000110465922057493/tmc-20220331xex10d2.htm" TargetMode="External"/><Relationship Id="rId208" Type="http://schemas.openxmlformats.org/officeDocument/2006/relationships/hyperlink" Target="https://www.sec.gov/Archives/edgar/data/1798562/000110465924046107/tm2411549d1_ex10-1.htm" TargetMode="External"/><Relationship Id="rId209" Type="http://schemas.openxmlformats.org/officeDocument/2006/relationships/hyperlink" Target="https://www.sec.gov/Archives/edgar/data/1798562/000110465924089697/tmc-20240630xex10d3.htm" TargetMode="External"/><Relationship Id="rId210" Type="http://schemas.openxmlformats.org/officeDocument/2006/relationships/hyperlink" Target="https://www.sec.gov/Archives/edgar/data/1798562/000121390021048261/ea147253ex10-23ii_tmcthemet.htm" TargetMode="External"/><Relationship Id="rId211" Type="http://schemas.openxmlformats.org/officeDocument/2006/relationships/hyperlink" Target="https://www.sec.gov/Archives/edgar/data/1798562/000121390021048261/ea147253ex10-23iii_tmcthemet.htm" TargetMode="External"/><Relationship Id="rId212" Type="http://schemas.openxmlformats.org/officeDocument/2006/relationships/hyperlink" Target="https://www.sec.gov/Archives/edgar/data/1798562/000121390021029413/fs42021a1ex10-20_sustainable.htm" TargetMode="External"/><Relationship Id="rId213" Type="http://schemas.openxmlformats.org/officeDocument/2006/relationships/hyperlink" Target="https://www.sec.gov/Archives/edgar/data/1798562/000121390021029413/fs42021a1ex10-21_sustainable.htm" TargetMode="External"/><Relationship Id="rId214" Type="http://schemas.openxmlformats.org/officeDocument/2006/relationships/hyperlink" Target="https://www.sec.gov/Archives/edgar/data/1798562/000110465922066562/tm2217188d2_ex99-1.htm" TargetMode="External"/><Relationship Id="rId215" Type="http://schemas.openxmlformats.org/officeDocument/2006/relationships/hyperlink" Target="https://www.sec.gov/Archives/edgar/data/1798562/000121390021040480/fs42021a5_sustainableopp.htm#T108" TargetMode="External"/><Relationship Id="rId216" Type="http://schemas.openxmlformats.org/officeDocument/2006/relationships/hyperlink" Target="https://www.sec.gov/Archives/edgar/data/1798562/000121390021040480/fs42021a5_sustainableopp.htm#T104" TargetMode="External"/><Relationship Id="rId217" Type="http://schemas.openxmlformats.org/officeDocument/2006/relationships/hyperlink" Target="https://www.sec.gov/Archives/edgar/data/1798562/000121390021040480/fs42021a5_sustainableopp.htm#T105" TargetMode="External"/><Relationship Id="rId218" Type="http://schemas.openxmlformats.org/officeDocument/2006/relationships/hyperlink" Target="https://www.sec.gov/Archives/edgar/data/1798562/000110465922090666/tm2223376d3_ex10-1.htm" TargetMode="External"/><Relationship Id="rId219" Type="http://schemas.openxmlformats.org/officeDocument/2006/relationships/hyperlink" Target="https://www.sec.gov/Archives/edgar/data/1798562/000110465922090666/tm2223376d3_ex10-2.htm" TargetMode="External"/><Relationship Id="rId220" Type="http://schemas.openxmlformats.org/officeDocument/2006/relationships/hyperlink" Target="https://www.sec.gov/Archives/edgar/data/1798562/000110465922090666/tm2223376d3_ex10-3.htm" TargetMode="External"/><Relationship Id="rId221" Type="http://schemas.openxmlformats.org/officeDocument/2006/relationships/hyperlink" Target="https://www.sec.gov/Archives/edgar/data/1798562/000110465923091027/tm2323509d2_ex10-1.htm" TargetMode="External"/><Relationship Id="rId222" Type="http://schemas.openxmlformats.org/officeDocument/2006/relationships/hyperlink" Target="https://www.sec.gov/Archives/edgar/data/1798562/000110465924119790/tm2427511d3_ex10-1.htm" TargetMode="External"/><Relationship Id="rId223" Type="http://schemas.openxmlformats.org/officeDocument/2006/relationships/hyperlink" Target="https://www.sec.gov/Archives/edgar/data/1798562/000110465924123189/tm2429063d2_ex10-1.htm" TargetMode="External"/><Relationship Id="rId224" Type="http://schemas.openxmlformats.org/officeDocument/2006/relationships/hyperlink" Target="https://www.sec.gov/Archives/edgar/data/1798562/000110465922129609/tm2233215d2_ex10-1.htm" TargetMode="External"/><Relationship Id="rId225" Type="http://schemas.openxmlformats.org/officeDocument/2006/relationships/hyperlink" Target="https://www.sec.gov/Archives/edgar/data/1798562/000110465923128281/tm2331753d4_ex10-1.htm" TargetMode="External"/><Relationship Id="rId226" Type="http://schemas.openxmlformats.org/officeDocument/2006/relationships/hyperlink" Target="https://www.sec.gov/Archives/edgar/data/1798562/000110465923024088/tm237472d2_ex10-1.htm" TargetMode="External"/><Relationship Id="rId227" Type="http://schemas.openxmlformats.org/officeDocument/2006/relationships/hyperlink" Target="https://www.sec.gov/Archives/edgar/data/1798562/000110465923024088/tm237472d2_ex10-2.htm" TargetMode="External"/><Relationship Id="rId228" Type="http://schemas.openxmlformats.org/officeDocument/2006/relationships/hyperlink" Target="https://www.sec.gov/Archives/edgar/data/1798562/000110465923037110/tmc-20221231xex10d31.htm" TargetMode="External"/><Relationship Id="rId229" Type="http://schemas.openxmlformats.org/officeDocument/2006/relationships/hyperlink" Target="https://www.sec.gov/Archives/edgar/data/1798562/000110465923086437/tm2322494d1_ex10-2.htm" TargetMode="External"/><Relationship Id="rId230" Type="http://schemas.openxmlformats.org/officeDocument/2006/relationships/hyperlink" Target="https://www.sec.gov/Archives/edgar/data/1798562/000110465924038505/tmc-20231231xex10d33.htm" TargetMode="External"/><Relationship Id="rId231" Type="http://schemas.openxmlformats.org/officeDocument/2006/relationships/hyperlink" Target="https://www.sec.gov/Archives/edgar/data/1798562/000110465924090521/tm2415212d3_ex10-1.htm" TargetMode="External"/><Relationship Id="rId232" Type="http://schemas.openxmlformats.org/officeDocument/2006/relationships/hyperlink" Target="https://www.sec.gov/Archives/edgar/data/1798562/000110465924099119/tm2423852d1_ex10-1.htm" TargetMode="External"/><Relationship Id="rId233" Type="http://schemas.openxmlformats.org/officeDocument/2006/relationships/hyperlink" Target="https://www.sec.gov/Archives/edgar/data/1798562/000110465924111183/tm2426755d1_ex10-1.htm" TargetMode="External"/><Relationship Id="rId234" Type="http://schemas.openxmlformats.org/officeDocument/2006/relationships/hyperlink" Target="https://www.sec.gov/Archives/edgar/data/1798562/000110465924038505/tmc-20231231xex10d34.htm" TargetMode="External"/><Relationship Id="rId235" Type="http://schemas.openxmlformats.org/officeDocument/2006/relationships/hyperlink" Target="https://www.sec.gov/Archives/edgar/data/1798562/000110465924089697/tmc-20240630xex10d5.htm" TargetMode="External"/><Relationship Id="rId236" Type="http://schemas.openxmlformats.org/officeDocument/2006/relationships/hyperlink" Target="https://www.sec.gov/Archives/edgar/data/1798562/000121390021033645/fs42021a2ex96-1_sustainable.htm" TargetMode="External"/><Relationship Id="rId237" Type="http://schemas.openxmlformats.org/officeDocument/2006/relationships/hyperlink" Target="https://www.sec.gov/Archives/edgar/data/1798562/000121390021033645/fs42021a2ex96-2_sustainable.htm" TargetMode="External"/><Relationship Id="rId238" Type="http://schemas.openxmlformats.org/officeDocument/2006/relationships/hyperlink" Target="https://www.sec.gov/Archives/edgar/data/1798562/000110465924038505/tmc-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2025-03-27T17:23:42Z</dcterms:created>
  <dcterms:modified xsi:type="dcterms:W3CDTF">2025-03-27T17:23:42Z</dcterms:modified>
</cp:coreProperties>
</file>