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c-20250331x10q.htm"/>
        <w:bookmarkStart w:id="1" w:name="kstmc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bookmarkStart w:id="2" w:name="_930a80f3_c376_4879_8953_971df4643f5c"/>
      <w:bookmarkEnd w:id="2"/>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3" w:name="iSkippedRange_91886"/>
      <w:bookmarkEnd w:id="3"/>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16"/>
        </w:rPr>
        <w:t>QUARTERLY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March 31, 2025</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16"/>
        </w:rPr>
        <w:t>TRANSITION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the transition period from</w:t>
      </w:r>
      <w:r>
        <w:rPr>
          <w:rFonts w:ascii="Times New Roman;Times;serif" w:hAnsi="Times New Roman;Times;serif"/>
          <w:sz w:val="16"/>
        </w:rPr>
        <w:t xml:space="preserve">       </w:t>
      </w:r>
      <w:r>
        <w:rPr>
          <w:rFonts w:ascii="Times New Roman;Times;serif" w:hAnsi="Times New Roman;Times;serif"/>
          <w:b/>
          <w:sz w:val="16"/>
        </w:rPr>
        <w:t xml:space="preserve">to </w:t>
      </w:r>
      <w:r>
        <w:rPr>
          <w:rFonts w:ascii="Times New Roman;Times;serif" w:hAnsi="Times New Roman;Times;serif"/>
          <w:sz w:val="16"/>
        </w:rPr>
        <w:t>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001-39281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44"/>
        </w:rPr>
      </w:pPr>
      <w:r>
        <w:rPr>
          <w:rFonts w:ascii="Times New Roman;Times;serif" w:hAnsi="Times New Roman;Times;serif"/>
          <w:b/>
          <w:i w:val="false"/>
          <w:caps w:val="false"/>
          <w:smallCaps w:val="false"/>
          <w:sz w:val="44"/>
        </w:rPr>
        <w:t>TMC THE METALS COMPANY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 w:name="Tc_IauxUscxHEyNOskFI1xypg_2_2"/>
      <w:bookmarkStart w:id="5" w:name="Tc_sDyB6I74KUWYQMKzvwmkTw_2_0"/>
      <w:bookmarkStart w:id="6" w:name="Tc_bVI1y3wf5kuwvirqaVQcog_0_0"/>
      <w:bookmarkStart w:id="7" w:name="_489ed942_4f0d_47f6_a1b5_4fa1fa7265de"/>
      <w:bookmarkStart w:id="8" w:name="Tc_IauxUscxHEyNOskFI1xypg_2_2"/>
      <w:bookmarkStart w:id="9" w:name="Tc_sDyB6I74KUWYQMKzvwmkTw_2_0"/>
      <w:bookmarkStart w:id="10" w:name="Tc_bVI1y3wf5kuwvirqaVQcog_0_0"/>
      <w:bookmarkStart w:id="11" w:name="_489ed942_4f0d_47f6_a1b5_4fa1fa7265de"/>
      <w:bookmarkEnd w:id="8"/>
      <w:bookmarkEnd w:id="9"/>
      <w:bookmarkEnd w:id="10"/>
      <w:bookmarkEnd w:id="11"/>
    </w:p>
    <w:tbl>
      <w:tblPr>
        <w:tblW w:w="7228" w:type="dxa"/>
        <w:jc w:val="left"/>
        <w:tblInd w:w="0" w:type="dxa"/>
        <w:tblLayout w:type="fixed"/>
        <w:tblCellMar>
          <w:top w:w="0" w:type="dxa"/>
          <w:left w:w="0" w:type="dxa"/>
          <w:bottom w:w="0" w:type="dxa"/>
          <w:right w:w="0" w:type="dxa"/>
        </w:tblCellMar>
      </w:tblPr>
      <w:tblGrid>
        <w:gridCol w:w="4321"/>
        <w:gridCol w:w="326"/>
        <w:gridCol w:w="2581"/>
      </w:tblGrid>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British Columbia, Canada</w:t>
            </w:r>
          </w:p>
        </w:tc>
        <w:tc>
          <w:tcPr>
            <w:tcW w:w="32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 Applicable</w:t>
            </w:r>
          </w:p>
        </w:tc>
      </w:tr>
      <w:tr>
        <w:trPr/>
        <w:tc>
          <w:tcPr>
            <w:tcW w:w="4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 w:name="Tc_qbfojuwuQEiFF-ZFMhKkUg_4_2"/>
      <w:bookmarkStart w:id="13" w:name="Tc_fOea7Ha-EUSiu85UVzMTbw_4_0"/>
      <w:bookmarkStart w:id="14" w:name="Tc_5AQYMRnHIEeACqu7rHzKkg_2_0"/>
      <w:bookmarkStart w:id="15" w:name="_d7746b50_3e4f_49be_95d2_6cd734f1f800"/>
      <w:bookmarkStart w:id="16" w:name="Tc_qbfojuwuQEiFF-ZFMhKkUg_4_2"/>
      <w:bookmarkStart w:id="17" w:name="Tc_fOea7Ha-EUSiu85UVzMTbw_4_0"/>
      <w:bookmarkStart w:id="18" w:name="Tc_5AQYMRnHIEeACqu7rHzKkg_2_0"/>
      <w:bookmarkStart w:id="19" w:name="_d7746b50_3e4f_49be_95d2_6cd734f1f800"/>
      <w:bookmarkEnd w:id="16"/>
      <w:bookmarkEnd w:id="17"/>
      <w:bookmarkEnd w:id="18"/>
      <w:bookmarkEnd w:id="19"/>
    </w:p>
    <w:tbl>
      <w:tblPr>
        <w:tblW w:w="4273" w:type="dxa"/>
        <w:jc w:val="left"/>
        <w:tblInd w:w="0" w:type="dxa"/>
        <w:tblLayout w:type="fixed"/>
        <w:tblCellMar>
          <w:top w:w="0" w:type="dxa"/>
          <w:left w:w="0" w:type="dxa"/>
          <w:bottom w:w="0" w:type="dxa"/>
          <w:right w:w="0" w:type="dxa"/>
        </w:tblCellMar>
      </w:tblPr>
      <w:tblGrid>
        <w:gridCol w:w="3016"/>
        <w:gridCol w:w="326"/>
        <w:gridCol w:w="93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1111 West Hastings Street, 15th Floor</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Vancouver, British Columbia</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V6E 2J3</w: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(888) 458-3420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0" w:name="Tc_f7Vsx97-wUerMFSLaPw7dg_4_4"/>
      <w:bookmarkStart w:id="21" w:name="Tc_0a3sfFgSDUONNb0AVL36Ug_2_4"/>
      <w:bookmarkStart w:id="22" w:name="Tc_pX4ad9JjLkmxRRkgalD1uw_0_4"/>
      <w:bookmarkStart w:id="23" w:name="Tc_ulwBkZBdDUudCtK4Cku7Ug_0_2"/>
      <w:bookmarkStart w:id="24" w:name="Tc_k8x90oW_Xk2M0hJx9v9_dg_0_0"/>
      <w:bookmarkStart w:id="25" w:name="_077cefb7_0cdf_49f9_8c5e_1b4ce430b0fa"/>
      <w:bookmarkStart w:id="26" w:name="Tc_f7Vsx97-wUerMFSLaPw7dg_4_4"/>
      <w:bookmarkStart w:id="27" w:name="Tc_0a3sfFgSDUONNb0AVL36Ug_2_4"/>
      <w:bookmarkStart w:id="28" w:name="Tc_pX4ad9JjLkmxRRkgalD1uw_0_4"/>
      <w:bookmarkStart w:id="29" w:name="Tc_ulwBkZBdDUudCtK4Cku7Ug_0_2"/>
      <w:bookmarkStart w:id="30" w:name="Tc_k8x90oW_Xk2M0hJx9v9_dg_0_0"/>
      <w:bookmarkStart w:id="31" w:name="_077cefb7_0cdf_49f9_8c5e_1b4ce430b0fa"/>
      <w:bookmarkEnd w:id="26"/>
      <w:bookmarkEnd w:id="27"/>
      <w:bookmarkEnd w:id="28"/>
      <w:bookmarkEnd w:id="29"/>
      <w:bookmarkEnd w:id="30"/>
      <w:bookmarkEnd w:id="31"/>
    </w:p>
    <w:tbl>
      <w:tblPr>
        <w:tblW w:w="10205" w:type="dxa"/>
        <w:jc w:val="left"/>
        <w:tblInd w:w="0" w:type="dxa"/>
        <w:tblLayout w:type="fixed"/>
        <w:tblCellMar>
          <w:top w:w="0" w:type="dxa"/>
          <w:left w:w="0" w:type="dxa"/>
          <w:bottom w:w="28" w:type="dxa"/>
          <w:right w:w="0" w:type="dxa"/>
        </w:tblCellMar>
      </w:tblPr>
      <w:tblGrid>
        <w:gridCol w:w="4584"/>
        <w:gridCol w:w="326"/>
        <w:gridCol w:w="1487"/>
        <w:gridCol w:w="326"/>
        <w:gridCol w:w="3482"/>
      </w:tblGrid>
      <w:tr>
        <w:trPr/>
        <w:tc>
          <w:tcPr>
            <w:tcW w:w="4584"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148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48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4584"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87"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482"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r>
      <w:tr>
        <w:trPr/>
        <w:tc>
          <w:tcPr>
            <w:tcW w:w="4584"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Shares, without par value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8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TMC</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48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r>
        <w:trPr/>
        <w:tc>
          <w:tcPr>
            <w:tcW w:w="4584" w:type="dxa"/>
            <w:tcBorders/>
            <w:tcMar>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87"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482" w:type="dxa"/>
            <w:tcBorders/>
            <w:tcMar>
              <w:bottom w:w="0" w:type="dxa"/>
            </w:tcMar>
            <w:vAlign w:val="center"/>
          </w:tcPr>
          <w:p>
            <w:pPr>
              <w:pStyle w:val="TableContents"/>
              <w:bidi w:val="0"/>
              <w:spacing w:before="0" w:after="0"/>
              <w:ind w:left="0" w:right="0" w:hanging="0"/>
              <w:jc w:val="center"/>
              <w:rPr/>
            </w:pPr>
            <w:r>
              <w:rPr/>
              <w:t>​</w:t>
            </w:r>
          </w:p>
        </w:tc>
      </w:tr>
      <w:tr>
        <w:trPr/>
        <w:tc>
          <w:tcPr>
            <w:tcW w:w="4584"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Redeemable warrants, each whole warrant exercisable for one Common Share, each at an exercise price of $11.50 per share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8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TMCWW</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48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2" w:name="Tc_ZU34mKzTYEauG9QnlcZXDA_4_2"/>
      <w:bookmarkStart w:id="33" w:name="Tc_NxHgI_bhwUmseGDny6H8IA_3_2"/>
      <w:bookmarkStart w:id="34" w:name="Tc_PY7jwrygi0ebl1qI91_dSw_3_0"/>
      <w:bookmarkStart w:id="35" w:name="Tc_c_miWP2TtkuIjgTca-e7ww_2_4"/>
      <w:bookmarkStart w:id="36" w:name="Tc_gclkPn06nkaQFdgQ83KEEw_2_2"/>
      <w:bookmarkStart w:id="37" w:name="Tc_IfanalS4DUi99i891aBb7A_2_0"/>
      <w:bookmarkStart w:id="38" w:name="_ec628ae9_ea58_4763_add7_ea6585c32108"/>
      <w:bookmarkStart w:id="39" w:name="Tc_ZU34mKzTYEauG9QnlcZXDA_4_2"/>
      <w:bookmarkStart w:id="40" w:name="Tc_NxHgI_bhwUmseGDny6H8IA_3_2"/>
      <w:bookmarkStart w:id="41" w:name="Tc_PY7jwrygi0ebl1qI91_dSw_3_0"/>
      <w:bookmarkStart w:id="42" w:name="Tc_c_miWP2TtkuIjgTca-e7ww_2_4"/>
      <w:bookmarkStart w:id="43" w:name="Tc_gclkPn06nkaQFdgQ83KEEw_2_2"/>
      <w:bookmarkStart w:id="44" w:name="Tc_IfanalS4DUi99i891aBb7A_2_0"/>
      <w:bookmarkStart w:id="45" w:name="_ec628ae9_ea58_4763_add7_ea6585c32108"/>
      <w:bookmarkEnd w:id="39"/>
      <w:bookmarkEnd w:id="40"/>
      <w:bookmarkEnd w:id="41"/>
      <w:bookmarkEnd w:id="42"/>
      <w:bookmarkEnd w:id="43"/>
      <w:bookmarkEnd w:id="44"/>
      <w:bookmarkEnd w:id="45"/>
    </w:p>
    <w:tbl>
      <w:tblPr>
        <w:tblW w:w="4960" w:type="dxa"/>
        <w:jc w:val="left"/>
        <w:tblInd w:w="0" w:type="dxa"/>
        <w:tblLayout w:type="fixed"/>
        <w:tblCellMar>
          <w:top w:w="0" w:type="dxa"/>
          <w:left w:w="0" w:type="dxa"/>
          <w:bottom w:w="0" w:type="dxa"/>
          <w:right w:w="0" w:type="dxa"/>
        </w:tblCellMar>
      </w:tblPr>
      <w:tblGrid>
        <w:gridCol w:w="1906"/>
        <w:gridCol w:w="326"/>
        <w:gridCol w:w="2041"/>
        <w:gridCol w:w="326"/>
        <w:gridCol w:w="36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10310" cy="29210"/>
                      <wp:effectExtent l="0" t="0" r="0" b="0"/>
                      <wp:wrapNone/>
                      <wp:docPr id="1" name="Frame1"/>
                      <a:graphic xmlns:a="http://schemas.openxmlformats.org/drawingml/2006/main">
                        <a:graphicData uri="http://schemas.microsoft.com/office/word/2010/wordprocessingShape">
                          <wps:wsp>
                            <wps:cNvSpPr txBox="1"/>
                            <wps:spPr>
                              <a:xfrm>
                                <a:off x="0" y="0"/>
                                <a:ext cx="1210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96035" cy="29210"/>
                      <wp:effectExtent l="0" t="0" r="0" b="0"/>
                      <wp:wrapNone/>
                      <wp:docPr id="3" name="Frame3"/>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29210"/>
                      <wp:effectExtent l="0" t="0" r="0" b="0"/>
                      <wp:wrapNone/>
                      <wp:docPr id="4" name="Frame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29235" cy="29210"/>
                      <wp:effectExtent l="0" t="0" r="0" b="0"/>
                      <wp:wrapNone/>
                      <wp:docPr id="5" name="Frame5"/>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10310" cy="29210"/>
                      <wp:effectExtent l="0" t="0" r="0" b="0"/>
                      <wp:wrapNone/>
                      <wp:docPr id="6" name="Frame6"/>
                      <a:graphic xmlns:a="http://schemas.openxmlformats.org/drawingml/2006/main">
                        <a:graphicData uri="http://schemas.microsoft.com/office/word/2010/wordprocessingShape">
                          <wps:wsp>
                            <wps:cNvSpPr txBox="1"/>
                            <wps:spPr>
                              <a:xfrm>
                                <a:off x="0" y="0"/>
                                <a:ext cx="1210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29210"/>
                      <wp:effectExtent l="0" t="0" r="0" b="0"/>
                      <wp:wrapNone/>
                      <wp:docPr id="7" name="Frame7"/>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96035" cy="29210"/>
                      <wp:effectExtent l="0" t="0" r="0" b="0"/>
                      <wp:wrapNone/>
                      <wp:docPr id="8" name="Frame8"/>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29210"/>
                      <wp:effectExtent l="0" t="0" r="0" b="0"/>
                      <wp:wrapNone/>
                      <wp:docPr id="9" name="Frame9"/>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29235" cy="29210"/>
                      <wp:effectExtent l="0" t="0" r="0" b="0"/>
                      <wp:wrapNone/>
                      <wp:docPr id="10" name="Frame10"/>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 ☐</w:t>
            </w:r>
          </w:p>
        </w:tc>
        <w:tc>
          <w:tcPr>
            <w:tcW w:w="32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May 13, 2025, the registrant had 362,186,002 common shares outstanding.</w:t>
      </w:r>
    </w:p>
    <w:p>
      <w:pPr>
        <w:pStyle w:val="TextBody"/>
        <w:bidi w:val="0"/>
        <w:spacing w:before="0" w:after="0"/>
        <w:ind w:left="0" w:right="0" w:hanging="0"/>
        <w:jc w:val="both"/>
        <w:rPr/>
      </w:pPr>
      <w:r>
        <w:rPr/>
        <w:t>​</w:t>
      </w:r>
    </w:p>
    <w:p>
      <w:pPr>
        <w:pStyle w:val="TextBody"/>
        <w:pBdr>
          <w:top w:val="single" w:sz="2" w:space="1" w:color="000000"/>
          <w:bottom w:val="single" w:sz="24" w:space="1" w:color="000000"/>
        </w:pBdr>
        <w:bidi w:val="0"/>
        <w:spacing w:before="0" w:after="240"/>
        <w:ind w:left="0" w:right="0" w:firstLine="360"/>
        <w:jc w:val="center"/>
        <w:rPr/>
      </w:pPr>
      <w:r>
        <w:rPr/>
        <w:t>​</w:t>
      </w:r>
    </w:p>
    <w:p>
      <w:pPr>
        <w:pStyle w:val="TextBody"/>
        <w:bidi w:val="0"/>
        <w:spacing w:before="0" w:after="240"/>
        <w:ind w:left="0" w:right="0" w:hanging="0"/>
        <w:jc w:val="both"/>
        <w:rPr/>
      </w:pPr>
      <w:r>
        <w:rPr/>
        <w:t>​</w:t>
      </w:r>
    </w:p>
    <w:p>
      <w:pPr>
        <w:pStyle w:val="TextBody"/>
        <w:bidi w:val="0"/>
        <w:spacing w:before="0" w:after="240"/>
        <w:ind w:left="0" w:right="0" w:firstLine="36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6" w:name="_48bcea65_2070_4ad8_b818_4bfe1a546040"/>
      <w:bookmarkEnd w:id="46"/>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 the quarterly period ended March 31, 2025</w:t>
      </w:r>
    </w:p>
    <w:p>
      <w:pPr>
        <w:pStyle w:val="TextBody"/>
        <w:bidi w:val="0"/>
        <w:spacing w:before="0" w:after="0"/>
        <w:ind w:left="0" w:right="0" w:hanging="0"/>
        <w:jc w:val="center"/>
        <w:rPr>
          <w:rFonts w:ascii="Times New Roman;Times;serif" w:hAnsi="Times New Roman;Times;serif"/>
          <w:b/>
          <w:sz w:val="20"/>
        </w:rPr>
      </w:pPr>
      <w:bookmarkStart w:id="47" w:name="TOC"/>
      <w:bookmarkEnd w:id="47"/>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76"/>
        <w:gridCol w:w="326"/>
        <w:gridCol w:w="8006"/>
        <w:gridCol w:w="326"/>
        <w:gridCol w:w="57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19760" cy="525780"/>
                      <wp:effectExtent l="0" t="0" r="0" b="0"/>
                      <wp:wrapNone/>
                      <wp:docPr id="11" name="Frame11"/>
                      <a:graphic xmlns:a="http://schemas.openxmlformats.org/drawingml/2006/main">
                        <a:graphicData uri="http://schemas.microsoft.com/office/word/2010/wordprocessingShape">
                          <wps:wsp>
                            <wps:cNvSpPr txBox="1"/>
                            <wps:spPr>
                              <a:xfrm>
                                <a:off x="0" y="0"/>
                                <a:ext cx="619760" cy="52578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29210"/>
                      <wp:effectExtent l="0" t="0" r="0" b="0"/>
                      <wp:wrapNone/>
                      <wp:docPr id="12" name="Frame1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083810" cy="175260"/>
                      <wp:effectExtent l="0" t="0" r="0" b="0"/>
                      <wp:wrapNone/>
                      <wp:docPr id="13" name="Frame13"/>
                      <a:graphic xmlns:a="http://schemas.openxmlformats.org/drawingml/2006/main">
                        <a:graphicData uri="http://schemas.microsoft.com/office/word/2010/wordprocessingShape">
                          <wps:wsp>
                            <wps:cNvSpPr txBox="1"/>
                            <wps:spPr>
                              <a:xfrm>
                                <a:off x="0" y="0"/>
                                <a:ext cx="508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29210"/>
                      <wp:effectExtent l="0" t="0" r="0" b="0"/>
                      <wp:wrapNone/>
                      <wp:docPr id="14" name="Frame1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62585" cy="29210"/>
                      <wp:effectExtent l="0" t="0" r="0" b="0"/>
                      <wp:wrapNone/>
                      <wp:docPr id="15" name="Frame15"/>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top w:val="single" w:sz="8" w:space="0" w:color="000000"/>
            </w:tcBorders>
            <w:tcMar>
              <w:top w:w="28" w:type="dxa"/>
            </w:tcMar>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Forward-Looking Statements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PARTIFINANCIALINFORMATION_598400">
              <w:r>
                <w:rPr>
                  <w:rStyle w:val="InternetLink"/>
                  <w:rFonts w:ascii="Times New Roman;Times;serif" w:hAnsi="Times New Roman;Times;serif"/>
                  <w:b/>
                  <w:i w:val="false"/>
                  <w:caps w:val="false"/>
                  <w:smallCaps w:val="false"/>
                  <w:sz w:val="20"/>
                </w:rPr>
                <w:t>Part I</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PARTIFINANCIALINFORMATION_598400">
              <w:r>
                <w:rPr>
                  <w:rStyle w:val="InternetLink"/>
                  <w:rFonts w:ascii="Times New Roman;Times;serif" w:hAnsi="Times New Roman;Times;serif"/>
                  <w:b/>
                  <w:i w:val="false"/>
                  <w:caps w:val="false"/>
                  <w:smallCaps w:val="false"/>
                  <w:sz w:val="20"/>
                </w:rPr>
                <w:t>Financial Information</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FinancialStatements_168789">
              <w:r>
                <w:rPr>
                  <w:rStyle w:val="InternetLink"/>
                  <w:rFonts w:ascii="Times New Roman;Times;serif" w:hAnsi="Times New Roman;Times;serif"/>
                  <w:b w:val="false"/>
                  <w:i w:val="false"/>
                  <w:caps w:val="false"/>
                  <w:smallCaps w:val="false"/>
                  <w:sz w:val="20"/>
                </w:rPr>
                <w:t>Item 1.</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1FinancialStatements_168789">
              <w:r>
                <w:rPr>
                  <w:rStyle w:val="InternetLink"/>
                  <w:rFonts w:ascii="Times New Roman;Times;serif" w:hAnsi="Times New Roman;Times;serif"/>
                  <w:b w:val="false"/>
                  <w:i w:val="false"/>
                  <w:caps w:val="false"/>
                  <w:smallCaps w:val="false"/>
                  <w:sz w:val="20"/>
                </w:rPr>
                <w:t>Financial Statements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pBdr/>
              <w:bidi w:val="0"/>
              <w:spacing w:before="0" w:after="0"/>
              <w:ind w:left="0" w:right="0" w:hanging="0"/>
              <w:jc w:val="left"/>
              <w:rPr/>
            </w:pPr>
            <w:hyperlink w:anchor="CondensedConsolidatedBalanceSheets_49440">
              <w:r>
                <w:rPr>
                  <w:rStyle w:val="InternetLink"/>
                  <w:rFonts w:ascii="Times New Roman;Times;serif" w:hAnsi="Times New Roman;Times;serif"/>
                  <w:b w:val="false"/>
                  <w:i w:val="false"/>
                  <w:caps w:val="false"/>
                  <w:smallCaps w:val="false"/>
                  <w:sz w:val="20"/>
                </w:rPr>
                <w:t>Condensed Consolidated Balance Sheets as of March 31, 2025 and December 31, 2024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pBdr/>
              <w:bidi w:val="0"/>
              <w:spacing w:before="0" w:after="0"/>
              <w:ind w:left="0" w:right="0" w:hanging="0"/>
              <w:jc w:val="left"/>
              <w:rPr/>
            </w:pPr>
            <w:hyperlink w:anchor="CondensedConsolidatedStatementsofLossand">
              <w:r>
                <w:rPr>
                  <w:rStyle w:val="InternetLink"/>
                  <w:rFonts w:ascii="Times New Roman;Times;serif" w:hAnsi="Times New Roman;Times;serif"/>
                  <w:b w:val="false"/>
                  <w:i w:val="false"/>
                  <w:caps w:val="false"/>
                  <w:smallCaps w:val="false"/>
                  <w:sz w:val="20"/>
                </w:rPr>
                <w:t>Condensed Consolidated Statements of Loss and Comprehensive Loss for the three months ended March 31, 2025 and 2024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pBdr/>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Equity for the three months ended March 31, 2025 and 2024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three months ended March 31, 2025 and 2024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a1NatureofOperations_669125">
              <w:r>
                <w:rPr>
                  <w:rStyle w:val="InternetLink"/>
                  <w:rFonts w:ascii="Times New Roman;Times;serif" w:hAnsi="Times New Roman;Times;serif"/>
                  <w:b w:val="false"/>
                  <w:i w:val="false"/>
                  <w:caps w:val="false"/>
                  <w:smallCaps w:val="false"/>
                  <w:sz w:val="20"/>
                </w:rPr>
                <w:t>Notes to Interim Condensed Consolidated Financial Statements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4ControlsandProcedures_279483">
              <w:r>
                <w:rPr>
                  <w:rStyle w:val="InternetLink"/>
                  <w:rFonts w:ascii="Times New Roman;Times;serif" w:hAnsi="Times New Roman;Times;serif"/>
                  <w:b w:val="false"/>
                  <w:i w:val="false"/>
                  <w:caps w:val="false"/>
                  <w:smallCaps w:val="false"/>
                  <w:sz w:val="20"/>
                </w:rPr>
                <w:t>Item 4.</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4ControlsandProcedures_279483">
              <w:r>
                <w:rPr>
                  <w:rStyle w:val="InternetLink"/>
                  <w:rFonts w:ascii="Times New Roman;Times;serif" w:hAnsi="Times New Roman;Times;serif"/>
                  <w:b w:val="false"/>
                  <w:i w:val="false"/>
                  <w:caps w:val="false"/>
                  <w:smallCaps w:val="false"/>
                  <w:sz w:val="20"/>
                </w:rPr>
                <w:t>Controls and Procedures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PARTIIOTHERINFORMATION_322011">
              <w:r>
                <w:rPr>
                  <w:rStyle w:val="InternetLink"/>
                  <w:rFonts w:ascii="Times New Roman;Times;serif" w:hAnsi="Times New Roman;Times;serif"/>
                  <w:b/>
                  <w:i w:val="false"/>
                  <w:caps w:val="false"/>
                  <w:smallCaps w:val="false"/>
                  <w:sz w:val="20"/>
                </w:rPr>
                <w:t>Part II</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PARTIIOTHERINFORMATION_322011">
              <w:r>
                <w:rPr>
                  <w:rStyle w:val="InternetLink"/>
                  <w:rFonts w:ascii="Times New Roman;Times;serif" w:hAnsi="Times New Roman;Times;serif"/>
                  <w:b/>
                  <w:i w:val="false"/>
                  <w:caps w:val="false"/>
                  <w:smallCaps w:val="false"/>
                  <w:sz w:val="20"/>
                </w:rPr>
                <w:t>Other Information</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LEGALPROCEEDINGS_208283">
              <w:r>
                <w:rPr>
                  <w:rStyle w:val="InternetLink"/>
                  <w:rFonts w:ascii="Times New Roman;Times;serif" w:hAnsi="Times New Roman;Times;serif"/>
                  <w:b w:val="false"/>
                  <w:i w:val="false"/>
                  <w:caps w:val="false"/>
                  <w:smallCaps w:val="false"/>
                  <w:sz w:val="20"/>
                </w:rPr>
                <w:t>Item 1.</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1LEGALPROCEEDINGS_208283">
              <w:r>
                <w:rPr>
                  <w:rStyle w:val="InternetLink"/>
                  <w:rFonts w:ascii="Times New Roman;Times;serif" w:hAnsi="Times New Roman;Times;serif"/>
                  <w:b w:val="false"/>
                  <w:i w:val="false"/>
                  <w:caps w:val="false"/>
                  <w:smallCaps w:val="false"/>
                  <w:sz w:val="20"/>
                </w:rPr>
                <w:t>Legal Proceedings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ARISKFACTORS_765069">
              <w:r>
                <w:rPr>
                  <w:rStyle w:val="InternetLink"/>
                  <w:rFonts w:ascii="Times New Roman;Times;serif" w:hAnsi="Times New Roman;Times;serif"/>
                  <w:b w:val="false"/>
                  <w:i w:val="false"/>
                  <w:caps w:val="false"/>
                  <w:smallCaps w:val="false"/>
                  <w:sz w:val="20"/>
                </w:rPr>
                <w:t>Item 1A.</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1ARISKFACTORS_765069">
              <w:r>
                <w:rPr>
                  <w:rStyle w:val="InternetLink"/>
                  <w:rFonts w:ascii="Times New Roman;Times;serif" w:hAnsi="Times New Roman;Times;serif"/>
                  <w:b w:val="false"/>
                  <w:i w:val="false"/>
                  <w:caps w:val="false"/>
                  <w:smallCaps w:val="false"/>
                  <w:sz w:val="20"/>
                </w:rPr>
                <w:t>Risk Factors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3DEFAULTSUPONSENIORSECURITIES_440018">
              <w:r>
                <w:rPr>
                  <w:rStyle w:val="InternetLink"/>
                  <w:rFonts w:ascii="Times New Roman;Times;serif" w:hAnsi="Times New Roman;Times;serif"/>
                  <w:b w:val="false"/>
                  <w:i w:val="false"/>
                  <w:caps w:val="false"/>
                  <w:smallCaps w:val="false"/>
                  <w:sz w:val="20"/>
                </w:rPr>
                <w:t>Item 3.</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3DEFAULTSUPONSENIORSECURITIES_440018">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4MINESAFETYDISCLOSURES_620629">
              <w:r>
                <w:rPr>
                  <w:rStyle w:val="InternetLink"/>
                  <w:rFonts w:ascii="Times New Roman;Times;serif" w:hAnsi="Times New Roman;Times;serif"/>
                  <w:b w:val="false"/>
                  <w:i w:val="false"/>
                  <w:caps w:val="false"/>
                  <w:smallCaps w:val="false"/>
                  <w:sz w:val="20"/>
                </w:rPr>
                <w:t>Item 4.</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4MINESAFETYDISCLOSURES_620629">
              <w:r>
                <w:rPr>
                  <w:rStyle w:val="InternetLink"/>
                  <w:rFonts w:ascii="Times New Roman;Times;serif" w:hAnsi="Times New Roman;Times;serif"/>
                  <w:b w:val="false"/>
                  <w:i w:val="false"/>
                  <w:caps w:val="false"/>
                  <w:smallCaps w:val="false"/>
                  <w:sz w:val="20"/>
                </w:rPr>
                <w:t>Mine Safety Disclosures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5OTHERINFORMATION_798310">
              <w:r>
                <w:rPr>
                  <w:rStyle w:val="InternetLink"/>
                  <w:rFonts w:ascii="Times New Roman;Times;serif" w:hAnsi="Times New Roman;Times;serif"/>
                  <w:b w:val="false"/>
                  <w:i w:val="false"/>
                  <w:caps w:val="false"/>
                  <w:smallCaps w:val="false"/>
                  <w:sz w:val="20"/>
                </w:rPr>
                <w:t>Item 5.</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5OTHERINFORMATION_798310">
              <w:r>
                <w:rPr>
                  <w:rStyle w:val="InternetLink"/>
                  <w:rFonts w:ascii="Times New Roman;Times;serif" w:hAnsi="Times New Roman;Times;serif"/>
                  <w:b w:val="false"/>
                  <w:i w:val="false"/>
                  <w:caps w:val="false"/>
                  <w:smallCaps w:val="false"/>
                  <w:sz w:val="20"/>
                </w:rPr>
                <w:t>Other Information</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_6_EXHIBITS">
              <w:r>
                <w:rPr>
                  <w:rStyle w:val="InternetLink"/>
                  <w:rFonts w:ascii="Times New Roman;Times;serif" w:hAnsi="Times New Roman;Times;serif"/>
                  <w:b w:val="false"/>
                  <w:i w:val="false"/>
                  <w:caps w:val="false"/>
                  <w:smallCaps w:val="false"/>
                  <w:sz w:val="20"/>
                </w:rPr>
                <w:t>Item 6.</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_6_EXHIBITS">
              <w:r>
                <w:rPr>
                  <w:rStyle w:val="InternetLink"/>
                  <w:rFonts w:ascii="Times New Roman;Times;serif" w:hAnsi="Times New Roman;Times;serif"/>
                  <w:b w:val="false"/>
                  <w:i w:val="false"/>
                  <w:caps w:val="false"/>
                  <w:smallCaps w:val="false"/>
                  <w:sz w:val="20"/>
                </w:rPr>
                <w:t>Exhibits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SkippedRange_90101">
              <w:r>
                <w:rPr>
                  <w:rStyle w:val="InternetLink"/>
                  <w:rFonts w:ascii="Times New Roman;Times;serif" w:hAnsi="Times New Roman;Times;serif"/>
                  <w:b w:val="false"/>
                  <w:i w:val="false"/>
                  <w:caps w:val="false"/>
                  <w:smallCaps w:val="false"/>
                  <w:sz w:val="20"/>
                </w:rPr>
                <w:t>Signatures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48" w:name="_74c95bc9_03eb_4d8b_82b6_04d76c229ba8"/>
      <w:bookmarkEnd w:id="48"/>
      <w:r>
        <w:rPr>
          <w:rFonts w:ascii="Times New Roman;Times;serif" w:hAnsi="Times New Roman;Times;serif"/>
          <w:sz w:val="20"/>
        </w:rPr>
        <w:t>In this Quarterly Report on Form 10-Q, the terms “we,” “us,” “our,” the “Company” and “TMC” mean TMC the metals company Inc. and our subsidiaries. TMC is incorporated under the laws of the province of British Columbia, Canada. The Company’s common shares and public warrants to purchase common shares trade on the Nasdaq Global Select Market (“Nasdaq”), under the symbols “TMC” and “TMCWW,” respectively.</w:t>
      </w:r>
    </w:p>
    <w:p>
      <w:pPr>
        <w:pStyle w:val="TextBody"/>
        <w:bidi w:val="0"/>
        <w:spacing w:before="0" w:after="240"/>
        <w:ind w:left="0" w:right="0" w:hanging="0"/>
        <w:jc w:val="center"/>
        <w:rPr>
          <w:rFonts w:ascii="Times New Roman;Times;serif" w:hAnsi="Times New Roman;Times;serif"/>
          <w:b/>
          <w:sz w:val="20"/>
        </w:rPr>
      </w:pPr>
      <w:bookmarkStart w:id="49" w:name="CAUTIONARYNOTEREGARDINGFORWARDLOOKINGSTA"/>
      <w:bookmarkEnd w:id="49"/>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and technical feasibility of seafloor polymetallic nodule collection and processing;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partners’ development and operational plans, including with respect to the planned uses of polymetallic nodules, where and how nodules will be obtained and processed, the expected environmental, social and governance (“ESG”) impacts thereof and our plans to assess these impacts and the timing and scope of these plans, including the timing and expectations with respect to our receipt of exploitation contracts and our commercialization plans;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and demand for nickel and cobalt (including critical metals and battery cathode feedstocks), steel-making feedstocks, copper and manganese ores;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prices of nickel and cobalt (including critical metals and battery cathode feedstocks), steel-making feedstocks, copper and manganese ores;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content of the final exploitation regulations of the International Seabed Authority’s (“ISA”) that will create the legal and technical framework for exploitation of polymetallic nodules in the Clarion Clipperton Zone of the Pacific Ocean (“CCZ”) under the United Nations Convention on the Law of the Sea (“UNCLOS”);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exploration license and commercial recovery permit application review by the National Oceanographic and Atmospheric Administration (“NOAA”) of the United States under the Deep Seabed Hard Mineral Resources Act of 1980 (“DSHMRA”);</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 of mineral extraction from the deep seafloor and changes in mining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operational, environmental, social and governance risks of developing and deploying equipment to collect and ship polymetallic nodules at sea, and to process such nodules on land;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and timing of potential revenue as well as the timing and amount of estimated future production, costs of production, other expenses, capital expenditures and requirements for additional capital;</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provided by operating activities;</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activities of our partners under our key strategic relationships;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on hand to meet our working capital and capital expenditure requirements, the need for additional financing and our ability to continue as a going concern;</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financing in the future, the nature of any such financing and our plans with respect thereto;</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to which we are a party;</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limitations on insurance coverage;</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mitigate our material weakness in our internal control over financial reporting;</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metallurgical and geotechnical studies and opinions;</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estimates and our ability to define and declare reserve estimates;</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an emerging growth company, non-reporting Canadian issuer and passive foreign investment company;</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financial performance.</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2024 as filed with the Securities and Exchange Commission (“SEC”), on March 20, 2025 (“2024 Annual Report on Form 10-K”).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0" w:name="PARTIFINANCIALINFORMATION_598400"/>
      <w:bookmarkStart w:id="51" w:name="_d7abd839_68a1_4f92_af18_aa0f9d4d7c64"/>
      <w:bookmarkStart w:id="52" w:name="FinancialStatements_913138"/>
      <w:bookmarkEnd w:id="50"/>
      <w:bookmarkEnd w:id="51"/>
      <w:bookmarkEnd w:id="52"/>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sz w:val="20"/>
        </w:rPr>
      </w:pPr>
      <w:bookmarkStart w:id="53" w:name="Item1FinancialStatements_168789"/>
      <w:bookmarkEnd w:id="53"/>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54" w:name="CondensedConsolidatedBalanceSheets_49440"/>
      <w:bookmarkEnd w:id="54"/>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5" w:name="Tc_jxvg_gGf20uZ4hRKIJjHZA_39_7"/>
      <w:bookmarkStart w:id="56" w:name="Tc_WGV1veogMEetnkeuw4poyA_39_4"/>
      <w:bookmarkStart w:id="57" w:name="Tc_dQdaWRzEaEOGf3QHznPNIQ_39_0"/>
      <w:bookmarkStart w:id="58" w:name="Tc_dwE9hYI9H0CyPr5ZrALabQ_37_0"/>
      <w:bookmarkStart w:id="59" w:name="Tc_Xkm2xdTLSkqYNHKAhG3e5Q_36_0"/>
      <w:bookmarkStart w:id="60" w:name="Tc_r2hlMkybWUWNzHRT-32qwQ_35_0"/>
      <w:bookmarkStart w:id="61" w:name="Tc_dFlGCrvD30OWFaqU965fKw_34_0"/>
      <w:bookmarkStart w:id="62" w:name="Tc_0eivYp1XcUWaMli9dq_UAg_33_8"/>
      <w:bookmarkStart w:id="63" w:name="Tc_OBOU6KiHG0iG1cb--rgiHg_33_5"/>
      <w:bookmarkStart w:id="64" w:name="Tc_MUXgG2qQJEKZDu_5Hqv9bw_33_0"/>
      <w:bookmarkStart w:id="65" w:name="Tc_gLeuFNSbwUeHquxCBYpqhA_32_0"/>
      <w:bookmarkStart w:id="66" w:name="Tc_qBZDHls5IkGKWhXMbMNnuQ_31_0"/>
      <w:bookmarkStart w:id="67" w:name="Tc_S38VWBdspkeUAzx6ifbUsQ_29_7"/>
      <w:bookmarkStart w:id="68" w:name="Tc_HNjtz3xZhUCXKIdR1s0VIQ_29_4"/>
      <w:bookmarkStart w:id="69" w:name="Tc_PlRigNQ3jUOgrtzR3MhAgw_29_0"/>
      <w:bookmarkStart w:id="70" w:name="Tc_Gc1knq47AU2HSw37DMROwQ_26_2"/>
      <w:bookmarkStart w:id="71" w:name="Tc_CQu4M2q1tECDs_9aSbBAXw_26_0"/>
      <w:bookmarkStart w:id="72" w:name="Tc_hG662XmTQk681iqy03oSvw_25_2"/>
      <w:bookmarkStart w:id="73" w:name="Tc_nMruPYmdWUOUVkq73yOY-w_25_0"/>
      <w:bookmarkStart w:id="74" w:name="Tc_BkQV9W4cCk2E77B6hOtwXw_24_0"/>
      <w:bookmarkStart w:id="75" w:name="Tc_cIsUWbhmLUK1TR6AxQ3eNQ_23_0"/>
      <w:bookmarkStart w:id="76" w:name="Tc_JuE3rjR81UqlkRYv9-KN9g_21_2"/>
      <w:bookmarkStart w:id="77" w:name="Tc_GKT1hJmw4EeEH4N4MFToEg_21_0"/>
      <w:bookmarkStart w:id="78" w:name="Tc_3ZIOcIqBH0Cirr5CWsNhgQ_20_2"/>
      <w:bookmarkStart w:id="79" w:name="Tc_dZg3UmjLakiIsALRLJ7B5A_20_0"/>
      <w:bookmarkStart w:id="80" w:name="Tc_xcEsPTnIOUini9B_ObvO6Q_19_0"/>
      <w:bookmarkStart w:id="81" w:name="Tc_EMH5TmaHmUWofcRQM86rGg_18_0"/>
      <w:bookmarkStart w:id="82" w:name="Tc_uHEwd_McYkmzzumrdd9KrA_16_7"/>
      <w:bookmarkStart w:id="83" w:name="Tc_JpMvvVdM60ujWCFIrpXnbg_16_4"/>
      <w:bookmarkStart w:id="84" w:name="Tc_ODrzPQt2_0qNfcnTMiFlKw_16_0"/>
      <w:bookmarkStart w:id="85" w:name="Tc_RmQ6FKDbyk6_l6IdXok3eQ_13_2"/>
      <w:bookmarkStart w:id="86" w:name="Tc_KXxnusA-gUuhQwaoDHj-Hw_13_0"/>
      <w:bookmarkStart w:id="87" w:name="Tc_InVdBHxsRUKe7y2M04ryzg_12_2"/>
      <w:bookmarkStart w:id="88" w:name="Tc_SK9AEIA89kWOo53Kk49VBQ_12_0"/>
      <w:bookmarkStart w:id="89" w:name="Tc_eHFNN61_30i3-j0v_5v7Uw_11_0"/>
      <w:bookmarkStart w:id="90" w:name="Tc_FWIqQJQ6PUCA73FNEg0AAA_10_0"/>
      <w:bookmarkStart w:id="91" w:name="Tc_Z2afJnQehEmSNLMqH9TNag_9_0"/>
      <w:bookmarkStart w:id="92" w:name="Tc_e7FVS-29ZUiNBTuma7de8Q_8_0"/>
      <w:bookmarkStart w:id="93" w:name="Tc_E0O2SY2Um0aXfStfDYjTUg_6_0"/>
      <w:bookmarkStart w:id="94" w:name="Tc_2FBw9qV5zUWL6dS8R_31bA_5_7"/>
      <w:bookmarkStart w:id="95" w:name="Tc_UiFvxUEZLkyd6PEq1A45aw_5_4"/>
      <w:bookmarkStart w:id="96" w:name="Tc_2RTLqKq0Bki_Inzj58OOQQ_5_0"/>
      <w:bookmarkStart w:id="97" w:name="Tc_KsFq3YB0GkCY92dGcxb4ng_4_0"/>
      <w:bookmarkStart w:id="98" w:name="Tc_qAxvRrAkLkmki5mf0GQlYw_3_7"/>
      <w:bookmarkStart w:id="99" w:name="Tc_uT5cfV28FkO-pjHtT_BVHw_3_4"/>
      <w:bookmarkStart w:id="100" w:name="Tc_ZzoCbh8aFk2djs5MR3qxfQ_3_2"/>
      <w:bookmarkStart w:id="101" w:name="Tc_QH-vNnBL-kmlJGX8mWQQ7g_3_0"/>
      <w:bookmarkStart w:id="102" w:name="Tc_BpoqeZpUWk2yr48_rDE2AQ_2_7"/>
      <w:bookmarkStart w:id="103" w:name="Tc_S1xwa5IXNUu9qMekpfr2aA_2_4"/>
      <w:bookmarkStart w:id="104" w:name="Tc_mCGWrfL8Ok-vvjfTfS_cTA_1_7"/>
      <w:bookmarkStart w:id="105" w:name="Tc_KFkkArWswESNpr1QeVj5JA_1_4"/>
      <w:bookmarkStart w:id="106" w:name="_00ac2f38_1b33_436c_bec1_a19593469e83"/>
      <w:bookmarkStart w:id="107" w:name="Tc_jxvg_gGf20uZ4hRKIJjHZA_39_7"/>
      <w:bookmarkStart w:id="108" w:name="Tc_WGV1veogMEetnkeuw4poyA_39_4"/>
      <w:bookmarkStart w:id="109" w:name="Tc_dQdaWRzEaEOGf3QHznPNIQ_39_0"/>
      <w:bookmarkStart w:id="110" w:name="Tc_dwE9hYI9H0CyPr5ZrALabQ_37_0"/>
      <w:bookmarkStart w:id="111" w:name="Tc_Xkm2xdTLSkqYNHKAhG3e5Q_36_0"/>
      <w:bookmarkStart w:id="112" w:name="Tc_r2hlMkybWUWNzHRT-32qwQ_35_0"/>
      <w:bookmarkStart w:id="113" w:name="Tc_dFlGCrvD30OWFaqU965fKw_34_0"/>
      <w:bookmarkStart w:id="114" w:name="Tc_0eivYp1XcUWaMli9dq_UAg_33_8"/>
      <w:bookmarkStart w:id="115" w:name="Tc_OBOU6KiHG0iG1cb--rgiHg_33_5"/>
      <w:bookmarkStart w:id="116" w:name="Tc_MUXgG2qQJEKZDu_5Hqv9bw_33_0"/>
      <w:bookmarkStart w:id="117" w:name="Tc_gLeuFNSbwUeHquxCBYpqhA_32_0"/>
      <w:bookmarkStart w:id="118" w:name="Tc_qBZDHls5IkGKWhXMbMNnuQ_31_0"/>
      <w:bookmarkStart w:id="119" w:name="Tc_S38VWBdspkeUAzx6ifbUsQ_29_7"/>
      <w:bookmarkStart w:id="120" w:name="Tc_HNjtz3xZhUCXKIdR1s0VIQ_29_4"/>
      <w:bookmarkStart w:id="121" w:name="Tc_PlRigNQ3jUOgrtzR3MhAgw_29_0"/>
      <w:bookmarkStart w:id="122" w:name="Tc_Gc1knq47AU2HSw37DMROwQ_26_2"/>
      <w:bookmarkStart w:id="123" w:name="Tc_CQu4M2q1tECDs_9aSbBAXw_26_0"/>
      <w:bookmarkStart w:id="124" w:name="Tc_hG662XmTQk681iqy03oSvw_25_2"/>
      <w:bookmarkStart w:id="125" w:name="Tc_nMruPYmdWUOUVkq73yOY-w_25_0"/>
      <w:bookmarkStart w:id="126" w:name="Tc_BkQV9W4cCk2E77B6hOtwXw_24_0"/>
      <w:bookmarkStart w:id="127" w:name="Tc_cIsUWbhmLUK1TR6AxQ3eNQ_23_0"/>
      <w:bookmarkStart w:id="128" w:name="Tc_JuE3rjR81UqlkRYv9-KN9g_21_2"/>
      <w:bookmarkStart w:id="129" w:name="Tc_GKT1hJmw4EeEH4N4MFToEg_21_0"/>
      <w:bookmarkStart w:id="130" w:name="Tc_3ZIOcIqBH0Cirr5CWsNhgQ_20_2"/>
      <w:bookmarkStart w:id="131" w:name="Tc_dZg3UmjLakiIsALRLJ7B5A_20_0"/>
      <w:bookmarkStart w:id="132" w:name="Tc_xcEsPTnIOUini9B_ObvO6Q_19_0"/>
      <w:bookmarkStart w:id="133" w:name="Tc_EMH5TmaHmUWofcRQM86rGg_18_0"/>
      <w:bookmarkStart w:id="134" w:name="Tc_uHEwd_McYkmzzumrdd9KrA_16_7"/>
      <w:bookmarkStart w:id="135" w:name="Tc_JpMvvVdM60ujWCFIrpXnbg_16_4"/>
      <w:bookmarkStart w:id="136" w:name="Tc_ODrzPQt2_0qNfcnTMiFlKw_16_0"/>
      <w:bookmarkStart w:id="137" w:name="Tc_RmQ6FKDbyk6_l6IdXok3eQ_13_2"/>
      <w:bookmarkStart w:id="138" w:name="Tc_KXxnusA-gUuhQwaoDHj-Hw_13_0"/>
      <w:bookmarkStart w:id="139" w:name="Tc_InVdBHxsRUKe7y2M04ryzg_12_2"/>
      <w:bookmarkStart w:id="140" w:name="Tc_SK9AEIA89kWOo53Kk49VBQ_12_0"/>
      <w:bookmarkStart w:id="141" w:name="Tc_eHFNN61_30i3-j0v_5v7Uw_11_0"/>
      <w:bookmarkStart w:id="142" w:name="Tc_FWIqQJQ6PUCA73FNEg0AAA_10_0"/>
      <w:bookmarkStart w:id="143" w:name="Tc_Z2afJnQehEmSNLMqH9TNag_9_0"/>
      <w:bookmarkStart w:id="144" w:name="Tc_e7FVS-29ZUiNBTuma7de8Q_8_0"/>
      <w:bookmarkStart w:id="145" w:name="Tc_E0O2SY2Um0aXfStfDYjTUg_6_0"/>
      <w:bookmarkStart w:id="146" w:name="Tc_2FBw9qV5zUWL6dS8R_31bA_5_7"/>
      <w:bookmarkStart w:id="147" w:name="Tc_UiFvxUEZLkyd6PEq1A45aw_5_4"/>
      <w:bookmarkStart w:id="148" w:name="Tc_2RTLqKq0Bki_Inzj58OOQQ_5_0"/>
      <w:bookmarkStart w:id="149" w:name="Tc_KsFq3YB0GkCY92dGcxb4ng_4_0"/>
      <w:bookmarkStart w:id="150" w:name="Tc_qAxvRrAkLkmki5mf0GQlYw_3_7"/>
      <w:bookmarkStart w:id="151" w:name="Tc_uT5cfV28FkO-pjHtT_BVHw_3_4"/>
      <w:bookmarkStart w:id="152" w:name="Tc_ZzoCbh8aFk2djs5MR3qxfQ_3_2"/>
      <w:bookmarkStart w:id="153" w:name="Tc_QH-vNnBL-kmlJGX8mWQQ7g_3_0"/>
      <w:bookmarkStart w:id="154" w:name="Tc_BpoqeZpUWk2yr48_rDE2AQ_2_7"/>
      <w:bookmarkStart w:id="155" w:name="Tc_S1xwa5IXNUu9qMekpfr2aA_2_4"/>
      <w:bookmarkStart w:id="156" w:name="Tc_mCGWrfL8Ok-vvjfTfS_cTA_1_7"/>
      <w:bookmarkStart w:id="157" w:name="Tc_KFkkArWswESNpr1QeVj5JA_1_4"/>
      <w:bookmarkStart w:id="158" w:name="_00ac2f38_1b33_436c_bec1_a19593469e83"/>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W w:w="10205" w:type="dxa"/>
        <w:jc w:val="left"/>
        <w:tblInd w:w="0" w:type="dxa"/>
        <w:tblLayout w:type="fixed"/>
        <w:tblCellMar>
          <w:top w:w="0" w:type="dxa"/>
          <w:left w:w="0" w:type="dxa"/>
          <w:bottom w:w="0" w:type="dxa"/>
          <w:right w:w="0" w:type="dxa"/>
        </w:tblCellMar>
      </w:tblPr>
      <w:tblGrid>
        <w:gridCol w:w="6512"/>
        <w:gridCol w:w="326"/>
        <w:gridCol w:w="466"/>
        <w:gridCol w:w="326"/>
        <w:gridCol w:w="211"/>
        <w:gridCol w:w="881"/>
        <w:gridCol w:w="326"/>
        <w:gridCol w:w="214"/>
        <w:gridCol w:w="943"/>
      </w:tblGrid>
      <w:tr>
        <w:trPr/>
        <w:tc>
          <w:tcPr>
            <w:tcW w:w="6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135120" cy="175260"/>
                      <wp:effectExtent l="0" t="0" r="0" b="0"/>
                      <wp:wrapNone/>
                      <wp:docPr id="16" name="Frame16"/>
                      <a:graphic xmlns:a="http://schemas.openxmlformats.org/drawingml/2006/main">
                        <a:graphicData uri="http://schemas.microsoft.com/office/word/2010/wordprocessingShape">
                          <wps:wsp>
                            <wps:cNvSpPr txBox="1"/>
                            <wps:spPr>
                              <a:xfrm>
                                <a:off x="0" y="0"/>
                                <a:ext cx="413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95910" cy="175260"/>
                      <wp:effectExtent l="0" t="0" r="0" b="0"/>
                      <wp:wrapNone/>
                      <wp:docPr id="18" name="Frame1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59435" cy="175260"/>
                      <wp:effectExtent l="0" t="0" r="0" b="0"/>
                      <wp:wrapNone/>
                      <wp:docPr id="21" name="Frame2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5890" cy="175260"/>
                      <wp:effectExtent l="0" t="0" r="0" b="0"/>
                      <wp:wrapNone/>
                      <wp:docPr id="23" name="Frame2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98805" cy="175260"/>
                      <wp:effectExtent l="0" t="0" r="0" b="0"/>
                      <wp:wrapNone/>
                      <wp:docPr id="24" name="Frame24"/>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c>
          <w:tcPr>
            <w:tcW w:w="326"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r>
      <w:tr>
        <w:trPr/>
        <w:tc>
          <w:tcPr>
            <w:tcW w:w="65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9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6512"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center"/>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  </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2,346</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3,480</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r>
      <w:tr>
        <w:trPr/>
        <w:tc>
          <w:tcPr>
            <w:tcW w:w="65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7,358</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5,331</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assets</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42,951</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42,951</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development costs</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8,168</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8,203</w:t>
            </w:r>
          </w:p>
        </w:tc>
      </w:tr>
      <w:tr>
        <w:trPr/>
        <w:tc>
          <w:tcPr>
            <w:tcW w:w="651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57,127</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57,667</w:t>
            </w:r>
          </w:p>
        </w:tc>
      </w:tr>
      <w:tr>
        <w:trPr/>
        <w:tc>
          <w:tcPr>
            <w:tcW w:w="65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64,485</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62,998</w:t>
            </w:r>
          </w:p>
        </w:tc>
      </w:tr>
      <w:tr>
        <w:trPr/>
        <w:tc>
          <w:tcPr>
            <w:tcW w:w="65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45,245</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42,754</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6,15</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9,978</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11,775</w:t>
            </w:r>
          </w:p>
        </w:tc>
      </w:tr>
      <w:tr>
        <w:trPr/>
        <w:tc>
          <w:tcPr>
            <w:tcW w:w="651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55,223</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54,529</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liability</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65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26,028</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25,587</w:t>
            </w:r>
          </w:p>
        </w:tc>
      </w:tr>
      <w:tr>
        <w:trPr/>
        <w:tc>
          <w:tcPr>
            <w:tcW w:w="651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81,251</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80,116</w:t>
            </w:r>
          </w:p>
        </w:tc>
      </w:tr>
      <w:tr>
        <w:trPr/>
        <w:tc>
          <w:tcPr>
            <w:tcW w:w="651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Common shares (unlimited shares, no</w:t>
            </w:r>
            <w:r>
              <w:rPr>
                <w:rFonts w:ascii="Times New Roman;Times;serif" w:hAnsi="Times New Roman;Times;serif"/>
                <w:sz w:val="20"/>
              </w:rPr>
              <w:t xml:space="preserve"> </w:t>
            </w:r>
            <w:r>
              <w:rPr>
                <w:rFonts w:ascii="Times New Roman;Times;serif" w:hAnsi="Times New Roman;Times;serif"/>
                <w:i/>
                <w:sz w:val="20"/>
              </w:rPr>
              <w:t>par value – issued: 356,617,022</w:t>
            </w:r>
            <w:r>
              <w:rPr>
                <w:rFonts w:ascii="Times New Roman;Times;serif" w:hAnsi="Times New Roman;Times;serif"/>
                <w:sz w:val="20"/>
              </w:rPr>
              <w:t xml:space="preserve"> </w:t>
            </w:r>
            <w:r>
              <w:rPr>
                <w:rFonts w:ascii="Times New Roman;Times;serif" w:hAnsi="Times New Roman;Times;serif"/>
                <w:i/>
                <w:sz w:val="20"/>
              </w:rPr>
              <w:t>(December 31, 2024 – 340,708,460))</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495,804</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477,217</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Special Shares</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140,656</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138,303</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r>
      <w:tr>
        <w:trPr/>
        <w:tc>
          <w:tcPr>
            <w:tcW w:w="65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Deficit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(652,023)</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(631,435)</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(16,766)</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(17,118)</w:t>
            </w:r>
          </w:p>
        </w:tc>
      </w:tr>
      <w:tr>
        <w:trPr/>
        <w:tc>
          <w:tcPr>
            <w:tcW w:w="651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51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64,485</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3"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62,998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Nature of Operations </w:t>
      </w:r>
      <w:r>
        <w:rPr>
          <w:rFonts w:ascii="Times New Roman;Times;serif" w:hAnsi="Times New Roman;Times;serif"/>
          <w:i/>
          <w:sz w:val="20"/>
        </w:rPr>
        <w:t>(Note 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Contingent Liabilities </w:t>
      </w:r>
      <w:r>
        <w:rPr>
          <w:rFonts w:ascii="Times New Roman;Times;serif" w:hAnsi="Times New Roman;Times;serif"/>
          <w:i/>
          <w:sz w:val="20"/>
        </w:rPr>
        <w:t>(Note 16)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Subsequent Event</w:t>
      </w:r>
      <w:r>
        <w:rPr>
          <w:rFonts w:ascii="Times New Roman;Times;serif" w:hAnsi="Times New Roman;Times;serif"/>
          <w:sz w:val="20"/>
        </w:rPr>
        <w:t xml:space="preserve"> </w:t>
      </w:r>
      <w:r>
        <w:rPr>
          <w:rFonts w:ascii="Times New Roman;Times;serif" w:hAnsi="Times New Roman;Times;serif"/>
          <w:i/>
          <w:sz w:val="20"/>
        </w:rPr>
        <w:t>(Note 19)</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9" w:name="_28e3b8bf_385f_42cc_99bb_1aefda4ee878"/>
      <w:bookmarkEnd w:id="159"/>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160" w:name="CondensedConsolidatedStatementsofLossand"/>
      <w:bookmarkEnd w:id="160"/>
      <w:r>
        <w:rPr>
          <w:rFonts w:ascii="Times New Roman;Times;serif" w:hAnsi="Times New Roman;Times;serif"/>
          <w:b/>
          <w:sz w:val="20"/>
        </w:rPr>
        <w:t>Condensed Consolidated Statements of Loss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61" w:name="Tc_TMrXvuW2bkuUNu9AmSXU3Q_21_0"/>
      <w:bookmarkStart w:id="162" w:name="Tc_T7nrO7cGwUaXmobHIOdZdQ_19_7"/>
      <w:bookmarkStart w:id="163" w:name="Tc_3iouawrSI0ebxLwo8LE5ew_19_4"/>
      <w:bookmarkStart w:id="164" w:name="Tc_GW976rT-eEa0rZVx_n7VCA_19_0"/>
      <w:bookmarkStart w:id="165" w:name="Tc_U0zrHlUFFkGEZz2cgQ3ccg_18_0"/>
      <w:bookmarkStart w:id="166" w:name="Tc_RuOJiTwNrk-8H9j79gBAUQ_16_7"/>
      <w:bookmarkStart w:id="167" w:name="Tc_nbIrUrtPv0ev5OBTHEfxfA_16_4"/>
      <w:bookmarkStart w:id="168" w:name="Tc_-kjB-UhYnUuNPnU6RNV3ow_16_0"/>
      <w:bookmarkStart w:id="169" w:name="Tc_MY9kb74qx02Qr4Tq0nhKKA_14_2"/>
      <w:bookmarkStart w:id="170" w:name="Tc_ewEjWBp-mUiAtcA_nehJrw_14_0"/>
      <w:bookmarkStart w:id="171" w:name="Tc_JL-QiB3FyEm4CZHSj66WHw_13_0"/>
      <w:bookmarkStart w:id="172" w:name="Tc_fM-r1ZWCIkWrvCsKbZBhMg_12_0"/>
      <w:bookmarkStart w:id="173" w:name="Tc_mSNti7mWFECfRXDeoPfH8w_11_2"/>
      <w:bookmarkStart w:id="174" w:name="Tc_scAzIFLvK0KkJwomTgu0ag_11_0"/>
      <w:bookmarkStart w:id="175" w:name="Tc_V-Ydd2UASEyZ1igM2gV0XQ_10_2"/>
      <w:bookmarkStart w:id="176" w:name="Tc_bgxXSe4jakKFVRa9B0o6cQ_10_0"/>
      <w:bookmarkStart w:id="177" w:name="Tc_cUAy-rcB90ezL4U6-UdEtg_9_0"/>
      <w:bookmarkStart w:id="178" w:name="Tc_q6EL9MbNmEqXCSTqbECvnw_7_0"/>
      <w:bookmarkStart w:id="179" w:name="Tc_iUoXqsfC90ejxnojGdPsFA_6_0"/>
      <w:bookmarkStart w:id="180" w:name="Tc_AcVs63QvZ0Cjf9J00P97Rg_5_7"/>
      <w:bookmarkStart w:id="181" w:name="Tc_YDsASOqZ90WxVyyA7dX6HA_5_4"/>
      <w:bookmarkStart w:id="182" w:name="Tc_xY8MS455eEGqYEbHlpeviA_5_2"/>
      <w:bookmarkStart w:id="183" w:name="Tc_BcUpldxjUEOe-Ka9S1e2yQ_5_0"/>
      <w:bookmarkStart w:id="184" w:name="Tc_td0I1j3X-kSTFkGxOf0lRw_4_0"/>
      <w:bookmarkStart w:id="185" w:name="Tc_iWaVrmcGvkyXjD4E2X6XGw_3_7"/>
      <w:bookmarkStart w:id="186" w:name="Tc_yvhrlKnDqkihyGZ7JSHqnQ_3_4"/>
      <w:bookmarkStart w:id="187" w:name="Tc_s4A52qshLEerBKPbspGqyQ_3_2"/>
      <w:bookmarkStart w:id="188" w:name="Tc_RJjnEAtiCk6tJ5up_uZo4w_2_7"/>
      <w:bookmarkStart w:id="189" w:name="Tc_Q0SsbQAblEOcP3mZq28Bcg_2_4"/>
      <w:bookmarkStart w:id="190" w:name="Tc_GNLCDJbSCkeFeN0RFgUPeQ_1_7"/>
      <w:bookmarkStart w:id="191" w:name="Tc__GVqTPe8x0G4UX4cEhOKCA_1_4"/>
      <w:bookmarkStart w:id="192" w:name="_3c378384_f80d_45b6_817c_5d7d2d2c0dc6"/>
      <w:bookmarkStart w:id="193" w:name="_83638f38_b21e_43d4_8831_7e9dd46db38b"/>
      <w:bookmarkStart w:id="194" w:name="Tc_TMrXvuW2bkuUNu9AmSXU3Q_21_0"/>
      <w:bookmarkStart w:id="195" w:name="Tc_T7nrO7cGwUaXmobHIOdZdQ_19_7"/>
      <w:bookmarkStart w:id="196" w:name="Tc_3iouawrSI0ebxLwo8LE5ew_19_4"/>
      <w:bookmarkStart w:id="197" w:name="Tc_GW976rT-eEa0rZVx_n7VCA_19_0"/>
      <w:bookmarkStart w:id="198" w:name="Tc_U0zrHlUFFkGEZz2cgQ3ccg_18_0"/>
      <w:bookmarkStart w:id="199" w:name="Tc_RuOJiTwNrk-8H9j79gBAUQ_16_7"/>
      <w:bookmarkStart w:id="200" w:name="Tc_nbIrUrtPv0ev5OBTHEfxfA_16_4"/>
      <w:bookmarkStart w:id="201" w:name="Tc_-kjB-UhYnUuNPnU6RNV3ow_16_0"/>
      <w:bookmarkStart w:id="202" w:name="Tc_MY9kb74qx02Qr4Tq0nhKKA_14_2"/>
      <w:bookmarkStart w:id="203" w:name="Tc_ewEjWBp-mUiAtcA_nehJrw_14_0"/>
      <w:bookmarkStart w:id="204" w:name="Tc_JL-QiB3FyEm4CZHSj66WHw_13_0"/>
      <w:bookmarkStart w:id="205" w:name="Tc_fM-r1ZWCIkWrvCsKbZBhMg_12_0"/>
      <w:bookmarkStart w:id="206" w:name="Tc_mSNti7mWFECfRXDeoPfH8w_11_2"/>
      <w:bookmarkStart w:id="207" w:name="Tc_scAzIFLvK0KkJwomTgu0ag_11_0"/>
      <w:bookmarkStart w:id="208" w:name="Tc_V-Ydd2UASEyZ1igM2gV0XQ_10_2"/>
      <w:bookmarkStart w:id="209" w:name="Tc_bgxXSe4jakKFVRa9B0o6cQ_10_0"/>
      <w:bookmarkStart w:id="210" w:name="Tc_cUAy-rcB90ezL4U6-UdEtg_9_0"/>
      <w:bookmarkStart w:id="211" w:name="Tc_q6EL9MbNmEqXCSTqbECvnw_7_0"/>
      <w:bookmarkStart w:id="212" w:name="Tc_iUoXqsfC90ejxnojGdPsFA_6_0"/>
      <w:bookmarkStart w:id="213" w:name="Tc_AcVs63QvZ0Cjf9J00P97Rg_5_7"/>
      <w:bookmarkStart w:id="214" w:name="Tc_YDsASOqZ90WxVyyA7dX6HA_5_4"/>
      <w:bookmarkStart w:id="215" w:name="Tc_xY8MS455eEGqYEbHlpeviA_5_2"/>
      <w:bookmarkStart w:id="216" w:name="Tc_BcUpldxjUEOe-Ka9S1e2yQ_5_0"/>
      <w:bookmarkStart w:id="217" w:name="Tc_td0I1j3X-kSTFkGxOf0lRw_4_0"/>
      <w:bookmarkStart w:id="218" w:name="Tc_iWaVrmcGvkyXjD4E2X6XGw_3_7"/>
      <w:bookmarkStart w:id="219" w:name="Tc_yvhrlKnDqkihyGZ7JSHqnQ_3_4"/>
      <w:bookmarkStart w:id="220" w:name="Tc_s4A52qshLEerBKPbspGqyQ_3_2"/>
      <w:bookmarkStart w:id="221" w:name="Tc_RJjnEAtiCk6tJ5up_uZo4w_2_7"/>
      <w:bookmarkStart w:id="222" w:name="Tc_Q0SsbQAblEOcP3mZq28Bcg_2_4"/>
      <w:bookmarkStart w:id="223" w:name="Tc_GNLCDJbSCkeFeN0RFgUPeQ_1_7"/>
      <w:bookmarkStart w:id="224" w:name="Tc__GVqTPe8x0G4UX4cEhOKCA_1_4"/>
      <w:bookmarkStart w:id="225" w:name="_3c378384_f80d_45b6_817c_5d7d2d2c0dc6"/>
      <w:bookmarkStart w:id="226" w:name="_83638f38_b21e_43d4_8831_7e9dd46db38b"/>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bl>
      <w:tblPr>
        <w:tblW w:w="10205" w:type="dxa"/>
        <w:jc w:val="left"/>
        <w:tblInd w:w="0" w:type="dxa"/>
        <w:tblLayout w:type="fixed"/>
        <w:tblCellMar>
          <w:top w:w="0" w:type="dxa"/>
          <w:left w:w="0" w:type="dxa"/>
          <w:bottom w:w="0" w:type="dxa"/>
          <w:right w:w="0" w:type="dxa"/>
        </w:tblCellMar>
      </w:tblPr>
      <w:tblGrid>
        <w:gridCol w:w="5367"/>
        <w:gridCol w:w="326"/>
        <w:gridCol w:w="718"/>
        <w:gridCol w:w="326"/>
        <w:gridCol w:w="239"/>
        <w:gridCol w:w="1300"/>
        <w:gridCol w:w="326"/>
        <w:gridCol w:w="231"/>
        <w:gridCol w:w="1372"/>
      </w:tblGrid>
      <w:tr>
        <w:trPr/>
        <w:tc>
          <w:tcPr>
            <w:tcW w:w="5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408045" cy="175260"/>
                      <wp:effectExtent l="0" t="0" r="0" b="0"/>
                      <wp:wrapNone/>
                      <wp:docPr id="25" name="Frame25"/>
                      <a:graphic xmlns:a="http://schemas.openxmlformats.org/drawingml/2006/main">
                        <a:graphicData uri="http://schemas.microsoft.com/office/word/2010/wordprocessingShape">
                          <wps:wsp>
                            <wps:cNvSpPr txBox="1"/>
                            <wps:spPr>
                              <a:xfrm>
                                <a:off x="0" y="0"/>
                                <a:ext cx="3408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55930" cy="175260"/>
                      <wp:effectExtent l="0" t="0" r="0" b="0"/>
                      <wp:wrapNone/>
                      <wp:docPr id="27" name="Frame27"/>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51765" cy="175260"/>
                      <wp:effectExtent l="0" t="0" r="0" b="0"/>
                      <wp:wrapNone/>
                      <wp:docPr id="29" name="Frame2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825500" cy="175260"/>
                      <wp:effectExtent l="0" t="0" r="0" b="0"/>
                      <wp:wrapNone/>
                      <wp:docPr id="30" name="Frame30"/>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6685" cy="175260"/>
                      <wp:effectExtent l="0" t="0" r="0" b="0"/>
                      <wp:wrapNone/>
                      <wp:docPr id="32" name="Frame3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871220" cy="175260"/>
                      <wp:effectExtent l="0" t="0" r="0" b="0"/>
                      <wp:wrapNone/>
                      <wp:docPr id="33" name="Frame33"/>
                      <a:graphic xmlns:a="http://schemas.openxmlformats.org/drawingml/2006/main">
                        <a:graphicData uri="http://schemas.microsoft.com/office/word/2010/wordprocessingShape">
                          <wps:wsp>
                            <wps:cNvSpPr txBox="1"/>
                            <wps:spPr>
                              <a:xfrm>
                                <a:off x="0" y="0"/>
                                <a:ext cx="871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39"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603"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3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539"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603"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53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left"/>
              <w:rPr/>
            </w:pPr>
            <w:r>
              <w:rPr/>
              <w:t>    </w:t>
            </w:r>
          </w:p>
        </w:tc>
        <w:tc>
          <w:tcPr>
            <w:tcW w:w="1539"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603"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53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372" w:type="dxa"/>
            <w:tcBorders/>
            <w:shd w:fill="CCEEFF" w:val="clear"/>
            <w:vAlign w:val="center"/>
          </w:tcPr>
          <w:p>
            <w:pPr>
              <w:pStyle w:val="TableContents"/>
              <w:bidi w:val="0"/>
              <w:spacing w:before="0" w:after="0"/>
              <w:ind w:left="0" w:right="0" w:hanging="0"/>
              <w:jc w:val="left"/>
              <w:rPr/>
            </w:pPr>
            <w:r>
              <w:rPr/>
              <w:t>​</w:t>
            </w:r>
          </w:p>
        </w:tc>
      </w:tr>
      <w:tr>
        <w:trPr/>
        <w:tc>
          <w:tcPr>
            <w:tcW w:w="5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2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9,515</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18,123</w:t>
            </w:r>
          </w:p>
        </w:tc>
      </w:tr>
      <w:tr>
        <w:trPr/>
        <w:tc>
          <w:tcPr>
            <w:tcW w:w="5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6,559</w:t>
            </w:r>
          </w:p>
        </w:tc>
      </w:tr>
      <w:tr>
        <w:trPr/>
        <w:tc>
          <w:tcPr>
            <w:tcW w:w="536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2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18,015</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37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24,682</w:t>
            </w:r>
          </w:p>
        </w:tc>
      </w:tr>
      <w:tr>
        <w:trPr/>
        <w:tc>
          <w:tcPr>
            <w:tcW w:w="536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372" w:type="dxa"/>
            <w:tcBorders/>
            <w:shd w:fill="CCEEFF" w:val="clear"/>
            <w:vAlign w:val="center"/>
          </w:tcPr>
          <w:p>
            <w:pPr>
              <w:pStyle w:val="TableContents"/>
              <w:bidi w:val="0"/>
              <w:spacing w:before="0" w:after="0"/>
              <w:ind w:left="0" w:right="0" w:hanging="0"/>
              <w:jc w:val="right"/>
              <w:rPr/>
            </w:pPr>
            <w:r>
              <w:rPr/>
              <w:t>​</w:t>
            </w:r>
          </w:p>
        </w:tc>
      </w:tr>
      <w:tr>
        <w:trPr/>
        <w:tc>
          <w:tcPr>
            <w:tcW w:w="536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items</w:t>
            </w:r>
          </w:p>
        </w:tc>
        <w:tc>
          <w:tcPr>
            <w:tcW w:w="32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372" w:type="dxa"/>
            <w:tcBorders/>
            <w:vAlign w:val="center"/>
          </w:tcPr>
          <w:p>
            <w:pPr>
              <w:pStyle w:val="TableContents"/>
              <w:bidi w:val="0"/>
              <w:spacing w:before="0" w:after="0"/>
              <w:ind w:left="0" w:right="0" w:hanging="0"/>
              <w:jc w:val="right"/>
              <w:rPr/>
            </w:pPr>
            <w:r>
              <w:rPr/>
              <w:t>​</w:t>
            </w:r>
          </w:p>
        </w:tc>
      </w:tr>
      <w:tr>
        <w:trPr/>
        <w:tc>
          <w:tcPr>
            <w:tcW w:w="5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2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3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2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5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exchange loss (gain) </w:t>
            </w:r>
          </w:p>
        </w:tc>
        <w:tc>
          <w:tcPr>
            <w:tcW w:w="326"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3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r>
      <w:tr>
        <w:trPr/>
        <w:tc>
          <w:tcPr>
            <w:tcW w:w="5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5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borrowing and credit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 and 15</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r>
      <w:tr>
        <w:trPr/>
        <w:tc>
          <w:tcPr>
            <w:tcW w:w="53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372" w:type="dxa"/>
            <w:tcBorders/>
            <w:vAlign w:val="center"/>
          </w:tcPr>
          <w:p>
            <w:pPr>
              <w:pStyle w:val="TableContents"/>
              <w:bidi w:val="0"/>
              <w:spacing w:before="0" w:after="0"/>
              <w:ind w:left="0" w:right="0" w:hanging="0"/>
              <w:jc w:val="right"/>
              <w:rPr/>
            </w:pPr>
            <w:r>
              <w:rPr/>
              <w:t>​</w:t>
            </w:r>
          </w:p>
        </w:tc>
      </w:tr>
      <w:tr>
        <w:trPr/>
        <w:tc>
          <w:tcPr>
            <w:tcW w:w="53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and comprehensive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20,588</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25,194</w:t>
            </w:r>
          </w:p>
        </w:tc>
      </w:tr>
      <w:tr>
        <w:trPr/>
        <w:tc>
          <w:tcPr>
            <w:tcW w:w="53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372" w:type="dxa"/>
            <w:tcBorders/>
            <w:vAlign w:val="center"/>
          </w:tcPr>
          <w:p>
            <w:pPr>
              <w:pStyle w:val="TableContents"/>
              <w:bidi w:val="0"/>
              <w:spacing w:before="0" w:after="0"/>
              <w:ind w:left="0" w:right="0" w:hanging="0"/>
              <w:jc w:val="right"/>
              <w:rPr/>
            </w:pPr>
            <w:r>
              <w:rPr/>
              <w:t>​</w:t>
            </w:r>
          </w:p>
        </w:tc>
      </w:tr>
      <w:tr>
        <w:trPr/>
        <w:tc>
          <w:tcPr>
            <w:tcW w:w="53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372" w:type="dxa"/>
            <w:tcBorders/>
            <w:shd w:fill="CCEEFF" w:val="clear"/>
            <w:vAlign w:val="center"/>
          </w:tcPr>
          <w:p>
            <w:pPr>
              <w:pStyle w:val="TableContents"/>
              <w:bidi w:val="0"/>
              <w:spacing w:before="0" w:after="0"/>
              <w:ind w:left="0" w:right="0" w:hanging="0"/>
              <w:jc w:val="right"/>
              <w:rPr/>
            </w:pPr>
            <w:r>
              <w:rPr/>
              <w:t>​</w:t>
            </w:r>
          </w:p>
        </w:tc>
      </w:tr>
      <w:tr>
        <w:trPr/>
        <w:tc>
          <w:tcPr>
            <w:tcW w:w="536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basic and diluted</w:t>
            </w:r>
          </w:p>
        </w:tc>
        <w:tc>
          <w:tcPr>
            <w:tcW w:w="32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0.06</w:t>
            </w:r>
          </w:p>
        </w:tc>
        <w:tc>
          <w:tcPr>
            <w:tcW w:w="326" w:type="dxa"/>
            <w:tcBorders/>
            <w:vAlign w:val="center"/>
          </w:tcPr>
          <w:p>
            <w:pPr>
              <w:pStyle w:val="TableContents"/>
              <w:bidi w:val="0"/>
              <w:spacing w:before="0" w:after="0"/>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0.08</w:t>
            </w:r>
          </w:p>
        </w:tc>
      </w:tr>
      <w:tr>
        <w:trPr/>
        <w:tc>
          <w:tcPr>
            <w:tcW w:w="536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372" w:type="dxa"/>
            <w:tcBorders/>
            <w:shd w:fill="CCEEFF" w:val="clear"/>
            <w:vAlign w:val="center"/>
          </w:tcPr>
          <w:p>
            <w:pPr>
              <w:pStyle w:val="TableContents"/>
              <w:bidi w:val="0"/>
              <w:spacing w:before="0" w:after="0"/>
              <w:ind w:left="0" w:right="0" w:hanging="0"/>
              <w:jc w:val="right"/>
              <w:rPr/>
            </w:pPr>
            <w:r>
              <w:rPr/>
              <w:t>​</w:t>
            </w:r>
          </w:p>
        </w:tc>
      </w:tr>
      <w:tr>
        <w:trPr/>
        <w:tc>
          <w:tcPr>
            <w:tcW w:w="536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 outstanding – basic and diluted</w:t>
            </w:r>
          </w:p>
        </w:tc>
        <w:tc>
          <w:tcPr>
            <w:tcW w:w="32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345,346,393</w:t>
            </w:r>
          </w:p>
        </w:tc>
        <w:tc>
          <w:tcPr>
            <w:tcW w:w="326" w:type="dxa"/>
            <w:tcBorders/>
            <w:vAlign w:val="center"/>
          </w:tcPr>
          <w:p>
            <w:pPr>
              <w:pStyle w:val="TableContents"/>
              <w:bidi w:val="0"/>
              <w:spacing w:before="0" w:after="0"/>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2"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311,521,854</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7" w:name="_a6903c81_92a8_4d74_8b2c_284a93776b49"/>
      <w:bookmarkEnd w:id="227"/>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228" w:name="CondensedConsolidatedStatementsofChanges"/>
      <w:bookmarkEnd w:id="228"/>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29" w:name="Tc_zKdLFoZZsUCRzooeQchG7A_11_19"/>
      <w:bookmarkStart w:id="230" w:name="Tc_CURA_o6uWE6vW_gCSdVO-A_11_16"/>
      <w:bookmarkStart w:id="231" w:name="Tc_NSaJQui7gk-Jgar4jI2AUg_11_13"/>
      <w:bookmarkStart w:id="232" w:name="Tc_cCHYS-HKuEaSf39CQjSw4Q_11_10"/>
      <w:bookmarkStart w:id="233" w:name="Tc_bXlDwxkWZ0S4JwUVWh58lw_11_8"/>
      <w:bookmarkStart w:id="234" w:name="Tc_xBHPZdX240Oy9u1BGfWxAw_11_7"/>
      <w:bookmarkStart w:id="235" w:name="Tc_SaCMP0X6NEu-O25Ws0Frlw_11_4"/>
      <w:bookmarkStart w:id="236" w:name="Tc_edl41Xf2Eky8Ic9OR5WIhg_11_0"/>
      <w:bookmarkStart w:id="237" w:name="Tc_pkWI1U6wUUGrw-yQDB3cCg_10_14"/>
      <w:bookmarkStart w:id="238" w:name="Tc_yoC873N0CUyUesCy_HJXUw_10_11"/>
      <w:bookmarkStart w:id="239" w:name="Tc_rDovbULVdk2xHrpbstqZSg_10_8"/>
      <w:bookmarkStart w:id="240" w:name="Tc__ibWS_Y7_0ivYIsM9GE8AA_10_5"/>
      <w:bookmarkStart w:id="241" w:name="Tc_ojOpdZG-E0ySX6gjBSxf_Q_10_2"/>
      <w:bookmarkStart w:id="242" w:name="Tc_ADxNK7Rc2Ea33u6Bb9cAuA_10_0"/>
      <w:bookmarkStart w:id="243" w:name="Tc_uQSsObpd3UmIB650jHYYLA_9_17"/>
      <w:bookmarkStart w:id="244" w:name="Tc_gTGs8wLWLUmrD313azG5HQ_9_14"/>
      <w:bookmarkStart w:id="245" w:name="Tc_EE27rARJKEC8fY5wFh7Gbg_9_8"/>
      <w:bookmarkStart w:id="246" w:name="Tc_nuCIskB4QE23lsQItZ1_zQ_9_5"/>
      <w:bookmarkStart w:id="247" w:name="Tc_qEUZvmR-D0Sv89O3OdaXGA_9_2"/>
      <w:bookmarkStart w:id="248" w:name="Tc_gVXsVS2e2Ea7dv7G4jHP3Q_9_0"/>
      <w:bookmarkStart w:id="249" w:name="Tc_NywLB2AMp0Ovh8E8BI381Q_8_20"/>
      <w:bookmarkStart w:id="250" w:name="Tc_k6VCwKkaWk-1vSReGAtzWg_8_17"/>
      <w:bookmarkStart w:id="251" w:name="Tc_yqn-IY1DSkuxzfQqlGyYWA_8_14"/>
      <w:bookmarkStart w:id="252" w:name="Tc_03mE4mwiXkehJi1c4zzaVA_8_8"/>
      <w:bookmarkStart w:id="253" w:name="Tc_qT5kgbjsy0CkYOgoJCDYdw_8_0"/>
      <w:bookmarkStart w:id="254" w:name="Tc_WplIhtORgECMIMO18C7Uzg_7_17"/>
      <w:bookmarkStart w:id="255" w:name="Tc_guo5ig9vX0eeoQ5fFfkuBw_7_14"/>
      <w:bookmarkStart w:id="256" w:name="Tc_cWCDndxz5EaPEISUzcH9dA_7_11"/>
      <w:bookmarkStart w:id="257" w:name="Tc_31-UiMDjg0mqeP2B-dkIzw_7_8"/>
      <w:bookmarkStart w:id="258" w:name="Tc_GpgTzQNyB0Ch_vhzzS1zpA_7_0"/>
      <w:bookmarkStart w:id="259" w:name="Tc_GFMuBV-GeECL-bk8rU_Mrw_6_17"/>
      <w:bookmarkStart w:id="260" w:name="Tc_Es68u08i6UiF-cpW2aeTGg_6_14"/>
      <w:bookmarkStart w:id="261" w:name="Tc_2GWNoSWkbEi9p3iyp3IHrA_6_8"/>
      <w:bookmarkStart w:id="262" w:name="Tc_DpUzsRtSsEiWkcOGQt5n1A_6_0"/>
      <w:bookmarkStart w:id="263" w:name="Tc_wzFqK1VmJU2Wc8OhVgwbsA_5_19"/>
      <w:bookmarkStart w:id="264" w:name="Tc_lxI15OOgKkiOzG4gwMLbVw_5_16"/>
      <w:bookmarkStart w:id="265" w:name="Tc_wyaf6p38pkC_3KQKPSduew_5_13"/>
      <w:bookmarkStart w:id="266" w:name="Tc_Oie-0rKzIUmYPyUawdyRRA_5_10"/>
      <w:bookmarkStart w:id="267" w:name="Tc_8wLolpdJDkStVwDrQZkFbQ_5_8"/>
      <w:bookmarkStart w:id="268" w:name="Tc_Z3pSzn6FZ0ethUseJUjeSw_5_7"/>
      <w:bookmarkStart w:id="269" w:name="Tc_mP3xaLlp906sKLdH_4cxgQ_5_4"/>
      <w:bookmarkStart w:id="270" w:name="Tc_SAJqy492IkK7l_D_64qM7A_5_0"/>
      <w:bookmarkStart w:id="271" w:name="Tc_kmtjL-4gNEyIbRA9hS3bqw_4_19"/>
      <w:bookmarkStart w:id="272" w:name="Tc_bWGDCOHNIEOHdQHzwrGJXA_4_16"/>
      <w:bookmarkStart w:id="273" w:name="Tc_M0UbWikofUGOp1Fp9266SQ_4_13"/>
      <w:bookmarkStart w:id="274" w:name="Tc_ElCTVaf4TkyY-jpjdhv-PQ_4_10"/>
      <w:bookmarkStart w:id="275" w:name="Tc_32BUh-lqY0y8VnmIaHmTDA_4_7"/>
      <w:bookmarkStart w:id="276" w:name="Tc_sajedusCekSv9_p3YbfRCg_4_5"/>
      <w:bookmarkStart w:id="277" w:name="Tc_rJLA6wFhNE2umhS7xkTrFQ_4_2"/>
      <w:bookmarkStart w:id="278" w:name="Tc_wB9uByVIOESMdWweFJeycA_4_0"/>
      <w:bookmarkStart w:id="279" w:name="Tc_ZrN7REseDkmuWkWmgbzkJQ_3_13"/>
      <w:bookmarkStart w:id="280" w:name="Tc_9Y2q9FBumU2--EqYvHGf5Q_3_10"/>
      <w:bookmarkStart w:id="281" w:name="Tc_Sk6Edzcdvk6wW4FZmC4pCg_3_7"/>
      <w:bookmarkStart w:id="282" w:name="Tc_kgz8Y2HzWUeHXqsy1vXLzg_2_13"/>
      <w:bookmarkStart w:id="283" w:name="Tc_0BFiIOFfAUCcr7VpYSIJHw_2_10"/>
      <w:bookmarkStart w:id="284" w:name="Tc_xwDkcPTrKEuqPcYKPabpjw_2_2"/>
      <w:bookmarkStart w:id="285" w:name="Tc_3F2ol4wtO0-BG2MkIvQ8BA_1_13"/>
      <w:bookmarkStart w:id="286" w:name="_e0a85aaa_9394_41de_bf68_8fc47e235eca"/>
      <w:bookmarkStart w:id="287" w:name="Tc_zKdLFoZZsUCRzooeQchG7A_11_19"/>
      <w:bookmarkStart w:id="288" w:name="Tc_CURA_o6uWE6vW_gCSdVO-A_11_16"/>
      <w:bookmarkStart w:id="289" w:name="Tc_NSaJQui7gk-Jgar4jI2AUg_11_13"/>
      <w:bookmarkStart w:id="290" w:name="Tc_cCHYS-HKuEaSf39CQjSw4Q_11_10"/>
      <w:bookmarkStart w:id="291" w:name="Tc_bXlDwxkWZ0S4JwUVWh58lw_11_8"/>
      <w:bookmarkStart w:id="292" w:name="Tc_xBHPZdX240Oy9u1BGfWxAw_11_7"/>
      <w:bookmarkStart w:id="293" w:name="Tc_SaCMP0X6NEu-O25Ws0Frlw_11_4"/>
      <w:bookmarkStart w:id="294" w:name="Tc_edl41Xf2Eky8Ic9OR5WIhg_11_0"/>
      <w:bookmarkStart w:id="295" w:name="Tc_pkWI1U6wUUGrw-yQDB3cCg_10_14"/>
      <w:bookmarkStart w:id="296" w:name="Tc_yoC873N0CUyUesCy_HJXUw_10_11"/>
      <w:bookmarkStart w:id="297" w:name="Tc_rDovbULVdk2xHrpbstqZSg_10_8"/>
      <w:bookmarkStart w:id="298" w:name="Tc__ibWS_Y7_0ivYIsM9GE8AA_10_5"/>
      <w:bookmarkStart w:id="299" w:name="Tc_ojOpdZG-E0ySX6gjBSxf_Q_10_2"/>
      <w:bookmarkStart w:id="300" w:name="Tc_ADxNK7Rc2Ea33u6Bb9cAuA_10_0"/>
      <w:bookmarkStart w:id="301" w:name="Tc_uQSsObpd3UmIB650jHYYLA_9_17"/>
      <w:bookmarkStart w:id="302" w:name="Tc_gTGs8wLWLUmrD313azG5HQ_9_14"/>
      <w:bookmarkStart w:id="303" w:name="Tc_EE27rARJKEC8fY5wFh7Gbg_9_8"/>
      <w:bookmarkStart w:id="304" w:name="Tc_nuCIskB4QE23lsQItZ1_zQ_9_5"/>
      <w:bookmarkStart w:id="305" w:name="Tc_qEUZvmR-D0Sv89O3OdaXGA_9_2"/>
      <w:bookmarkStart w:id="306" w:name="Tc_gVXsVS2e2Ea7dv7G4jHP3Q_9_0"/>
      <w:bookmarkStart w:id="307" w:name="Tc_NywLB2AMp0Ovh8E8BI381Q_8_20"/>
      <w:bookmarkStart w:id="308" w:name="Tc_k6VCwKkaWk-1vSReGAtzWg_8_17"/>
      <w:bookmarkStart w:id="309" w:name="Tc_yqn-IY1DSkuxzfQqlGyYWA_8_14"/>
      <w:bookmarkStart w:id="310" w:name="Tc_03mE4mwiXkehJi1c4zzaVA_8_8"/>
      <w:bookmarkStart w:id="311" w:name="Tc_qT5kgbjsy0CkYOgoJCDYdw_8_0"/>
      <w:bookmarkStart w:id="312" w:name="Tc_WplIhtORgECMIMO18C7Uzg_7_17"/>
      <w:bookmarkStart w:id="313" w:name="Tc_guo5ig9vX0eeoQ5fFfkuBw_7_14"/>
      <w:bookmarkStart w:id="314" w:name="Tc_cWCDndxz5EaPEISUzcH9dA_7_11"/>
      <w:bookmarkStart w:id="315" w:name="Tc_31-UiMDjg0mqeP2B-dkIzw_7_8"/>
      <w:bookmarkStart w:id="316" w:name="Tc_GpgTzQNyB0Ch_vhzzS1zpA_7_0"/>
      <w:bookmarkStart w:id="317" w:name="Tc_GFMuBV-GeECL-bk8rU_Mrw_6_17"/>
      <w:bookmarkStart w:id="318" w:name="Tc_Es68u08i6UiF-cpW2aeTGg_6_14"/>
      <w:bookmarkStart w:id="319" w:name="Tc_2GWNoSWkbEi9p3iyp3IHrA_6_8"/>
      <w:bookmarkStart w:id="320" w:name="Tc_DpUzsRtSsEiWkcOGQt5n1A_6_0"/>
      <w:bookmarkStart w:id="321" w:name="Tc_wzFqK1VmJU2Wc8OhVgwbsA_5_19"/>
      <w:bookmarkStart w:id="322" w:name="Tc_lxI15OOgKkiOzG4gwMLbVw_5_16"/>
      <w:bookmarkStart w:id="323" w:name="Tc_wyaf6p38pkC_3KQKPSduew_5_13"/>
      <w:bookmarkStart w:id="324" w:name="Tc_Oie-0rKzIUmYPyUawdyRRA_5_10"/>
      <w:bookmarkStart w:id="325" w:name="Tc_8wLolpdJDkStVwDrQZkFbQ_5_8"/>
      <w:bookmarkStart w:id="326" w:name="Tc_Z3pSzn6FZ0ethUseJUjeSw_5_7"/>
      <w:bookmarkStart w:id="327" w:name="Tc_mP3xaLlp906sKLdH_4cxgQ_5_4"/>
      <w:bookmarkStart w:id="328" w:name="Tc_SAJqy492IkK7l_D_64qM7A_5_0"/>
      <w:bookmarkStart w:id="329" w:name="Tc_kmtjL-4gNEyIbRA9hS3bqw_4_19"/>
      <w:bookmarkStart w:id="330" w:name="Tc_bWGDCOHNIEOHdQHzwrGJXA_4_16"/>
      <w:bookmarkStart w:id="331" w:name="Tc_M0UbWikofUGOp1Fp9266SQ_4_13"/>
      <w:bookmarkStart w:id="332" w:name="Tc_ElCTVaf4TkyY-jpjdhv-PQ_4_10"/>
      <w:bookmarkStart w:id="333" w:name="Tc_32BUh-lqY0y8VnmIaHmTDA_4_7"/>
      <w:bookmarkStart w:id="334" w:name="Tc_sajedusCekSv9_p3YbfRCg_4_5"/>
      <w:bookmarkStart w:id="335" w:name="Tc_rJLA6wFhNE2umhS7xkTrFQ_4_2"/>
      <w:bookmarkStart w:id="336" w:name="Tc_wB9uByVIOESMdWweFJeycA_4_0"/>
      <w:bookmarkStart w:id="337" w:name="Tc_ZrN7REseDkmuWkWmgbzkJQ_3_13"/>
      <w:bookmarkStart w:id="338" w:name="Tc_9Y2q9FBumU2--EqYvHGf5Q_3_10"/>
      <w:bookmarkStart w:id="339" w:name="Tc_Sk6Edzcdvk6wW4FZmC4pCg_3_7"/>
      <w:bookmarkStart w:id="340" w:name="Tc_kgz8Y2HzWUeHXqsy1vXLzg_2_13"/>
      <w:bookmarkStart w:id="341" w:name="Tc_0BFiIOFfAUCcr7VpYSIJHw_2_10"/>
      <w:bookmarkStart w:id="342" w:name="Tc_xwDkcPTrKEuqPcYKPabpjw_2_2"/>
      <w:bookmarkStart w:id="343" w:name="Tc_3F2ol4wtO0-BG2MkIvQ8BA_1_13"/>
      <w:bookmarkStart w:id="344" w:name="_e0a85aaa_9394_41de_bf68_8fc47e235eca"/>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tbl>
      <w:tblPr>
        <w:tblW w:w="10205" w:type="dxa"/>
        <w:jc w:val="left"/>
        <w:tblInd w:w="0" w:type="dxa"/>
        <w:tblLayout w:type="fixed"/>
        <w:tblCellMar>
          <w:top w:w="0" w:type="dxa"/>
          <w:left w:w="0" w:type="dxa"/>
          <w:bottom w:w="0" w:type="dxa"/>
          <w:right w:w="0" w:type="dxa"/>
        </w:tblCellMar>
      </w:tblPr>
      <w:tblGrid>
        <w:gridCol w:w="1456"/>
        <w:gridCol w:w="326"/>
        <w:gridCol w:w="1006"/>
        <w:gridCol w:w="326"/>
        <w:gridCol w:w="196"/>
        <w:gridCol w:w="691"/>
        <w:gridCol w:w="326"/>
        <w:gridCol w:w="222"/>
        <w:gridCol w:w="394"/>
        <w:gridCol w:w="326"/>
        <w:gridCol w:w="196"/>
        <w:gridCol w:w="692"/>
        <w:gridCol w:w="326"/>
        <w:gridCol w:w="310"/>
        <w:gridCol w:w="906"/>
        <w:gridCol w:w="326"/>
        <w:gridCol w:w="196"/>
        <w:gridCol w:w="753"/>
        <w:gridCol w:w="326"/>
        <w:gridCol w:w="196"/>
        <w:gridCol w:w="709"/>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924560" cy="175260"/>
                      <wp:effectExtent l="0" t="0" r="0" b="0"/>
                      <wp:wrapNone/>
                      <wp:docPr id="34" name="Frame34"/>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38810" cy="175260"/>
                      <wp:effectExtent l="0" t="0" r="0" b="0"/>
                      <wp:wrapNone/>
                      <wp:docPr id="36" name="Frame3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8785" cy="175260"/>
                      <wp:effectExtent l="0" t="0" r="0" b="0"/>
                      <wp:wrapNone/>
                      <wp:docPr id="39" name="Frame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0970" cy="175260"/>
                      <wp:effectExtent l="0" t="0" r="0" b="0"/>
                      <wp:wrapNone/>
                      <wp:docPr id="41" name="Frame4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50190" cy="175260"/>
                      <wp:effectExtent l="0" t="0" r="0" b="0"/>
                      <wp:wrapNone/>
                      <wp:docPr id="42" name="Frame42"/>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9420" cy="175260"/>
                      <wp:effectExtent l="0" t="0" r="0" b="0"/>
                      <wp:wrapNone/>
                      <wp:docPr id="45" name="Frame45"/>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96850" cy="175260"/>
                      <wp:effectExtent l="0" t="0" r="0" b="0"/>
                      <wp:wrapNone/>
                      <wp:docPr id="47" name="Frame4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75310" cy="175260"/>
                      <wp:effectExtent l="0" t="0" r="0" b="0"/>
                      <wp:wrapNone/>
                      <wp:docPr id="48" name="Frame48"/>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78155" cy="175260"/>
                      <wp:effectExtent l="0" t="0" r="0" b="0"/>
                      <wp:wrapNone/>
                      <wp:docPr id="51" name="Frame51"/>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50215" cy="175260"/>
                      <wp:effectExtent l="0" t="0" r="0" b="0"/>
                      <wp:wrapNone/>
                      <wp:docPr id="54" name="Frame54"/>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8"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Special</w:t>
            </w:r>
          </w:p>
        </w:tc>
        <w:tc>
          <w:tcPr>
            <w:tcW w:w="326" w:type="dxa"/>
            <w:tcBorders/>
            <w:vAlign w:val="center"/>
          </w:tcPr>
          <w:p>
            <w:pPr>
              <w:pStyle w:val="TableContents"/>
              <w:bidi w:val="0"/>
              <w:spacing w:before="0" w:after="0"/>
              <w:ind w:left="0" w:right="0" w:hanging="0"/>
              <w:jc w:val="left"/>
              <w:rPr/>
            </w:pPr>
            <w:r>
              <w:rPr/>
              <w:t>​</w:t>
            </w:r>
          </w:p>
        </w:tc>
        <w:tc>
          <w:tcPr>
            <w:tcW w:w="888"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r>
      <w:tr>
        <w:trPr/>
        <w:tc>
          <w:tcPr>
            <w:tcW w:w="145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March 31, 2025</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8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45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340,708,460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477,217</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138,303</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(631,435)</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(17,118)</w:t>
            </w:r>
          </w:p>
        </w:tc>
      </w:tr>
      <w:tr>
        <w:trPr/>
        <w:tc>
          <w:tcPr>
            <w:tcW w:w="145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and warrants under Registered Direct Offering, net of expenses (Note 10)</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2,237</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2,763</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14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as per At-the-Market Equity Distribution Agreement (Note 11)</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2,975,226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5,562</w:t>
            </w:r>
          </w:p>
        </w:tc>
      </w:tr>
      <w:tr>
        <w:trPr/>
        <w:tc>
          <w:tcPr>
            <w:tcW w:w="145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net of shares withheld for taxes (Note 13)</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7,933,336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10,788</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(10,788)</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r>
      <w:tr>
        <w:trPr/>
        <w:tc>
          <w:tcPr>
            <w:tcW w:w="14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and Expenses settled with equity (Note 13)</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10,378</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10,378</w:t>
            </w:r>
          </w:p>
        </w:tc>
      </w:tr>
      <w:tr>
        <w:trPr/>
        <w:tc>
          <w:tcPr>
            <w:tcW w:w="145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for the period</w:t>
            </w:r>
          </w:p>
        </w:tc>
        <w:tc>
          <w:tcPr>
            <w:tcW w:w="3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(20,588)</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(20,588)</w:t>
            </w:r>
          </w:p>
        </w:tc>
      </w:tr>
      <w:tr>
        <w:trPr/>
        <w:tc>
          <w:tcPr>
            <w:tcW w:w="145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356,617,022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495,804</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140,656</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(652,023)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(16,766)</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45" w:name="Tc_EyGE-diG-kKwFAinYcolYg_11_19"/>
      <w:bookmarkStart w:id="346" w:name="Tc_GFWgFrOPo0OpbwL8aynu8Q_11_16"/>
      <w:bookmarkStart w:id="347" w:name="Tc_ixvWkiD6T0KY8-rTn9dp6w_11_13"/>
      <w:bookmarkStart w:id="348" w:name="Tc_spk7JKWS1kisKLElaJ6FdQ_11_10"/>
      <w:bookmarkStart w:id="349" w:name="Tc_nnKzVLMwhUuK3MkC9-l19g_11_8"/>
      <w:bookmarkStart w:id="350" w:name="Tc_VQqbargoik6bc1XjQeTEew_11_7"/>
      <w:bookmarkStart w:id="351" w:name="Tc_V9zOefC9402gf--RkJbr7w_11_4"/>
      <w:bookmarkStart w:id="352" w:name="Tc_aGLvj_WE_UaQj0onHc1Ezw_11_0"/>
      <w:bookmarkStart w:id="353" w:name="Tc_QbR2bOm4YUS8wArA_CZ4Ig_10_14"/>
      <w:bookmarkStart w:id="354" w:name="Tc_62Fnlke0dUK6FzhfMopc9Q_10_11"/>
      <w:bookmarkStart w:id="355" w:name="Tc_aNb3c9jA0Ea6UETZe9AeUA_10_8"/>
      <w:bookmarkStart w:id="356" w:name="Tc_cztLIopVqU2mQyCc8Djh3g_10_5"/>
      <w:bookmarkStart w:id="357" w:name="Tc__7CFNsdlJEypNXfF1FMudg_10_2"/>
      <w:bookmarkStart w:id="358" w:name="Tc_WK0ZV6r1jEmV9nIibvi34A_10_0"/>
      <w:bookmarkStart w:id="359" w:name="Tc_XRo8YpVm40S5RHLT980oXw_9_17"/>
      <w:bookmarkStart w:id="360" w:name="Tc_duEP8TI0fkKTrMUgG5FHqA_9_14"/>
      <w:bookmarkStart w:id="361" w:name="Tc_7J11XFVR3UaoPqHjge7pTA_9_8"/>
      <w:bookmarkStart w:id="362" w:name="Tc_tJViMAV6WEKOvlH9D01Ehw_9_5"/>
      <w:bookmarkStart w:id="363" w:name="Tc_53Ya1MDzHUOusKkIXB4WtQ_9_2"/>
      <w:bookmarkStart w:id="364" w:name="Tc_QVV5FBaeNkKOr91qBs6sbQ_9_0"/>
      <w:bookmarkStart w:id="365" w:name="Tc_8P27Y_IeKkCCsw6sqRcrgg_8_20"/>
      <w:bookmarkStart w:id="366" w:name="Tc_97JmIpYfmEqL_9ZfUSuejg_8_17"/>
      <w:bookmarkStart w:id="367" w:name="Tc_bUQAXaMEHUaUmYZb5rkIaA_8_14"/>
      <w:bookmarkStart w:id="368" w:name="Tc_z9QXpCMbkkCB9CxmobpSSw_8_8"/>
      <w:bookmarkStart w:id="369" w:name="Tc_3yhmJW3j-EeNNIP09H6gjg_8_0"/>
      <w:bookmarkStart w:id="370" w:name="Tc_kvdtq19CfESAy0mTRynblw_7_17"/>
      <w:bookmarkStart w:id="371" w:name="Tc_AUA4VVaNIEO-GSVnCuqFGQ_7_14"/>
      <w:bookmarkStart w:id="372" w:name="Tc_cydZ4fG-dUGbYPSXQo-PmQ_7_8"/>
      <w:bookmarkStart w:id="373" w:name="Tc_2TRJVQJfPUKAorgnkON_7A_7_0"/>
      <w:bookmarkStart w:id="374" w:name="Tc_Jg4vaFYVXUyWnYiymtzMqA_6_17"/>
      <w:bookmarkStart w:id="375" w:name="Tc_iIEIjFhu0EmaJb6oqbo0Jw_6_14"/>
      <w:bookmarkStart w:id="376" w:name="Tc_i1o9DWIrm0y5GPaahzWE6Q_6_8"/>
      <w:bookmarkStart w:id="377" w:name="Tc_-oOYAe9_5EOTf8jyjJ5cjg_6_0"/>
      <w:bookmarkStart w:id="378" w:name="Tc_abtzoWZK6EGmHw04ySBaCg_5_19"/>
      <w:bookmarkStart w:id="379" w:name="Tc_sI6yZ2nM9E6Gxpc7C1kRfw_5_16"/>
      <w:bookmarkStart w:id="380" w:name="Tc_nCQAoBUl0U6L94Tg5Qgfag_5_13"/>
      <w:bookmarkStart w:id="381" w:name="Tc_DG0arqGaW0qM3c31KSj0dQ_5_10"/>
      <w:bookmarkStart w:id="382" w:name="Tc_8zs39qQolE6oPkgjcqiGvA_5_8"/>
      <w:bookmarkStart w:id="383" w:name="Tc_AyiwWCTSNU6VcF-I0_tVRg_5_7"/>
      <w:bookmarkStart w:id="384" w:name="Tc_Tuft_Qikfke4zS3Cu1gw0w_5_4"/>
      <w:bookmarkStart w:id="385" w:name="Tc_0Bszk4oHw0KQk1z_C7CfyQ_5_0"/>
      <w:bookmarkStart w:id="386" w:name="Tc_Jd1HtZZviE23qbzq2BmnCA_4_19"/>
      <w:bookmarkStart w:id="387" w:name="Tc_QybpPJo1gEifgCD5mhRPHg_4_16"/>
      <w:bookmarkStart w:id="388" w:name="Tc_-WcT_NbQqUSl2IKpwDkECA_4_13"/>
      <w:bookmarkStart w:id="389" w:name="Tc_GiYkiCQkbECgvKGXMWzdVQ_4_10"/>
      <w:bookmarkStart w:id="390" w:name="Tc_EAhNpWzQ-02qB7bx-SgJIQ_4_7"/>
      <w:bookmarkStart w:id="391" w:name="Tc_B7jsmf4ee0CjCoCTmsqa7g_4_4"/>
      <w:bookmarkStart w:id="392" w:name="Tc_Ar9WFTJ6G0-Udyz5FBegVg_4_2"/>
      <w:bookmarkStart w:id="393" w:name="Tc_7BBRLTxHAEOAN5wD99X-IA_4_0"/>
      <w:bookmarkStart w:id="394" w:name="Tc_rBHYQeLgcEK9mwjj_bIDGQ_3_13"/>
      <w:bookmarkStart w:id="395" w:name="Tc_fXtn6LdMzECrT0x10dFBRA_3_10"/>
      <w:bookmarkStart w:id="396" w:name="Tc_wf6cJtQ92E6Ude8efYld_Q_3_7"/>
      <w:bookmarkStart w:id="397" w:name="Tc_xRYdjc0zN06EyXMbU5vuJA_2_13"/>
      <w:bookmarkStart w:id="398" w:name="Tc_84955cUPNEGwzX6jCr1zfw_2_10"/>
      <w:bookmarkStart w:id="399" w:name="Tc_L2K3cDiwOU-2miIt8fSClA_2_2"/>
      <w:bookmarkStart w:id="400" w:name="Tc_UsQsbQHb2UeBN454MdHBQQ_1_13"/>
      <w:bookmarkStart w:id="401" w:name="_89fbf542_da31_4161_9450_db00cbfb418b"/>
      <w:bookmarkStart w:id="402" w:name="Tc_EyGE-diG-kKwFAinYcolYg_11_19"/>
      <w:bookmarkStart w:id="403" w:name="Tc_GFWgFrOPo0OpbwL8aynu8Q_11_16"/>
      <w:bookmarkStart w:id="404" w:name="Tc_ixvWkiD6T0KY8-rTn9dp6w_11_13"/>
      <w:bookmarkStart w:id="405" w:name="Tc_spk7JKWS1kisKLElaJ6FdQ_11_10"/>
      <w:bookmarkStart w:id="406" w:name="Tc_nnKzVLMwhUuK3MkC9-l19g_11_8"/>
      <w:bookmarkStart w:id="407" w:name="Tc_VQqbargoik6bc1XjQeTEew_11_7"/>
      <w:bookmarkStart w:id="408" w:name="Tc_V9zOefC9402gf--RkJbr7w_11_4"/>
      <w:bookmarkStart w:id="409" w:name="Tc_aGLvj_WE_UaQj0onHc1Ezw_11_0"/>
      <w:bookmarkStart w:id="410" w:name="Tc_QbR2bOm4YUS8wArA_CZ4Ig_10_14"/>
      <w:bookmarkStart w:id="411" w:name="Tc_62Fnlke0dUK6FzhfMopc9Q_10_11"/>
      <w:bookmarkStart w:id="412" w:name="Tc_aNb3c9jA0Ea6UETZe9AeUA_10_8"/>
      <w:bookmarkStart w:id="413" w:name="Tc_cztLIopVqU2mQyCc8Djh3g_10_5"/>
      <w:bookmarkStart w:id="414" w:name="Tc__7CFNsdlJEypNXfF1FMudg_10_2"/>
      <w:bookmarkStart w:id="415" w:name="Tc_WK0ZV6r1jEmV9nIibvi34A_10_0"/>
      <w:bookmarkStart w:id="416" w:name="Tc_XRo8YpVm40S5RHLT980oXw_9_17"/>
      <w:bookmarkStart w:id="417" w:name="Tc_duEP8TI0fkKTrMUgG5FHqA_9_14"/>
      <w:bookmarkStart w:id="418" w:name="Tc_7J11XFVR3UaoPqHjge7pTA_9_8"/>
      <w:bookmarkStart w:id="419" w:name="Tc_tJViMAV6WEKOvlH9D01Ehw_9_5"/>
      <w:bookmarkStart w:id="420" w:name="Tc_53Ya1MDzHUOusKkIXB4WtQ_9_2"/>
      <w:bookmarkStart w:id="421" w:name="Tc_QVV5FBaeNkKOr91qBs6sbQ_9_0"/>
      <w:bookmarkStart w:id="422" w:name="Tc_8P27Y_IeKkCCsw6sqRcrgg_8_20"/>
      <w:bookmarkStart w:id="423" w:name="Tc_97JmIpYfmEqL_9ZfUSuejg_8_17"/>
      <w:bookmarkStart w:id="424" w:name="Tc_bUQAXaMEHUaUmYZb5rkIaA_8_14"/>
      <w:bookmarkStart w:id="425" w:name="Tc_z9QXpCMbkkCB9CxmobpSSw_8_8"/>
      <w:bookmarkStart w:id="426" w:name="Tc_3yhmJW3j-EeNNIP09H6gjg_8_0"/>
      <w:bookmarkStart w:id="427" w:name="Tc_kvdtq19CfESAy0mTRynblw_7_17"/>
      <w:bookmarkStart w:id="428" w:name="Tc_AUA4VVaNIEO-GSVnCuqFGQ_7_14"/>
      <w:bookmarkStart w:id="429" w:name="Tc_cydZ4fG-dUGbYPSXQo-PmQ_7_8"/>
      <w:bookmarkStart w:id="430" w:name="Tc_2TRJVQJfPUKAorgnkON_7A_7_0"/>
      <w:bookmarkStart w:id="431" w:name="Tc_Jg4vaFYVXUyWnYiymtzMqA_6_17"/>
      <w:bookmarkStart w:id="432" w:name="Tc_iIEIjFhu0EmaJb6oqbo0Jw_6_14"/>
      <w:bookmarkStart w:id="433" w:name="Tc_i1o9DWIrm0y5GPaahzWE6Q_6_8"/>
      <w:bookmarkStart w:id="434" w:name="Tc_-oOYAe9_5EOTf8jyjJ5cjg_6_0"/>
      <w:bookmarkStart w:id="435" w:name="Tc_abtzoWZK6EGmHw04ySBaCg_5_19"/>
      <w:bookmarkStart w:id="436" w:name="Tc_sI6yZ2nM9E6Gxpc7C1kRfw_5_16"/>
      <w:bookmarkStart w:id="437" w:name="Tc_nCQAoBUl0U6L94Tg5Qgfag_5_13"/>
      <w:bookmarkStart w:id="438" w:name="Tc_DG0arqGaW0qM3c31KSj0dQ_5_10"/>
      <w:bookmarkStart w:id="439" w:name="Tc_8zs39qQolE6oPkgjcqiGvA_5_8"/>
      <w:bookmarkStart w:id="440" w:name="Tc_AyiwWCTSNU6VcF-I0_tVRg_5_7"/>
      <w:bookmarkStart w:id="441" w:name="Tc_Tuft_Qikfke4zS3Cu1gw0w_5_4"/>
      <w:bookmarkStart w:id="442" w:name="Tc_0Bszk4oHw0KQk1z_C7CfyQ_5_0"/>
      <w:bookmarkStart w:id="443" w:name="Tc_Jd1HtZZviE23qbzq2BmnCA_4_19"/>
      <w:bookmarkStart w:id="444" w:name="Tc_QybpPJo1gEifgCD5mhRPHg_4_16"/>
      <w:bookmarkStart w:id="445" w:name="Tc_-WcT_NbQqUSl2IKpwDkECA_4_13"/>
      <w:bookmarkStart w:id="446" w:name="Tc_GiYkiCQkbECgvKGXMWzdVQ_4_10"/>
      <w:bookmarkStart w:id="447" w:name="Tc_EAhNpWzQ-02qB7bx-SgJIQ_4_7"/>
      <w:bookmarkStart w:id="448" w:name="Tc_B7jsmf4ee0CjCoCTmsqa7g_4_4"/>
      <w:bookmarkStart w:id="449" w:name="Tc_Ar9WFTJ6G0-Udyz5FBegVg_4_2"/>
      <w:bookmarkStart w:id="450" w:name="Tc_7BBRLTxHAEOAN5wD99X-IA_4_0"/>
      <w:bookmarkStart w:id="451" w:name="Tc_rBHYQeLgcEK9mwjj_bIDGQ_3_13"/>
      <w:bookmarkStart w:id="452" w:name="Tc_fXtn6LdMzECrT0x10dFBRA_3_10"/>
      <w:bookmarkStart w:id="453" w:name="Tc_wf6cJtQ92E6Ude8efYld_Q_3_7"/>
      <w:bookmarkStart w:id="454" w:name="Tc_xRYdjc0zN06EyXMbU5vuJA_2_13"/>
      <w:bookmarkStart w:id="455" w:name="Tc_84955cUPNEGwzX6jCr1zfw_2_10"/>
      <w:bookmarkStart w:id="456" w:name="Tc_L2K3cDiwOU-2miIt8fSClA_2_2"/>
      <w:bookmarkStart w:id="457" w:name="Tc_UsQsbQHb2UeBN454MdHBQQ_1_13"/>
      <w:bookmarkStart w:id="458" w:name="_89fbf542_da31_4161_9450_db00cbfb418b"/>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tbl>
      <w:tblPr>
        <w:tblW w:w="10205" w:type="dxa"/>
        <w:jc w:val="left"/>
        <w:tblInd w:w="0" w:type="dxa"/>
        <w:tblLayout w:type="fixed"/>
        <w:tblCellMar>
          <w:top w:w="0" w:type="dxa"/>
          <w:left w:w="0" w:type="dxa"/>
          <w:bottom w:w="0" w:type="dxa"/>
          <w:right w:w="0" w:type="dxa"/>
        </w:tblCellMar>
      </w:tblPr>
      <w:tblGrid>
        <w:gridCol w:w="1457"/>
        <w:gridCol w:w="326"/>
        <w:gridCol w:w="1006"/>
        <w:gridCol w:w="326"/>
        <w:gridCol w:w="196"/>
        <w:gridCol w:w="691"/>
        <w:gridCol w:w="326"/>
        <w:gridCol w:w="222"/>
        <w:gridCol w:w="394"/>
        <w:gridCol w:w="326"/>
        <w:gridCol w:w="196"/>
        <w:gridCol w:w="691"/>
        <w:gridCol w:w="326"/>
        <w:gridCol w:w="310"/>
        <w:gridCol w:w="906"/>
        <w:gridCol w:w="326"/>
        <w:gridCol w:w="196"/>
        <w:gridCol w:w="753"/>
        <w:gridCol w:w="326"/>
        <w:gridCol w:w="196"/>
        <w:gridCol w:w="709"/>
      </w:tblGrid>
      <w:tr>
        <w:trPr/>
        <w:tc>
          <w:tcPr>
            <w:tcW w:w="1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925195" cy="175260"/>
                      <wp:effectExtent l="0" t="0" r="0" b="0"/>
                      <wp:wrapNone/>
                      <wp:docPr id="55" name="Frame55"/>
                      <a:graphic xmlns:a="http://schemas.openxmlformats.org/drawingml/2006/main">
                        <a:graphicData uri="http://schemas.microsoft.com/office/word/2010/wordprocessingShape">
                          <wps:wsp>
                            <wps:cNvSpPr txBox="1"/>
                            <wps:spPr>
                              <a:xfrm>
                                <a:off x="0" y="0"/>
                                <a:ext cx="925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38810" cy="175260"/>
                      <wp:effectExtent l="0" t="0" r="0" b="0"/>
                      <wp:wrapNone/>
                      <wp:docPr id="57" name="Frame5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4460" cy="175260"/>
                      <wp:effectExtent l="0" t="0" r="0" b="0"/>
                      <wp:wrapNone/>
                      <wp:docPr id="59" name="Frame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8785" cy="175260"/>
                      <wp:effectExtent l="0" t="0" r="0" b="0"/>
                      <wp:wrapNone/>
                      <wp:docPr id="60" name="Frame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0970" cy="175260"/>
                      <wp:effectExtent l="0" t="0" r="0" b="0"/>
                      <wp:wrapNone/>
                      <wp:docPr id="62" name="Frame6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50190" cy="175260"/>
                      <wp:effectExtent l="0" t="0" r="0" b="0"/>
                      <wp:wrapNone/>
                      <wp:docPr id="63" name="Frame63"/>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96850" cy="175260"/>
                      <wp:effectExtent l="0" t="0" r="0" b="0"/>
                      <wp:wrapNone/>
                      <wp:docPr id="68" name="Frame6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75310" cy="175260"/>
                      <wp:effectExtent l="0" t="0" r="0" b="0"/>
                      <wp:wrapNone/>
                      <wp:docPr id="69" name="Frame69"/>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4460" cy="175260"/>
                      <wp:effectExtent l="0" t="0" r="0" b="0"/>
                      <wp:wrapNone/>
                      <wp:docPr id="71"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78155" cy="175260"/>
                      <wp:effectExtent l="0" t="0" r="0" b="0"/>
                      <wp:wrapNone/>
                      <wp:docPr id="72" name="Frame72"/>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50215" cy="175260"/>
                      <wp:effectExtent l="0" t="0" r="0" b="0"/>
                      <wp:wrapNone/>
                      <wp:docPr id="75" name="Frame75"/>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9" w:type="dxa"/>
            <w:tcBorders/>
            <w:vAlign w:val="center"/>
          </w:tcPr>
          <w:p>
            <w:pPr>
              <w:pStyle w:val="TableContents"/>
              <w:bidi w:val="0"/>
              <w:spacing w:before="0" w:after="0"/>
              <w:ind w:left="0" w:right="0" w:hanging="0"/>
              <w:jc w:val="right"/>
              <w:rPr/>
            </w:pPr>
            <w:r>
              <w:rPr/>
              <w:t>​</w:t>
            </w:r>
          </w:p>
        </w:tc>
      </w:tr>
      <w:tr>
        <w:trPr/>
        <w:tc>
          <w:tcPr>
            <w:tcW w:w="14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2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right"/>
              <w:rPr/>
            </w:pPr>
            <w:r>
              <w:rPr/>
              <w:t>    </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w:t>
            </w:r>
          </w:p>
        </w:tc>
        <w:tc>
          <w:tcPr>
            <w:tcW w:w="7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w:t>
            </w:r>
          </w:p>
        </w:tc>
        <w:tc>
          <w:tcPr>
            <w:tcW w:w="709" w:type="dxa"/>
            <w:tcBorders/>
            <w:vAlign w:val="center"/>
          </w:tcPr>
          <w:p>
            <w:pPr>
              <w:pStyle w:val="TableContents"/>
              <w:bidi w:val="0"/>
              <w:spacing w:before="0" w:after="0"/>
              <w:ind w:left="0" w:right="0" w:hanging="0"/>
              <w:jc w:val="right"/>
              <w:rPr/>
            </w:pPr>
            <w:r>
              <w:rPr/>
              <w:t>​</w:t>
            </w:r>
          </w:p>
        </w:tc>
      </w:tr>
      <w:tr>
        <w:trPr/>
        <w:tc>
          <w:tcPr>
            <w:tcW w:w="14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6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Special</w:t>
            </w:r>
          </w:p>
        </w:tc>
        <w:tc>
          <w:tcPr>
            <w:tcW w:w="326" w:type="dxa"/>
            <w:tcBorders/>
            <w:vAlign w:val="center"/>
          </w:tcPr>
          <w:p>
            <w:pPr>
              <w:pStyle w:val="TableContents"/>
              <w:bidi w:val="0"/>
              <w:spacing w:before="0" w:after="0"/>
              <w:ind w:left="0" w:right="0" w:hanging="0"/>
              <w:jc w:val="right"/>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righ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9" w:type="dxa"/>
            <w:tcBorders/>
            <w:vAlign w:val="center"/>
          </w:tcPr>
          <w:p>
            <w:pPr>
              <w:pStyle w:val="TableContents"/>
              <w:bidi w:val="0"/>
              <w:spacing w:before="0" w:after="0"/>
              <w:ind w:left="0" w:right="0" w:hanging="0"/>
              <w:jc w:val="right"/>
              <w:rPr/>
            </w:pPr>
            <w:r>
              <w:rPr/>
              <w:t>​</w:t>
            </w:r>
          </w:p>
        </w:tc>
      </w:tr>
      <w:tr>
        <w:trPr/>
        <w:tc>
          <w:tcPr>
            <w:tcW w:w="1457"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March 31, 2024</w:t>
            </w:r>
          </w:p>
        </w:tc>
        <w:tc>
          <w:tcPr>
            <w:tcW w:w="326" w:type="dxa"/>
            <w:tcBorders/>
            <w:vAlign w:val="center"/>
          </w:tcPr>
          <w:p>
            <w:pPr>
              <w:pStyle w:val="TableContents"/>
              <w:bidi w:val="0"/>
              <w:spacing w:before="0" w:after="0"/>
              <w:ind w:left="0" w:right="0" w:hanging="0"/>
              <w:jc w:val="righ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right"/>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righ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righ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righ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45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306,558,710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438,239</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122,797</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(548,902)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10,918</w:t>
            </w:r>
          </w:p>
        </w:tc>
      </w:tr>
      <w:tr>
        <w:trPr/>
        <w:tc>
          <w:tcPr>
            <w:tcW w:w="145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shares and warrants under Registered Direct Offering, net of expenses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7,447</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1,553</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9,000</w:t>
            </w:r>
          </w:p>
        </w:tc>
      </w:tr>
      <w:tr>
        <w:trPr/>
        <w:tc>
          <w:tcPr>
            <w:tcW w:w="1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w:t>
            </w:r>
          </w:p>
        </w:tc>
      </w:tr>
      <w:tr>
        <w:trPr/>
        <w:tc>
          <w:tcPr>
            <w:tcW w:w="145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net of shares withheld for taxes</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7,112,673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8,601</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(8,601)</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r>
      <w:tr>
        <w:trPr/>
        <w:tc>
          <w:tcPr>
            <w:tcW w:w="1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and Expenses settled with equity</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6,896</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6,896</w:t>
            </w:r>
          </w:p>
        </w:tc>
      </w:tr>
      <w:tr>
        <w:trPr/>
        <w:tc>
          <w:tcPr>
            <w:tcW w:w="145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for the period</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(25,194)</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(25,194)</w:t>
            </w:r>
          </w:p>
        </w:tc>
      </w:tr>
      <w:tr>
        <w:trPr/>
        <w:tc>
          <w:tcPr>
            <w:tcW w:w="145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318,291,383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454,431</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122,691</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(574,096)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1,810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59" w:name="_a7c78687_fa06_402f_b1d3_d78a8be17392"/>
      <w:bookmarkEnd w:id="459"/>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460" w:name="CondensedConsolidatedStatementsofCashFlo"/>
      <w:bookmarkEnd w:id="460"/>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61" w:name="Tc_Y7mpqsc6QES4F73cAr6zfg_37_7"/>
      <w:bookmarkStart w:id="462" w:name="Tc_0ndrKeqFtUqPKQvH_gr57w_37_4"/>
      <w:bookmarkStart w:id="463" w:name="Tc_2bTDY7QIhEyAki0bOQJaDg_37_0"/>
      <w:bookmarkStart w:id="464" w:name="Tc_U-04_OfTxECIn-cswHtHGg_36_0"/>
      <w:bookmarkStart w:id="465" w:name="Tc_m1vYyVP1fEuBXnbDYP1D3A_35_0"/>
      <w:bookmarkStart w:id="466" w:name="Tc_a2daTJa2P0yJi_VLuJMQpw_34_7"/>
      <w:bookmarkStart w:id="467" w:name="Tc_pQe6xtkJG0eas8IB-Xpmmw_34_4"/>
      <w:bookmarkStart w:id="468" w:name="Tc_xE0duKa0iUKXAG9Y-38ofA_34_0"/>
      <w:bookmarkStart w:id="469" w:name="Tc_Mdjgnu7wlkqu7xHZh5FZ7g_32_0"/>
      <w:bookmarkStart w:id="470" w:name="Tc_-KVH0c9bxk6XtdFp7r1u3g_31_5"/>
      <w:bookmarkStart w:id="471" w:name="Tc_GsvnqjZYZEqnwZDS0AFG0Q_31_0"/>
      <w:bookmarkStart w:id="472" w:name="Tc_DbIwHnpiCkqVoITvo2Sn6Q_30_8"/>
      <w:bookmarkStart w:id="473" w:name="Tc_pOEFS6-4UUeFzPJJJRQ83w_30_2"/>
      <w:bookmarkStart w:id="474" w:name="Tc_OM8kvdF88UCFX9LwNRMiNQ_30_0"/>
      <w:bookmarkStart w:id="475" w:name="Tc_wc93Ho1uVUOvN8A222NnUw_29_8"/>
      <w:bookmarkStart w:id="476" w:name="Tc_qlWi9s_QHUWukjtARkc09w_29_2"/>
      <w:bookmarkStart w:id="477" w:name="Tc_B3eC9HHpNE-rRpF0az4vkQ_29_0"/>
      <w:bookmarkStart w:id="478" w:name="Tc_X7hJCbYvIk-JMfj2nUnUKg_28_2"/>
      <w:bookmarkStart w:id="479" w:name="Tc__-B0GcDCTkqFH7O-ACGOqg_28_0"/>
      <w:bookmarkStart w:id="480" w:name="Tc_it2M1sKpC0Ww6F5qUzBK8g_27_2"/>
      <w:bookmarkStart w:id="481" w:name="Tc_ujVd0YT69E2_9_kPSp-D4g_27_0"/>
      <w:bookmarkStart w:id="482" w:name="Tc_ogufgZM3e0WFFQfsRTNe0Q_26_0"/>
      <w:bookmarkStart w:id="483" w:name="Tc_SVaRMYdFV0G6Go4FIa4alQ_24_0"/>
      <w:bookmarkStart w:id="484" w:name="Tc_Kct9DkDXQUuBmn4fEYCtTA_23_0"/>
      <w:bookmarkStart w:id="485" w:name="Tc_Ht-Ayjq8x0OxMgq79KpObQ_22_0"/>
      <w:bookmarkStart w:id="486" w:name="Tc_xnLkDJ04j02RoXJ2I95Dlw_20_0"/>
      <w:bookmarkStart w:id="487" w:name="Tc_coGggr-Jj0KdB1rT8KQyiA_19_0"/>
      <w:bookmarkStart w:id="488" w:name="Tc_CZTP4rPgBkKG2RajbnZIwg_18_0"/>
      <w:bookmarkStart w:id="489" w:name="Tc_vN-3rZovAU-805xgS4BjNA_17_0"/>
      <w:bookmarkStart w:id="490" w:name="Tc_KUMa46Cm3UGknNt9KQN8jA_16_8"/>
      <w:bookmarkStart w:id="491" w:name="Tc_-Wa-e8RsrE2abf1hM3X4Hg_16_2"/>
      <w:bookmarkStart w:id="492" w:name="Tc_I1c8Q59YEEKzruV3JugadA_16_0"/>
      <w:bookmarkStart w:id="493" w:name="Tc_HfRIeTyjnUm5xgIWsfl21Q_15_0"/>
      <w:bookmarkStart w:id="494" w:name="Tc_hSFGME89tUOPp1O3jZf1Bw_14_2"/>
      <w:bookmarkStart w:id="495" w:name="Tc_INq_ocQzikmqPagoSgQUaA_14_0"/>
      <w:bookmarkStart w:id="496" w:name="Tc_92Y7cA3TekSfHAk8S-tHtA_13_2"/>
      <w:bookmarkStart w:id="497" w:name="Tc_NN4pyX38v0qD07oRF4kS4Q_13_0"/>
      <w:bookmarkStart w:id="498" w:name="Tc_y-ycLpawBkewLwDB6F51og_12_2"/>
      <w:bookmarkStart w:id="499" w:name="Tc_uIE8V33iHkuKpQMR3MPXhg_12_0"/>
      <w:bookmarkStart w:id="500" w:name="Tc_Mqs_fFfXSUO2KGAv0LwVFw_11_2"/>
      <w:bookmarkStart w:id="501" w:name="Tc_sb-oAotFeEaAd2OU4XM8_w_11_0"/>
      <w:bookmarkStart w:id="502" w:name="Tc_fBP44LxqkkikBf6yDV0ZWQ_10_0"/>
      <w:bookmarkStart w:id="503" w:name="Tc_o2dGLPGaSkS2Xpk63TKnZg_9_0"/>
      <w:bookmarkStart w:id="504" w:name="Tc_rc-3xrTxi0WasjBPIaPghQ_8_0"/>
      <w:bookmarkStart w:id="505" w:name="Tc_rCrShEoQSkmycc7MnQ-UzQ_7_7"/>
      <w:bookmarkStart w:id="506" w:name="Tc_u_7L9PyFYUu-BTMxaXmr4Q_7_4"/>
      <w:bookmarkStart w:id="507" w:name="Tc_FMfp0GzRkUy_oQF15f9t5w_7_0"/>
      <w:bookmarkStart w:id="508" w:name="Tc_-s1nCuvYFk21MmJXZKsFkQ_6_0"/>
      <w:bookmarkStart w:id="509" w:name="Tc_xnjE4gZl6UOQlXQ0xQVnyA_4_0"/>
      <w:bookmarkStart w:id="510" w:name="Tc_dN26ZjfzhUyY3mJF2oTnAg_3_7"/>
      <w:bookmarkStart w:id="511" w:name="Tc_Vpig98S8G0K8uS9Nc6PA_A_3_4"/>
      <w:bookmarkStart w:id="512" w:name="Tc_ov5Qiu4gxUOzJYfUux8h9w_3_2"/>
      <w:bookmarkStart w:id="513" w:name="Tc_slQ1YEYxxU27dsjcv_MrDA_2_7"/>
      <w:bookmarkStart w:id="514" w:name="Tc_d4d0jr7ecUySYdVmvxuLrA_2_4"/>
      <w:bookmarkStart w:id="515" w:name="Tc_ypcPFAfWfUC-I1h0jksiWg_1_7"/>
      <w:bookmarkStart w:id="516" w:name="Tc_JK10oV1uy0C7L6NVDuIXnQ_1_4"/>
      <w:bookmarkStart w:id="517" w:name="_a3886705_20ae_4cc1_bf7f_1fb3bb61d2e3"/>
      <w:bookmarkStart w:id="518" w:name="Tc_Y7mpqsc6QES4F73cAr6zfg_37_7"/>
      <w:bookmarkStart w:id="519" w:name="Tc_0ndrKeqFtUqPKQvH_gr57w_37_4"/>
      <w:bookmarkStart w:id="520" w:name="Tc_2bTDY7QIhEyAki0bOQJaDg_37_0"/>
      <w:bookmarkStart w:id="521" w:name="Tc_U-04_OfTxECIn-cswHtHGg_36_0"/>
      <w:bookmarkStart w:id="522" w:name="Tc_m1vYyVP1fEuBXnbDYP1D3A_35_0"/>
      <w:bookmarkStart w:id="523" w:name="Tc_a2daTJa2P0yJi_VLuJMQpw_34_7"/>
      <w:bookmarkStart w:id="524" w:name="Tc_pQe6xtkJG0eas8IB-Xpmmw_34_4"/>
      <w:bookmarkStart w:id="525" w:name="Tc_xE0duKa0iUKXAG9Y-38ofA_34_0"/>
      <w:bookmarkStart w:id="526" w:name="Tc_Mdjgnu7wlkqu7xHZh5FZ7g_32_0"/>
      <w:bookmarkStart w:id="527" w:name="Tc_-KVH0c9bxk6XtdFp7r1u3g_31_5"/>
      <w:bookmarkStart w:id="528" w:name="Tc_GsvnqjZYZEqnwZDS0AFG0Q_31_0"/>
      <w:bookmarkStart w:id="529" w:name="Tc_DbIwHnpiCkqVoITvo2Sn6Q_30_8"/>
      <w:bookmarkStart w:id="530" w:name="Tc_pOEFS6-4UUeFzPJJJRQ83w_30_2"/>
      <w:bookmarkStart w:id="531" w:name="Tc_OM8kvdF88UCFX9LwNRMiNQ_30_0"/>
      <w:bookmarkStart w:id="532" w:name="Tc_wc93Ho1uVUOvN8A222NnUw_29_8"/>
      <w:bookmarkStart w:id="533" w:name="Tc_qlWi9s_QHUWukjtARkc09w_29_2"/>
      <w:bookmarkStart w:id="534" w:name="Tc_B3eC9HHpNE-rRpF0az4vkQ_29_0"/>
      <w:bookmarkStart w:id="535" w:name="Tc_X7hJCbYvIk-JMfj2nUnUKg_28_2"/>
      <w:bookmarkStart w:id="536" w:name="Tc__-B0GcDCTkqFH7O-ACGOqg_28_0"/>
      <w:bookmarkStart w:id="537" w:name="Tc_it2M1sKpC0Ww6F5qUzBK8g_27_2"/>
      <w:bookmarkStart w:id="538" w:name="Tc_ujVd0YT69E2_9_kPSp-D4g_27_0"/>
      <w:bookmarkStart w:id="539" w:name="Tc_ogufgZM3e0WFFQfsRTNe0Q_26_0"/>
      <w:bookmarkStart w:id="540" w:name="Tc_SVaRMYdFV0G6Go4FIa4alQ_24_0"/>
      <w:bookmarkStart w:id="541" w:name="Tc_Kct9DkDXQUuBmn4fEYCtTA_23_0"/>
      <w:bookmarkStart w:id="542" w:name="Tc_Ht-Ayjq8x0OxMgq79KpObQ_22_0"/>
      <w:bookmarkStart w:id="543" w:name="Tc_xnLkDJ04j02RoXJ2I95Dlw_20_0"/>
      <w:bookmarkStart w:id="544" w:name="Tc_coGggr-Jj0KdB1rT8KQyiA_19_0"/>
      <w:bookmarkStart w:id="545" w:name="Tc_CZTP4rPgBkKG2RajbnZIwg_18_0"/>
      <w:bookmarkStart w:id="546" w:name="Tc_vN-3rZovAU-805xgS4BjNA_17_0"/>
      <w:bookmarkStart w:id="547" w:name="Tc_KUMa46Cm3UGknNt9KQN8jA_16_8"/>
      <w:bookmarkStart w:id="548" w:name="Tc_-Wa-e8RsrE2abf1hM3X4Hg_16_2"/>
      <w:bookmarkStart w:id="549" w:name="Tc_I1c8Q59YEEKzruV3JugadA_16_0"/>
      <w:bookmarkStart w:id="550" w:name="Tc_HfRIeTyjnUm5xgIWsfl21Q_15_0"/>
      <w:bookmarkStart w:id="551" w:name="Tc_hSFGME89tUOPp1O3jZf1Bw_14_2"/>
      <w:bookmarkStart w:id="552" w:name="Tc_INq_ocQzikmqPagoSgQUaA_14_0"/>
      <w:bookmarkStart w:id="553" w:name="Tc_92Y7cA3TekSfHAk8S-tHtA_13_2"/>
      <w:bookmarkStart w:id="554" w:name="Tc_NN4pyX38v0qD07oRF4kS4Q_13_0"/>
      <w:bookmarkStart w:id="555" w:name="Tc_y-ycLpawBkewLwDB6F51og_12_2"/>
      <w:bookmarkStart w:id="556" w:name="Tc_uIE8V33iHkuKpQMR3MPXhg_12_0"/>
      <w:bookmarkStart w:id="557" w:name="Tc_Mqs_fFfXSUO2KGAv0LwVFw_11_2"/>
      <w:bookmarkStart w:id="558" w:name="Tc_sb-oAotFeEaAd2OU4XM8_w_11_0"/>
      <w:bookmarkStart w:id="559" w:name="Tc_fBP44LxqkkikBf6yDV0ZWQ_10_0"/>
      <w:bookmarkStart w:id="560" w:name="Tc_o2dGLPGaSkS2Xpk63TKnZg_9_0"/>
      <w:bookmarkStart w:id="561" w:name="Tc_rc-3xrTxi0WasjBPIaPghQ_8_0"/>
      <w:bookmarkStart w:id="562" w:name="Tc_rCrShEoQSkmycc7MnQ-UzQ_7_7"/>
      <w:bookmarkStart w:id="563" w:name="Tc_u_7L9PyFYUu-BTMxaXmr4Q_7_4"/>
      <w:bookmarkStart w:id="564" w:name="Tc_FMfp0GzRkUy_oQF15f9t5w_7_0"/>
      <w:bookmarkStart w:id="565" w:name="Tc_-s1nCuvYFk21MmJXZKsFkQ_6_0"/>
      <w:bookmarkStart w:id="566" w:name="Tc_xnjE4gZl6UOQlXQ0xQVnyA_4_0"/>
      <w:bookmarkStart w:id="567" w:name="Tc_dN26ZjfzhUyY3mJF2oTnAg_3_7"/>
      <w:bookmarkStart w:id="568" w:name="Tc_Vpig98S8G0K8uS9Nc6PA_A_3_4"/>
      <w:bookmarkStart w:id="569" w:name="Tc_ov5Qiu4gxUOzJYfUux8h9w_3_2"/>
      <w:bookmarkStart w:id="570" w:name="Tc_slQ1YEYxxU27dsjcv_MrDA_2_7"/>
      <w:bookmarkStart w:id="571" w:name="Tc_d4d0jr7ecUySYdVmvxuLrA_2_4"/>
      <w:bookmarkStart w:id="572" w:name="Tc_ypcPFAfWfUC-I1h0jksiWg_1_7"/>
      <w:bookmarkStart w:id="573" w:name="Tc_JK10oV1uy0C7L6NVDuIXnQ_1_4"/>
      <w:bookmarkStart w:id="574" w:name="_a3886705_20ae_4cc1_bf7f_1fb3bb61d2e3"/>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tbl>
      <w:tblPr>
        <w:tblW w:w="9650" w:type="dxa"/>
        <w:jc w:val="left"/>
        <w:tblInd w:w="0" w:type="dxa"/>
        <w:tblLayout w:type="fixed"/>
        <w:tblCellMar>
          <w:top w:w="0" w:type="dxa"/>
          <w:left w:w="0" w:type="dxa"/>
          <w:bottom w:w="0" w:type="dxa"/>
          <w:right w:w="0" w:type="dxa"/>
        </w:tblCellMar>
      </w:tblPr>
      <w:tblGrid>
        <w:gridCol w:w="4966"/>
        <w:gridCol w:w="326"/>
        <w:gridCol w:w="451"/>
        <w:gridCol w:w="326"/>
        <w:gridCol w:w="336"/>
        <w:gridCol w:w="1269"/>
        <w:gridCol w:w="326"/>
        <w:gridCol w:w="331"/>
        <w:gridCol w:w="1319"/>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153410" cy="175260"/>
                      <wp:effectExtent l="0" t="0" r="0" b="0"/>
                      <wp:wrapNone/>
                      <wp:docPr id="76" name="Frame76"/>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86385" cy="175260"/>
                      <wp:effectExtent l="0" t="0" r="0" b="0"/>
                      <wp:wrapNone/>
                      <wp:docPr id="78" name="Frame7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3360" cy="175260"/>
                      <wp:effectExtent l="0" t="0" r="0" b="0"/>
                      <wp:wrapNone/>
                      <wp:docPr id="80" name="Frame80"/>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805815" cy="175260"/>
                      <wp:effectExtent l="0" t="0" r="0" b="0"/>
                      <wp:wrapNone/>
                      <wp:docPr id="81" name="Frame81"/>
                      <a:graphic xmlns:a="http://schemas.openxmlformats.org/drawingml/2006/main">
                        <a:graphicData uri="http://schemas.microsoft.com/office/word/2010/wordprocessingShape">
                          <wps:wsp>
                            <wps:cNvSpPr txBox="1"/>
                            <wps:spPr>
                              <a:xfrm>
                                <a:off x="0" y="0"/>
                                <a:ext cx="805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0185" cy="175260"/>
                      <wp:effectExtent l="0" t="0" r="0" b="0"/>
                      <wp:wrapNone/>
                      <wp:docPr id="83" name="Frame8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837565" cy="175260"/>
                      <wp:effectExtent l="0" t="0" r="0" b="0"/>
                      <wp:wrapNone/>
                      <wp:docPr id="84" name="Frame84"/>
                      <a:graphic xmlns:a="http://schemas.openxmlformats.org/drawingml/2006/main">
                        <a:graphicData uri="http://schemas.microsoft.com/office/word/2010/wordprocessingShape">
                          <wps:wsp>
                            <wps:cNvSpPr txBox="1"/>
                            <wps:spPr>
                              <a:xfrm>
                                <a:off x="0" y="0"/>
                                <a:ext cx="837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60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right"/>
              <w:rPr/>
            </w:pPr>
            <w:r>
              <w:rPr/>
              <w:t>​</w:t>
            </w:r>
          </w:p>
        </w:tc>
        <w:tc>
          <w:tcPr>
            <w:tcW w:w="165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9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right"/>
              <w:rPr/>
            </w:pPr>
            <w:r>
              <w:rPr/>
              <w:t>    </w:t>
            </w:r>
          </w:p>
        </w:tc>
        <w:tc>
          <w:tcPr>
            <w:tcW w:w="165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49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right"/>
              <w:rPr/>
            </w:pPr>
            <w:r>
              <w:rPr/>
              <w:t>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right"/>
              <w:rPr/>
            </w:pPr>
            <w:r>
              <w:rPr/>
              <w:t>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left"/>
              <w:rPr/>
            </w:pPr>
            <w:r>
              <w:rPr/>
              <w:t>​</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for the period</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w:t>
            </w:r>
          </w:p>
        </w:tc>
        <w:tc>
          <w:tcPr>
            <w:tcW w:w="32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(25,194)</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not affecting cash:</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on credit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and expenses settled with equity</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10,378</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6,896</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movement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 short-term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working capital:</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vAlign w:val="center"/>
          </w:tcPr>
          <w:p>
            <w:pPr>
              <w:pStyle w:val="TableContents"/>
              <w:bidi w:val="0"/>
              <w:spacing w:before="0" w:after="0"/>
              <w:ind w:left="0" w:right="0" w:hanging="0"/>
              <w:jc w:val="left"/>
              <w:rPr/>
            </w:pPr>
            <w:r>
              <w:rPr/>
              <w:t> </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5,543</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(9,347)</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(11,852)</w:t>
            </w:r>
          </w:p>
        </w:tc>
      </w:tr>
      <w:tr>
        <w:trPr/>
        <w:tc>
          <w:tcPr>
            <w:tcW w:w="4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equipment and software</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(340)</w:t>
            </w:r>
          </w:p>
        </w:tc>
      </w:tr>
      <w:tr>
        <w:trPr/>
        <w:tc>
          <w:tcPr>
            <w:tcW w:w="4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registered direct offering</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paid for registered direct offering</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Shares issued from ATM</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5,562</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Debt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8,293</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9,048</w:t>
            </w:r>
          </w:p>
        </w:tc>
      </w:tr>
      <w:tr>
        <w:trPr/>
        <w:tc>
          <w:tcPr>
            <w:tcW w:w="4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Decrease in cash </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(1,124)</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(3,144)</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Impact of exchange rate changes on cash </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2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293</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beginning of period</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3,480</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6,842</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end of period</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2,346</w:t>
            </w:r>
          </w:p>
        </w:tc>
        <w:tc>
          <w:tcPr>
            <w:tcW w:w="326" w:type="dxa"/>
            <w:tcBorders/>
            <w:vAlign w:val="center"/>
          </w:tcPr>
          <w:p>
            <w:pPr>
              <w:pStyle w:val="TableContents"/>
              <w:bidi w:val="0"/>
              <w:spacing w:before="0" w:after="0"/>
              <w:ind w:left="0" w:right="0" w:hanging="0"/>
              <w:jc w:val="left"/>
              <w:rPr/>
            </w:pPr>
            <w:r>
              <w:rPr/>
              <w:t> </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19"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3,991</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bookmarkStart w:id="575" w:name="_3d2e32c6_88f2_47d5_9f51_49c0a341401d"/>
        <w:bookmarkEnd w:id="575"/>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576" w:name="a1NatureofOperations_669125"/>
      <w:bookmarkEnd w:id="576"/>
      <w:r>
        <w:rPr>
          <w:rFonts w:ascii="Times New Roman;Times;serif" w:hAnsi="Times New Roman;Times;serif"/>
          <w:b/>
          <w:i w:val="false"/>
          <w:caps w:val="false"/>
          <w:smallCaps w:val="false"/>
          <w:sz w:val="20"/>
        </w:rPr>
        <w:t>1.</w:t>
      </w:r>
      <w:r>
        <w:rPr>
          <w:rFonts w:ascii="Times New Roman;Times;serif" w:hAnsi="Times New Roman;Times;serif"/>
          <w:b/>
          <w:sz w:val="20"/>
        </w:rPr>
        <w:t>Nature of Operations</w:t>
      </w:r>
    </w:p>
    <w:p>
      <w:pPr>
        <w:pStyle w:val="TextBody"/>
        <w:bidi w:val="0"/>
        <w:spacing w:lineRule="auto" w:line="240" w:before="0" w:after="240"/>
        <w:ind w:left="360" w:right="0" w:hanging="0"/>
        <w:jc w:val="both"/>
        <w:rPr>
          <w:rFonts w:ascii="Times New Roman;Times;serif" w:hAnsi="Times New Roman;Times;serif"/>
          <w:sz w:val="20"/>
        </w:rPr>
      </w:pPr>
      <w:r>
        <w:rPr>
          <w:rFonts w:ascii="Times New Roman;Times;serif" w:hAnsi="Times New Roman;Times;serif"/>
          <w:sz w:val="20"/>
        </w:rPr>
        <w:t>TMC the metals company Inc. (“TMC” or the “Company”) was incorporated as a Cayman Islands exempted company limited by shares on December 18, 2019, and continued as a corporation under the laws of the province of British Columbia, Canada on September 9, 2021. The Company’s corporate office, registered address and records office is located at 10th floor, 1111 West Hastings Street, 15</w:t>
      </w:r>
      <w:r>
        <w:rPr>
          <w:rFonts w:ascii="Times New Roman;Times;serif" w:hAnsi="Times New Roman;Times;serif"/>
          <w:sz w:val="15"/>
        </w:rPr>
        <w:t>th</w:t>
      </w:r>
      <w:r>
        <w:rPr>
          <w:rFonts w:ascii="Times New Roman;Times;serif" w:hAnsi="Times New Roman;Times;serif"/>
          <w:sz w:val="20"/>
        </w:rPr>
        <w:t xml:space="preserve"> Floor, Vancouver, British Columbia, Canada, V6E 2J3. The Company’s common shares and warrants to purchase common shares are listed for trading on the Nasdaq Global Select Market (“Nasdaq”) under tickers “TMC” and “TMCWW”,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 a deep-sea minerals exploration company focused on the collection and processing of polymetallic nodules found on the seafloor in international waters of the Clarion Clipperton Zone in the Pacific Ocean (“CCZ”), with NORI Area D located approximately 1,500 miles southwest of San Diego, California. These nodules contain high grades of four metals (nickel, copper, cobalt, manganese) which can be used as (i) feedstock for battery cathode precursors (nickel, cobalt and manganese sulfates, or intermediate nickel-copper-cobalt matte or nickel-copper-cobalt alloy) for nickel-rich lithium-ion batteries, (ii) copper cathode for electric wiring, energy transmission and other applications and (iii) manganese silicate for manganese alloy production required for steel manufacturing.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April 28, 2025, the Company’s wholly owned subsidiary, The Metals Company USA, LLC (“TMC USA”), formally submitted applications for two exploration licenses and one commercial recovery permit to the National Oceanic and Atmospheric Administration (“NOAA”) pursuant to the Deep Seabed Hard Mineral Resources Act of 1980 or DSHMRA. The submitted exploration license applications are to secure exploration rights over two areas in the CCZ, namely TMC USA-A and TMC USA-B, covering a total area of 199,895 square kilometers. The submitted commercial recovery permit application is to secure exploitation rights for a subset of the TMC USA Zone A area covering over 25,160 square kilometers. The commercial recovery application is the first submission under DSHMRA for commercial recovery of polymetallic nodules.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Both Nauru Ocean Resources Inc. (NORI) and Tonga Offshore Mining Limited (TOML) continue to hold their exploration licenses granted by the International Seabed Authority (ISA) and continue pursuing their efforts under these licenses.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realization of the Company’s assets and attainment of profitable operations is dependent upon many factors including, among other things: financing being arranged by the Company to continue the scaling of the nodule collection system for the recovery of polymetallic nodules from the seafloor and the processing technology for the treatment of polymetallic nodules at commercial scale,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Basis of Presentation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2025 or for any other period. These unaudited condensed consolidated interim financial statements should be read in conjunction with the audited annual consolidated financial statements for the year ended December 31, 2024. The Company has applied the same accounting policies as in the prior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Use of Estimates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evaluation of going concern, the valuation of share-based payments, including valuation of stock options (Note 13), valuation of Class B warrants (Note 12) as well as the valuation of private warrants (Note 12), the valuation of the Royalty liability (Note 7) and the valuation of leases (Note 6). Actual results could differ materially from those estimates.</w:t>
      </w:r>
    </w:p>
    <w:p>
      <w:pPr>
        <w:pStyle w:val="TextBody"/>
        <w:bidi w:val="0"/>
        <w:spacing w:before="0" w:after="240"/>
        <w:ind w:left="0" w:right="0" w:hanging="0"/>
        <w:jc w:val="left"/>
        <w:rPr>
          <w:rFonts w:ascii="Times New Roman;Times;serif" w:hAnsi="Times New Roman;Times;serif"/>
          <w:b/>
          <w:sz w:val="20"/>
        </w:rPr>
      </w:pPr>
      <w:bookmarkStart w:id="577" w:name="_25ec1522_1bf9_4ff3_83e0_99c0ecca1985_3"/>
      <w:bookmarkStart w:id="578" w:name="_25ec1522_1bf9_4ff3_83e0_99c0ecca1985_2"/>
      <w:bookmarkStart w:id="579" w:name="_25ec1522_1bf9_4ff3_83e0_99c0ecca1985"/>
      <w:bookmarkStart w:id="580" w:name="_ec33f2a6_53b5_42a4_ab2b_6c9b37dcbbed_3"/>
      <w:bookmarkStart w:id="581" w:name="_ec33f2a6_53b5_42a4_ab2b_6c9b37dcbbed_2"/>
      <w:bookmarkStart w:id="582" w:name="_ec33f2a6_53b5_42a4_ab2b_6c9b37dcbbed"/>
      <w:bookmarkStart w:id="583" w:name="_5f5ba907_9ee9_4437_9f06_9bf7589e6745_3"/>
      <w:bookmarkStart w:id="584" w:name="_5f5ba907_9ee9_4437_9f06_9bf7589e6745_2"/>
      <w:bookmarkStart w:id="585" w:name="_5f5ba907_9ee9_4437_9f06_9bf7589e6745"/>
      <w:bookmarkStart w:id="586" w:name="_77f25e10_109a_4c91_a800_25eb529e3269_3"/>
      <w:bookmarkStart w:id="587" w:name="_77f25e10_109a_4c91_a800_25eb529e3269_2"/>
      <w:bookmarkStart w:id="588" w:name="_77f25e10_109a_4c91_a800_25eb529e3269"/>
      <w:bookmarkStart w:id="589" w:name="_5667ac35_caba_4501_be59_e5053f276101_3"/>
      <w:bookmarkStart w:id="590" w:name="_5667ac35_caba_4501_be59_e5053f276101_2"/>
      <w:bookmarkStart w:id="591" w:name="_5667ac35_caba_4501_be59_e5053f276101"/>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r>
        <w:rPr>
          <w:rFonts w:ascii="Times New Roman;Times;serif" w:hAnsi="Times New Roman;Times;serif"/>
          <w:b/>
          <w:i w:val="false"/>
          <w:caps w:val="false"/>
          <w:smallCaps w:val="false"/>
          <w:sz w:val="20"/>
        </w:rPr>
        <w:t>4.</w:t>
      </w:r>
      <w:r>
        <w:rPr>
          <w:rFonts w:ascii="Times New Roman;Times;serif" w:hAnsi="Times New Roman;Times;serif"/>
          <w:b/>
          <w:sz w:val="20"/>
        </w:rPr>
        <w:t>Fair Value of Financial Instruments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1</w:t>
            </w:r>
            <w:r>
              <w:rPr>
                <w:caps w:val="false"/>
                <w:smallCaps w:val="false"/>
              </w:rPr>
              <w:t> </w:t>
            </w:r>
            <w:r>
              <w:rPr>
                <w:rFonts w:ascii="Times New Roman;Times;serif" w:hAnsi="Times New Roman;Times;serif"/>
                <w:b w:val="false"/>
                <w:i w:val="false"/>
                <w:caps w:val="false"/>
                <w:smallCaps w:val="false"/>
                <w:sz w:val="20"/>
              </w:rPr>
              <w:t>- Valuations based on quoted prices in active markets for identical assets or liabilities that an entity has the ability to access.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2</w:t>
            </w:r>
            <w:r>
              <w:rPr>
                <w:caps w:val="false"/>
                <w:smallCaps w:val="false"/>
              </w:rPr>
              <w:t> </w:t>
            </w:r>
            <w:r>
              <w:rPr>
                <w:rFonts w:ascii="Times New Roman;Times;serif" w:hAnsi="Times New Roman;Times;serif"/>
                <w:b w:val="false"/>
                <w:i w:val="false"/>
                <w:caps w:val="false"/>
                <w:smallCaps w:val="false"/>
                <w:sz w:val="20"/>
              </w:rPr>
              <w:t>-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3</w:t>
            </w:r>
            <w:r>
              <w:rPr>
                <w:caps w:val="false"/>
                <w:smallCaps w:val="false"/>
              </w:rPr>
              <w:t> </w:t>
            </w:r>
            <w:r>
              <w:rPr>
                <w:rFonts w:ascii="Times New Roman;Times;serif" w:hAnsi="Times New Roman;Times;serif"/>
                <w:b w:val="false"/>
                <w:i w:val="false"/>
                <w:caps w:val="false"/>
                <w:smallCaps w:val="false"/>
                <w:sz w:val="20"/>
              </w:rPr>
              <w:t>- Valuations based on inputs that are supported by little or no market activity and that are significant to the fair value of the assets or liabilities.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transfers between fair value measurement levels during the three months ended March 31,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2025, and December 31, 2024, the carrying values of cash, receivables, short-term debt, accounts payable and accrued liabilities approximate their fair values due to the short-term nature of these instruments. The financial instruments also include royalty liability and warrants which are recorded at fair value as disclosed in Note 7 and Note 12,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Recent Accounting Pronouncements Issued and Adopted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recent accounting pronouncements issued and adopted by the Company during the period.</w:t>
      </w:r>
    </w:p>
    <w:p>
      <w:pPr>
        <w:pStyle w:val="TextBody"/>
        <w:bidi w:val="0"/>
        <w:spacing w:before="0" w:after="240"/>
        <w:ind w:left="0" w:right="0" w:hanging="0"/>
        <w:jc w:val="left"/>
        <w:rPr>
          <w:rFonts w:ascii="Times New Roman;Times;serif" w:hAnsi="Times New Roman;Times;serif"/>
          <w:sz w:val="20"/>
        </w:rPr>
      </w:pPr>
      <w:bookmarkStart w:id="592" w:name="Tc_069c0EJKt0O-nUw6uS_9hA_6_2"/>
      <w:bookmarkStart w:id="593" w:name="Tc_5QVyXV04CkSk2Aa0_yeEAg_6_0"/>
      <w:bookmarkStart w:id="594" w:name="Tc_FkvN5I_B60e-3mZ7iqGOBg_5_0"/>
      <w:bookmarkStart w:id="595" w:name="Tc_3i2D33CTw0SEEo9j6ZlyRQ_4_2"/>
      <w:bookmarkStart w:id="596" w:name="Tc_-bPIyMn7qEypbJpVd0tFkA_4_0"/>
      <w:bookmarkStart w:id="597" w:name="Tc_LxmLCGA4pU2Cfde1N1vG0w_3_0"/>
      <w:bookmarkStart w:id="598" w:name="Tc_sGy7aXaccUy_PH5Bet83XQ_2_2"/>
      <w:bookmarkStart w:id="599" w:name="Tc_SqNBm0L_Ik2T3yzBvDAYTQ_2_0"/>
      <w:bookmarkStart w:id="600" w:name="Tc_Flk94HOUJ0OXXSINeplD6w_1_2"/>
      <w:bookmarkEnd w:id="592"/>
      <w:bookmarkEnd w:id="593"/>
      <w:bookmarkEnd w:id="594"/>
      <w:bookmarkEnd w:id="595"/>
      <w:bookmarkEnd w:id="596"/>
      <w:bookmarkEnd w:id="597"/>
      <w:bookmarkEnd w:id="598"/>
      <w:bookmarkEnd w:id="599"/>
      <w:bookmarkEnd w:id="600"/>
      <w:r>
        <w:rPr>
          <w:rFonts w:ascii="Times New Roman;Times;serif" w:hAnsi="Times New Roman;Times;serif"/>
          <w:b/>
          <w:i w:val="false"/>
          <w:caps w:val="false"/>
          <w:smallCaps w:val="false"/>
          <w:sz w:val="20"/>
        </w:rPr>
        <w:t>6.</w:t>
      </w:r>
      <w:r>
        <w:rPr>
          <w:rFonts w:ascii="Times New Roman;Times;serif" w:hAnsi="Times New Roman;Times;serif"/>
          <w:b/>
          <w:sz w:val="20"/>
        </w:rPr>
        <w:t>Strategic Alliance with Allseas and Affiliates</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Development of Project Zero Offshore Nodule Collection System</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16, 2022, NORI and Allseas entered into a non-binding term sheet for the development and operation of a commercial nodule collection system. During the period ended March 31, 2025, Allseas provided the Company with engineering, project management and vessel use services consisting of lay-up and transit costs totaling $2.3 million, as part of the development of the commercial nodule collection system: these costs were recorded as mining, technological and process development within exploration and evaluation expenses (Note 8) (For three months ended March 31, 2024: $ 3.7 million).</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Exclusive Vessel Use Agreement with Allseas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August 1, 2023, the Company entered into an Exclusive Vessel Use Agreement with Allseas pursuant to which Allseas will give exclusive use of the vessel </w:t>
      </w:r>
      <w:r>
        <w:rPr>
          <w:rFonts w:ascii="Times New Roman;Times;serif" w:hAnsi="Times New Roman;Times;serif"/>
          <w:i/>
          <w:sz w:val="20"/>
        </w:rPr>
        <w:t>(“Hidden Gem”)</w:t>
      </w:r>
      <w:r>
        <w:rPr>
          <w:rFonts w:ascii="Times New Roman;Times;serif" w:hAnsi="Times New Roman;Times;serif"/>
          <w:sz w:val="20"/>
        </w:rPr>
        <w:t xml:space="preserve"> to the Company in support of the development of the Project Zero Offshore Nodule Collection System until the system is completed or December 31, 2026, whichever is earlier. Allseas can terminate the agreement if the Company ceases normal operations, assigns assets to creditors, initiates bankruptcy proceedings, or faces unresolved bankruptcy-related actions.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three months ended March 31, 2025, the Company has recognized $0.5 million as lease expense recorded as exploration and evaluation expense (For the three months ended March 31, 2024: $0.5 million).</w:t>
      </w:r>
    </w:p>
    <w:p>
      <w:pPr>
        <w:pStyle w:val="TextBody"/>
        <w:bidi w:val="0"/>
        <w:spacing w:before="0" w:after="0"/>
        <w:ind w:left="0" w:right="0" w:hanging="0"/>
        <w:jc w:val="left"/>
        <w:rPr/>
      </w:pPr>
      <w:r>
        <w:rPr/>
        <w:t>​</w:t>
      </w:r>
    </w:p>
    <w:tbl>
      <w:tblPr>
        <w:tblW w:w="4708" w:type="dxa"/>
        <w:jc w:val="left"/>
        <w:tblInd w:w="0" w:type="dxa"/>
        <w:tblLayout w:type="fixed"/>
        <w:tblCellMar>
          <w:top w:w="0" w:type="dxa"/>
          <w:left w:w="0" w:type="dxa"/>
          <w:bottom w:w="0" w:type="dxa"/>
          <w:right w:w="0" w:type="dxa"/>
        </w:tblCellMar>
      </w:tblPr>
      <w:tblGrid>
        <w:gridCol w:w="2911"/>
        <w:gridCol w:w="326"/>
        <w:gridCol w:w="349"/>
        <w:gridCol w:w="1122"/>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848485" cy="175260"/>
                      <wp:effectExtent l="0" t="0" r="0" b="0"/>
                      <wp:wrapNone/>
                      <wp:docPr id="85" name="Frame85"/>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21615" cy="175260"/>
                      <wp:effectExtent l="0" t="0" r="0" b="0"/>
                      <wp:wrapNone/>
                      <wp:docPr id="87" name="Frame87"/>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12470" cy="175260"/>
                      <wp:effectExtent l="0" t="0" r="0" b="0"/>
                      <wp:wrapNone/>
                      <wp:docPr id="88" name="Frame88"/>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Right-of-use Asset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5,721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 during the year</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3,814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 during the period</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3,337</w:t>
            </w:r>
          </w:p>
        </w:tc>
      </w:tr>
    </w:tbl>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 xml:space="preserve">2023 Credit Facility and Loan Agreements with Company Related to Allseas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22, 2023, the Company entered into an Unsecured Credit Facility Agreement, which was amended on July 31, 2023 (“2023 Credit Facility”), with Argentum Cedit Virtuti GCV (the “Lender”), the parent of Allseas Investments S.A. (“Allseas Investments”) and an affiliate of Allseas, pursuant to which, the Company may borrow from the Lender up to $25 million in the aggregate, from time to time, subject to certain conditions. All amounts drawn under the 2023 Credit Facility will bear interest based on the 6-month Secured Overnight Financing Rate, 180-day average plus a margin of 4.0% per annum payable in cash semi-annually (or plus a margin of 5% if paid-in-kind at maturity, at the Company’s election) on the first business day of each of June and January. The Company will pay an underutilization fee equal to 4.0% per annum payable semi-annually for any amounts that remain undrawn under the 2023 Credit Facility. The Company has the right to pre-pay the entire amount outstanding under the 2023 Credit Facility at any time before the 2023 Credit Facility’s maturity. The Company has the ability to settle certain charges under the 2023 Credit Facility in cash or in equity at the discretion of the Company. The 2023 Credit Facility also contains customary events of default. On March 24, 2025, the Company entered into a Letter Agreement with the Lender, pursuant to which the undrawn, unsecured credit facility was cancelled with the only obligation being the underutilization fees amounting to $2 million as payable.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March 31, 2025 and 2024, the Company incurred $0.2 million as underutilization fees in both periods.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September 9, 2024, the Company entered into a working capital loan agreement (the “Working Capital Loan Agreement”) with Allseas Investments, a company related to Allseas. In accordance with the Working Capital Loan Agreement, Allseas Investments provided a loan to the Company of $7.5 million (the “Working Capital Loan”) to be used towards general corporate purposes and for the repayment of all outstanding amounts under the Short-Term Loan between the Company and the Lender. The Working Capital Loan is payable to Allseas Investments on or before the earlier of (i) the occurrence of certain financing events and (ii) April 1, 2025 (the “Repayment Date”). The Working Capital Loan will bear interest based on the 6-month Secured Overnight Financing Rate, 180-day average plus a margin of 4.0% per annum and is payable in two installments on January 2, 2025, and the Repayment Date (or plus a margin of 5.0% if all interest payments are deferred to the Repayment Date, at the Company’s election). On March 24, 2025, the Company entered into a Letter Agreement with Allseas Investments, pursuant to which the Repayment Date under the Working Capital Loan Agreement was extended to September 30, 2025, with principal and interest being repayable on that date. For the three months ended March 31, 2025, the Company did not repay any portion of the drawn amount of $7.5 million and incurred $0.2 million as interest expense.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As at March 31, 2025, the total amount payable to Allseas and its affiliates was $37.1 million, with $7.5 million of this amount recorded as short-term debt and the remaining balance recorded in accrued liabilities in the Condensed Consolidated Balance Sheet (Note 9) (December 31, 2024: $33.3 million, recorded as accrued liabilities and $7.5 million recorded as short-term debt). As at March 31, 2025, Allseas and its affiliates owned 53.8 million TMC common shares (2024: 53.8 million TMC common shares) which constituted 15.1% (December 31, 2024: 15.8%) of total common shares outstanding.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Investment in Low Carbon Royalties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21, 2023 (the “Closing Date”), the Company and its wholly-owned subsidiary, NORI, entered into an investment agreement (the “Royalty Agreement”) with Low Carbon Royalties Inc. (“Low Carbon Royalties”). In connection with the Royalty Agreement, NORI contributed a 2% gross overriding royalty (the “NORI Royalty”) on the Company’s NORI project area in the CCZ to Low Carbon Royalties. In consideration of the NORI Royalty, TMC received an ownership in Low Carbon Royalties and $5 million in cash, as of the Closing Date. In connection with the Royalty Agreement the Company entered into an Investor Rights Agreement with Low Carbon Royalties and a shareholder of Low Carbon Royalties, pursuant to which the Company and this shareholder each have a right, subject to certain percentage maintenance, to nominate a director to Low Carbon Royalties’ board of directors, along with registration and information rights.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March 31, 2025, there was no change to the Company’s ownership in Low Carbon Royalties which remained at 32% (December 31, 2024: 32%).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bookmarkStart w:id="601" w:name="Tc_Swchhi6y_k-sS6EqLaiDGg_5_2"/>
      <w:bookmarkStart w:id="602" w:name="Tc_Qud_ENkZI0CCS48VIGkSdQ_5_0"/>
      <w:bookmarkStart w:id="603" w:name="Tc_odflWis9dUSP1FPzdJuglw_4_0"/>
      <w:bookmarkStart w:id="604" w:name="Tc_7EZ3_Nm4FkeQFHvCKpx9gQ_3_2"/>
      <w:bookmarkStart w:id="605" w:name="Tc_Q1u1yER9QUyOkVBDjaYiWg_3_0"/>
      <w:bookmarkStart w:id="606" w:name="Tc_0B0yVSCAYkC4gcPlsOiAeQ_2_5"/>
      <w:bookmarkStart w:id="607" w:name="Tc_W0ppglIO20qVoiHKWx1yxg_2_2"/>
      <w:bookmarkStart w:id="608" w:name="Tc_oBVStpcxFUSGzQLESn03_w_1_2"/>
      <w:bookmarkStart w:id="609" w:name="Tc_vMkc0IFQX02PHAc8dZOW_w_5_0"/>
      <w:bookmarkStart w:id="610" w:name="Tc_Zq5_V2qE1E6V0Mup2aMYOw_4_0"/>
      <w:bookmarkStart w:id="611" w:name="Tc_8bHMDVGPKUagZjf03fMm6g_3_2"/>
      <w:bookmarkStart w:id="612" w:name="Tc_Q7MekPay606nb-SvRU1yhQ_3_0"/>
      <w:bookmarkStart w:id="613" w:name="Tc_rFlsOEYOU0WcCqLWW38MMg_2_5"/>
      <w:bookmarkStart w:id="614" w:name="Tc_WnXxf6DNU0KG5oyl07yC5w_2_2"/>
      <w:bookmarkStart w:id="615" w:name="Tc_vxilQXamEkiZIZBqtDkESw_1_5"/>
      <w:bookmarkStart w:id="616" w:name="Tc_JzZphteHsUaxCFU_ZcPveg_1_2"/>
      <w:bookmarkStart w:id="617" w:name="Tc_OyCTzPrBikOhpwbzJ-lHyw_6_2"/>
      <w:bookmarkStart w:id="618" w:name="Tc_fdMeKYJ30Em7zrTfslGGrg_6_0"/>
      <w:bookmarkStart w:id="619" w:name="Tc_djDXCYdQkEWtk6fg2uscxg_5_0"/>
      <w:bookmarkStart w:id="620" w:name="Tc_RUOE0JMP9EiEJIFSUbs63w_4_2"/>
      <w:bookmarkStart w:id="621" w:name="Tc_nlQMIU77q0CYKpZlROGCvg_4_0"/>
      <w:bookmarkStart w:id="622" w:name="Tc_s56i3QAjUEOHOTEWr8Po2g_3_0"/>
      <w:bookmarkStart w:id="623" w:name="Tc_DjkUzWw1HUuDQpQ2Zpr5hA_2_2"/>
      <w:bookmarkStart w:id="624" w:name="Tc_NRSFTc6d5U6ho5CtK3YlGQ_2_0"/>
      <w:bookmarkStart w:id="625" w:name="Tc_FsgWr-4uIEifkA44v3qwLg_1_2"/>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Pr>
          <w:rFonts w:ascii="Times New Roman;Times;serif" w:hAnsi="Times New Roman;Times;serif"/>
          <w:sz w:val="20"/>
        </w:rPr>
        <w:t>For the three months ended March 31, 2025, the Company’s share of the net loss generated by the Low Carbon Royalties was $35 thousand (For the three months ended March 31, 2024: $78 thousand).</w:t>
      </w:r>
    </w:p>
    <w:p>
      <w:pPr>
        <w:pStyle w:val="TextBody"/>
        <w:bidi w:val="0"/>
        <w:spacing w:before="0" w:after="0"/>
        <w:ind w:left="0" w:right="0" w:hanging="0"/>
        <w:jc w:val="left"/>
        <w:rPr/>
      </w:pPr>
      <w:r>
        <w:rPr/>
        <w:t>​</w:t>
      </w:r>
    </w:p>
    <w:tbl>
      <w:tblPr>
        <w:tblW w:w="7168" w:type="dxa"/>
        <w:jc w:val="left"/>
        <w:tblInd w:w="0" w:type="dxa"/>
        <w:tblLayout w:type="fixed"/>
        <w:tblCellMar>
          <w:top w:w="0" w:type="dxa"/>
          <w:left w:w="0" w:type="dxa"/>
          <w:bottom w:w="0" w:type="dxa"/>
          <w:right w:w="0" w:type="dxa"/>
        </w:tblCellMar>
      </w:tblPr>
      <w:tblGrid>
        <w:gridCol w:w="5896"/>
        <w:gridCol w:w="326"/>
        <w:gridCol w:w="225"/>
        <w:gridCol w:w="721"/>
      </w:tblGrid>
      <w:tr>
        <w:trPr/>
        <w:tc>
          <w:tcPr>
            <w:tcW w:w="5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743960" cy="175260"/>
                      <wp:effectExtent l="0" t="0" r="0" b="0"/>
                      <wp:wrapNone/>
                      <wp:docPr id="89" name="Frame89"/>
                      <a:graphic xmlns:a="http://schemas.openxmlformats.org/drawingml/2006/main">
                        <a:graphicData uri="http://schemas.microsoft.com/office/word/2010/wordprocessingShape">
                          <wps:wsp>
                            <wps:cNvSpPr txBox="1"/>
                            <wps:spPr>
                              <a:xfrm>
                                <a:off x="0" y="0"/>
                                <a:ext cx="3743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42875" cy="175260"/>
                      <wp:effectExtent l="0" t="0" r="0" b="0"/>
                      <wp:wrapNone/>
                      <wp:docPr id="91" name="Frame9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57835" cy="175260"/>
                      <wp:effectExtent l="0" t="0" r="0" b="0"/>
                      <wp:wrapNone/>
                      <wp:docPr id="92" name="Frame9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Investment</w:t>
            </w:r>
          </w:p>
        </w:tc>
      </w:tr>
      <w:tr>
        <w:trPr/>
        <w:tc>
          <w:tcPr>
            <w:tcW w:w="5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Investment as at December 31, 2023 </w:t>
            </w:r>
          </w:p>
        </w:tc>
        <w:tc>
          <w:tcPr>
            <w:tcW w:w="326" w:type="dxa"/>
            <w:tcBorders/>
            <w:shd w:fill="CCEEFF" w:val="clear"/>
            <w:vAlign w:val="center"/>
          </w:tcPr>
          <w:p>
            <w:pPr>
              <w:pStyle w:val="TableContents"/>
              <w:bidi w:val="0"/>
              <w:spacing w:before="0" w:after="0"/>
              <w:ind w:left="0" w:right="0" w:hanging="0"/>
              <w:jc w:val="center"/>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w:t>
            </w:r>
          </w:p>
        </w:tc>
      </w:tr>
      <w:tr>
        <w:trPr/>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 for the 2024 year</w:t>
            </w:r>
          </w:p>
        </w:tc>
        <w:tc>
          <w:tcPr>
            <w:tcW w:w="326" w:type="dxa"/>
            <w:tcBorders/>
            <w:vAlign w:val="center"/>
          </w:tcPr>
          <w:p>
            <w:pPr>
              <w:pStyle w:val="TableContents"/>
              <w:bidi w:val="0"/>
              <w:spacing w:before="0" w:after="0"/>
              <w:ind w:left="0" w:right="0" w:hanging="0"/>
              <w:jc w:val="center"/>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5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Investment as at December 31, 2024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8,203</w:t>
            </w:r>
          </w:p>
        </w:tc>
      </w:tr>
      <w:tr>
        <w:trPr/>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 for the period ended March 31, 2025</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5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as at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8,168</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The NORI Royalty was recorded as a royalty liability in the consolidated Balance Sheet in accordance with ASC 470, </w:t>
      </w:r>
      <w:r>
        <w:rPr>
          <w:rFonts w:ascii="Times New Roman;Times;serif" w:hAnsi="Times New Roman;Times;serif"/>
          <w:i/>
          <w:sz w:val="20"/>
        </w:rPr>
        <w:t>Debt</w:t>
      </w:r>
      <w:r>
        <w:rPr>
          <w:rFonts w:ascii="Times New Roman;Times;serif" w:hAnsi="Times New Roman;Times;serif"/>
          <w:sz w:val="20"/>
        </w:rPr>
        <w:t xml:space="preserve"> (“ASC 470”). The Company elected to account for the royalty liability at fair value through profit and loss. The fair value was determined using a market approach which entails examining recent royalty transactions prior to the reporting date, focusing on those transactions that involve similar metals as contained in NORI’s polymetallic nodules. The Company compares the specific characteristics of these transactions to estimate the fair value. The fair value of the royalty liability as at March 31, 2025, remained unchanged at $14 million.</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Financial results of Low Carbon Royalties as at and for the three months ended March 31, 2025, and 2024 are summarized below:</w:t>
      </w:r>
    </w:p>
    <w:p>
      <w:pPr>
        <w:pStyle w:val="TextBody"/>
        <w:bidi w:val="0"/>
        <w:spacing w:before="0" w:after="0"/>
        <w:ind w:left="360" w:right="0" w:hanging="0"/>
        <w:jc w:val="both"/>
        <w:rPr/>
      </w:pPr>
      <w:r>
        <w:rPr/>
        <w:t>​</w:t>
      </w:r>
    </w:p>
    <w:tbl>
      <w:tblPr>
        <w:tblW w:w="4944" w:type="dxa"/>
        <w:jc w:val="left"/>
        <w:tblInd w:w="0" w:type="dxa"/>
        <w:tblLayout w:type="fixed"/>
        <w:tblCellMar>
          <w:top w:w="0" w:type="dxa"/>
          <w:left w:w="0" w:type="dxa"/>
          <w:bottom w:w="0" w:type="dxa"/>
          <w:right w:w="0" w:type="dxa"/>
        </w:tblCellMar>
      </w:tblPr>
      <w:tblGrid>
        <w:gridCol w:w="1696"/>
        <w:gridCol w:w="326"/>
        <w:gridCol w:w="303"/>
        <w:gridCol w:w="972"/>
        <w:gridCol w:w="326"/>
        <w:gridCol w:w="1321"/>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076960" cy="175260"/>
                      <wp:effectExtent l="0" t="0" r="0" b="0"/>
                      <wp:wrapNone/>
                      <wp:docPr id="93" name="Frame93"/>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92405" cy="175260"/>
                      <wp:effectExtent l="0" t="0" r="0" b="0"/>
                      <wp:wrapNone/>
                      <wp:docPr id="95" name="Frame9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17220" cy="175260"/>
                      <wp:effectExtent l="0" t="0" r="0" b="0"/>
                      <wp:wrapNone/>
                      <wp:docPr id="96" name="Frame96"/>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838835" cy="175260"/>
                      <wp:effectExtent l="0" t="0" r="0" b="0"/>
                      <wp:wrapNone/>
                      <wp:docPr id="98" name="Frame98"/>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 March 31,</w:t>
            </w:r>
          </w:p>
        </w:tc>
        <w:tc>
          <w:tcPr>
            <w:tcW w:w="326" w:type="dxa"/>
            <w:tcBorders/>
            <w:vAlign w:val="center"/>
          </w:tcPr>
          <w:p>
            <w:pPr>
              <w:pStyle w:val="TableContents"/>
              <w:bidi w:val="0"/>
              <w:spacing w:before="0" w:after="0"/>
              <w:ind w:left="0" w:right="0" w:hanging="0"/>
              <w:jc w:val="center"/>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 March 31,</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1,871</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25,028</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w:t>
            </w:r>
          </w:p>
        </w:tc>
      </w:tr>
    </w:tbl>
    <w:p>
      <w:pPr>
        <w:pStyle w:val="TextBody"/>
        <w:bidi w:val="0"/>
        <w:spacing w:before="0" w:after="0"/>
        <w:ind w:left="360" w:right="0" w:hanging="0"/>
        <w:jc w:val="both"/>
        <w:rPr/>
      </w:pPr>
      <w:r>
        <w:rPr/>
        <w:t>​</w:t>
      </w:r>
    </w:p>
    <w:tbl>
      <w:tblPr>
        <w:tblW w:w="5681" w:type="dxa"/>
        <w:jc w:val="left"/>
        <w:tblInd w:w="0" w:type="dxa"/>
        <w:tblLayout w:type="fixed"/>
        <w:tblCellMar>
          <w:top w:w="0" w:type="dxa"/>
          <w:left w:w="0" w:type="dxa"/>
          <w:bottom w:w="0" w:type="dxa"/>
          <w:right w:w="0" w:type="dxa"/>
        </w:tblCellMar>
      </w:tblPr>
      <w:tblGrid>
        <w:gridCol w:w="2956"/>
        <w:gridCol w:w="326"/>
        <w:gridCol w:w="304"/>
        <w:gridCol w:w="780"/>
        <w:gridCol w:w="470"/>
        <w:gridCol w:w="845"/>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877060" cy="175260"/>
                      <wp:effectExtent l="0" t="0" r="0" b="0"/>
                      <wp:wrapNone/>
                      <wp:docPr id="99" name="Frame99"/>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93040" cy="175260"/>
                      <wp:effectExtent l="0" t="0" r="0" b="0"/>
                      <wp:wrapNone/>
                      <wp:docPr id="101" name="Frame10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5300" cy="175260"/>
                      <wp:effectExtent l="0" t="0" r="0" b="0"/>
                      <wp:wrapNone/>
                      <wp:docPr id="102" name="Frame102"/>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98450" cy="175260"/>
                      <wp:effectExtent l="0" t="0" r="0" b="0"/>
                      <wp:wrapNone/>
                      <wp:docPr id="103" name="Frame103"/>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36575" cy="175260"/>
                      <wp:effectExtent l="0" t="0" r="0" b="0"/>
                      <wp:wrapNone/>
                      <wp:docPr id="104" name="Frame104"/>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9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470" w:type="dxa"/>
            <w:tcBorders/>
            <w:vAlign w:val="center"/>
          </w:tcPr>
          <w:p>
            <w:pPr>
              <w:pStyle w:val="TableContents"/>
              <w:bidi w:val="0"/>
              <w:spacing w:before="0" w:after="0"/>
              <w:ind w:left="0" w:right="0" w:hanging="0"/>
              <w:jc w:val="center"/>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Income</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w:t>
            </w:r>
          </w:p>
        </w:tc>
        <w:tc>
          <w:tcPr>
            <w:tcW w:w="47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w:t>
            </w:r>
          </w:p>
        </w:tc>
        <w:tc>
          <w:tcPr>
            <w:tcW w:w="470"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w:t>
            </w:r>
          </w:p>
        </w:tc>
        <w:tc>
          <w:tcPr>
            <w:tcW w:w="470" w:type="dxa"/>
            <w:tcBorders/>
            <w:shd w:fill="CCEEFF" w:val="cle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626" w:name="Tc_fcyzhC_AiEC9jYV0kQZWsA_10_5"/>
      <w:bookmarkStart w:id="627" w:name="Tc_w5EeTYbN4EKM2RXzNxPHOA_10_2"/>
      <w:bookmarkStart w:id="628" w:name="Tc_AEEu7J9ltkmtbRrasXlD1Q_9_0"/>
      <w:bookmarkStart w:id="629" w:name="Tc_W6ZQ5aKMpk2tFCNxZR0-fA_8_0"/>
      <w:bookmarkStart w:id="630" w:name="Tc_LfdQr9XMUku1-qcdupIEXg_7_0"/>
      <w:bookmarkStart w:id="631" w:name="Tc_R9xvnulbzkCOitfnHHCnsw_6_0"/>
      <w:bookmarkStart w:id="632" w:name="Tc_0-utc-PS80GXPSMBz8SVjw_5_0"/>
      <w:bookmarkStart w:id="633" w:name="Tc__hhQJ-VuQ0qKaxyFtSDQCg_4_0"/>
      <w:bookmarkStart w:id="634" w:name="Tc_1elb0bTB0USeht_gjJyAnw_3_5"/>
      <w:bookmarkStart w:id="635" w:name="Tc_P9kcvfF_5U-VJ4InkgyUIA_3_2"/>
      <w:bookmarkStart w:id="636" w:name="Tc_aWKqKvllFEOjpqxecnF7cQ_3_0"/>
      <w:bookmarkStart w:id="637" w:name="Tc_fM7TMWKuzkKedjv1cn_SpQ_2_5"/>
      <w:bookmarkStart w:id="638" w:name="Tc_CNEJRoL3OUCiXClDexyFTQ_2_2"/>
      <w:bookmarkStart w:id="639" w:name="Tc_C_2FPIHll02-vqRvsBwg-g_1_2"/>
      <w:bookmarkStart w:id="640" w:name="_359a9812_fb47_4e2d_a6ad_482fc19f4e58"/>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Pr>
          <w:rFonts w:ascii="Times New Roman;Times;serif" w:hAnsi="Times New Roman;Times;serif"/>
          <w:b/>
          <w:i w:val="false"/>
          <w:caps w:val="false"/>
          <w:smallCaps w:val="false"/>
          <w:sz w:val="20"/>
        </w:rPr>
        <w:t>8.</w:t>
      </w:r>
      <w:r>
        <w:rPr>
          <w:rFonts w:ascii="Times New Roman;Times;serif" w:hAnsi="Times New Roman;Times;serif"/>
          <w:b/>
          <w:sz w:val="20"/>
        </w:rPr>
        <w:t>Exploration and Evaluation Expenses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detail of exploration and evaluation expenses is as follows:</w:t>
      </w:r>
    </w:p>
    <w:p>
      <w:pPr>
        <w:pStyle w:val="TextBody"/>
        <w:bidi w:val="0"/>
        <w:spacing w:before="0" w:after="0"/>
        <w:ind w:left="0" w:right="0" w:hanging="0"/>
        <w:jc w:val="left"/>
        <w:rPr/>
      </w:pPr>
      <w:r>
        <w:rPr/>
        <w:t>​</w:t>
      </w:r>
    </w:p>
    <w:tbl>
      <w:tblPr>
        <w:tblW w:w="7075" w:type="dxa"/>
        <w:jc w:val="left"/>
        <w:tblInd w:w="0" w:type="dxa"/>
        <w:tblLayout w:type="fixed"/>
        <w:tblCellMar>
          <w:top w:w="0" w:type="dxa"/>
          <w:left w:w="0" w:type="dxa"/>
          <w:bottom w:w="0" w:type="dxa"/>
          <w:right w:w="0" w:type="dxa"/>
        </w:tblCellMar>
      </w:tblPr>
      <w:tblGrid>
        <w:gridCol w:w="4351"/>
        <w:gridCol w:w="326"/>
        <w:gridCol w:w="241"/>
        <w:gridCol w:w="652"/>
        <w:gridCol w:w="372"/>
        <w:gridCol w:w="241"/>
        <w:gridCol w:w="892"/>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762885" cy="175260"/>
                      <wp:effectExtent l="0" t="0" r="0" b="0"/>
                      <wp:wrapNone/>
                      <wp:docPr id="105" name="Frame105"/>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3035" cy="175260"/>
                      <wp:effectExtent l="0" t="0" r="0" b="0"/>
                      <wp:wrapNone/>
                      <wp:docPr id="107" name="Frame10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14020" cy="175260"/>
                      <wp:effectExtent l="0" t="0" r="0" b="0"/>
                      <wp:wrapNone/>
                      <wp:docPr id="108" name="Frame108"/>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36220" cy="175260"/>
                      <wp:effectExtent l="0" t="0" r="0" b="0"/>
                      <wp:wrapNone/>
                      <wp:docPr id="109" name="Frame109"/>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53035" cy="175260"/>
                      <wp:effectExtent l="0" t="0" r="0" b="0"/>
                      <wp:wrapNone/>
                      <wp:docPr id="110" name="Frame11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66420" cy="175260"/>
                      <wp:effectExtent l="0" t="0" r="0" b="0"/>
                      <wp:wrapNone/>
                      <wp:docPr id="111" name="Frame111"/>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72" w:type="dxa"/>
            <w:tcBorders/>
            <w:vAlign w:val="center"/>
          </w:tcPr>
          <w:p>
            <w:pPr>
              <w:pStyle w:val="TableContents"/>
              <w:bidi w:val="0"/>
              <w:spacing w:before="0" w:after="0"/>
              <w:ind w:left="0" w:right="0" w:hanging="0"/>
              <w:jc w:val="left"/>
              <w:rPr/>
            </w:pPr>
            <w:r>
              <w:rPr/>
              <w:t>    </w:t>
            </w:r>
          </w:p>
        </w:tc>
        <w:tc>
          <w:tcPr>
            <w:tcW w:w="1133"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Studies</w:t>
            </w:r>
          </w:p>
        </w:tc>
        <w:tc>
          <w:tcPr>
            <w:tcW w:w="32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1,270</w:t>
            </w:r>
          </w:p>
        </w:tc>
        <w:tc>
          <w:tcPr>
            <w:tcW w:w="372"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Labor</w:t>
            </w:r>
          </w:p>
        </w:tc>
        <w:tc>
          <w:tcPr>
            <w:tcW w:w="32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2,587</w:t>
            </w:r>
          </w:p>
        </w:tc>
        <w:tc>
          <w:tcPr>
            <w:tcW w:w="372"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w:t>
            </w:r>
            <w:r>
              <w:rPr>
                <w:rFonts w:ascii="Times New Roman;Times;serif" w:hAnsi="Times New Roman;Times;serif"/>
                <w:i/>
                <w:sz w:val="20"/>
              </w:rPr>
              <w:t>(Note 13)</w:t>
            </w:r>
          </w:p>
        </w:tc>
        <w:tc>
          <w:tcPr>
            <w:tcW w:w="32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1,928</w:t>
            </w:r>
          </w:p>
        </w:tc>
        <w:tc>
          <w:tcPr>
            <w:tcW w:w="372"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Mining, Technological and Process Development</w:t>
            </w:r>
          </w:p>
        </w:tc>
        <w:tc>
          <w:tcPr>
            <w:tcW w:w="32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2,950</w:t>
            </w:r>
          </w:p>
        </w:tc>
        <w:tc>
          <w:tcPr>
            <w:tcW w:w="372"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11,598</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Prefeasibility Studies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c>
          <w:tcPr>
            <w:tcW w:w="37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Sponsorship, Training and Stakeholder Engagement</w:t>
            </w:r>
          </w:p>
        </w:tc>
        <w:tc>
          <w:tcPr>
            <w:tcW w:w="32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633</w:t>
            </w:r>
          </w:p>
        </w:tc>
        <w:tc>
          <w:tcPr>
            <w:tcW w:w="372"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w:t>
            </w:r>
          </w:p>
        </w:tc>
        <w:tc>
          <w:tcPr>
            <w:tcW w:w="372"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9,515</w:t>
            </w:r>
          </w:p>
        </w:tc>
        <w:tc>
          <w:tcPr>
            <w:tcW w:w="372" w:type="dxa"/>
            <w:tcBorders/>
            <w:vAlign w:val="center"/>
          </w:tcPr>
          <w:p>
            <w:pPr>
              <w:pStyle w:val="TableContents"/>
              <w:bidi w:val="0"/>
              <w:spacing w:before="0" w:after="0"/>
              <w:ind w:left="0" w:right="0" w:hanging="0"/>
              <w:jc w:val="left"/>
              <w:rPr/>
            </w:pPr>
            <w:r>
              <w:rPr/>
              <w:t> </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18,123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641" w:name="Tc_RAHDyHwjh0mPH500XVsubA_5_5"/>
      <w:bookmarkStart w:id="642" w:name="Tc_Lkc4Of_m60OioSXP9UdV4A_5_2"/>
      <w:bookmarkStart w:id="643" w:name="Tc_b8NgJVgiq0KJXloOz6vu0w_4_0"/>
      <w:bookmarkStart w:id="644" w:name="Tc_kZ2pimM5SkOu5n22Gv5yLw_3_5"/>
      <w:bookmarkStart w:id="645" w:name="Tc_pAKSq4Tgf0OSIHkOZJxXwg_3_2"/>
      <w:bookmarkStart w:id="646" w:name="Tc_kFmVqltAx0ax5rWcz25ZCA_3_0"/>
      <w:bookmarkStart w:id="647" w:name="Tc_c7rOHQXoH0uRCY3E8GGpXQ_2_5"/>
      <w:bookmarkStart w:id="648" w:name="Tc_G_sJ-hGAD0KdHdNaO_m6xw_2_2"/>
      <w:bookmarkStart w:id="649" w:name="Tc_rBNbnldnuEOCzF_0LK6dvg_1_5"/>
      <w:bookmarkStart w:id="650" w:name="Tc_n_uDDO5qgk66EY4VyvHZAA_1_2"/>
      <w:bookmarkStart w:id="651" w:name="_61534d7d_ae4a_4109_b9b2_e82d2a217409"/>
      <w:bookmarkEnd w:id="641"/>
      <w:bookmarkEnd w:id="642"/>
      <w:bookmarkEnd w:id="643"/>
      <w:bookmarkEnd w:id="644"/>
      <w:bookmarkEnd w:id="645"/>
      <w:bookmarkEnd w:id="646"/>
      <w:bookmarkEnd w:id="647"/>
      <w:bookmarkEnd w:id="648"/>
      <w:bookmarkEnd w:id="649"/>
      <w:bookmarkEnd w:id="650"/>
      <w:bookmarkEnd w:id="651"/>
      <w:r>
        <w:rPr>
          <w:rFonts w:ascii="Times New Roman;Times;serif" w:hAnsi="Times New Roman;Times;serif"/>
          <w:b/>
          <w:i w:val="false"/>
          <w:caps w:val="false"/>
          <w:smallCaps w:val="false"/>
          <w:sz w:val="20"/>
        </w:rPr>
        <w:t>9.</w:t>
      </w:r>
      <w:r>
        <w:rPr>
          <w:rFonts w:ascii="Times New Roman;Times;serif" w:hAnsi="Times New Roman;Times;serif"/>
          <w:b/>
          <w:sz w:val="20"/>
        </w:rPr>
        <w:t>Accounts Payable and Accrued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Accounts payable and accrued liabilities outstanding at March 31, 2025, and 2024 are as follows:</w:t>
      </w:r>
    </w:p>
    <w:p>
      <w:pPr>
        <w:pStyle w:val="TextBody"/>
        <w:bidi w:val="0"/>
        <w:spacing w:before="0" w:after="240"/>
        <w:ind w:left="0" w:right="0" w:firstLine="360"/>
        <w:jc w:val="both"/>
        <w:rPr/>
      </w:pPr>
      <w:r>
        <w:rPr/>
        <w:t>​</w:t>
      </w:r>
    </w:p>
    <w:tbl>
      <w:tblPr>
        <w:tblW w:w="4526" w:type="dxa"/>
        <w:jc w:val="left"/>
        <w:tblInd w:w="0" w:type="dxa"/>
        <w:tblLayout w:type="fixed"/>
        <w:tblCellMar>
          <w:top w:w="0" w:type="dxa"/>
          <w:left w:w="0" w:type="dxa"/>
          <w:bottom w:w="0" w:type="dxa"/>
          <w:right w:w="0" w:type="dxa"/>
        </w:tblCellMar>
      </w:tblPr>
      <w:tblGrid>
        <w:gridCol w:w="1891"/>
        <w:gridCol w:w="326"/>
        <w:gridCol w:w="211"/>
        <w:gridCol w:w="676"/>
        <w:gridCol w:w="326"/>
        <w:gridCol w:w="233"/>
        <w:gridCol w:w="863"/>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00785" cy="175260"/>
                      <wp:effectExtent l="0" t="0" r="0" b="0"/>
                      <wp:wrapNone/>
                      <wp:docPr id="112" name="Frame112"/>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9260" cy="175260"/>
                      <wp:effectExtent l="0" t="0" r="0" b="0"/>
                      <wp:wrapNone/>
                      <wp:docPr id="115" name="Frame1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7955" cy="175260"/>
                      <wp:effectExtent l="0" t="0" r="0" b="0"/>
                      <wp:wrapNone/>
                      <wp:docPr id="117" name="Frame11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48005" cy="175260"/>
                      <wp:effectExtent l="0" t="0" r="0" b="0"/>
                      <wp:wrapNone/>
                      <wp:docPr id="118" name="Frame118"/>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w: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2,558</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6,198</w:t>
            </w:r>
          </w:p>
        </w:tc>
      </w:tr>
      <w:tr>
        <w:trPr/>
        <w:tc>
          <w:tcPr>
            <w:tcW w:w="18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Accrued Liabilities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42,687</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36,556</w:t>
            </w:r>
          </w:p>
        </w:tc>
      </w:tr>
      <w:tr>
        <w:trPr/>
        <w:tc>
          <w:tcPr>
            <w:tcW w:w="18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45,245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42,754</w:t>
            </w:r>
          </w:p>
        </w:tc>
      </w:tr>
    </w:tbl>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As at March 31, 2025, accrued liabilities included $29.6 million related to Allseas (Note 6) (December 31, 2024 - $25.8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Financing Activity</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2024 Registered Direct Offering</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In the last quarter of 2024, the Company entered into a securities purchase agreement (the “2024 Purchase Agreement”) with certain investors, pursuant to which the Company agreed to sell and issue, in a registered direct offering (the “2024 Registered Direct Offering”) 19,900,000</w:t>
      </w:r>
      <w:r>
        <w:rPr>
          <w:rFonts w:ascii="Times New Roman;Times;serif" w:hAnsi="Times New Roman;Times;serif"/>
          <w:b/>
          <w:sz w:val="20"/>
        </w:rPr>
        <w:t xml:space="preserve"> </w:t>
      </w:r>
      <w:r>
        <w:rPr>
          <w:rFonts w:ascii="Times New Roman;Times;serif" w:hAnsi="Times New Roman;Times;serif"/>
          <w:b w:val="false"/>
          <w:sz w:val="20"/>
        </w:rPr>
        <w:t>common shares and issue Class B Warrants to purchase 9,950,000</w:t>
      </w:r>
      <w:r>
        <w:rPr>
          <w:rFonts w:ascii="Times New Roman;Times;serif" w:hAnsi="Times New Roman;Times;serif"/>
          <w:b/>
          <w:sz w:val="20"/>
        </w:rPr>
        <w:t xml:space="preserve"> </w:t>
      </w:r>
      <w:r>
        <w:rPr>
          <w:rFonts w:ascii="Times New Roman;Times;serif" w:hAnsi="Times New Roman;Times;serif"/>
          <w:b w:val="false"/>
          <w:sz w:val="20"/>
        </w:rPr>
        <w:t>Common Shares (“Class B Warrants”) (Note 12). Each common share and accompanying Class B Warrant were sold at a price of $1.00</w:t>
      </w:r>
      <w:r>
        <w:rPr>
          <w:rFonts w:ascii="Times New Roman;Times;serif" w:hAnsi="Times New Roman;Times;serif"/>
          <w:b/>
          <w:sz w:val="20"/>
        </w:rPr>
        <w:t xml:space="preserve"> </w:t>
      </w:r>
      <w:r>
        <w:rPr>
          <w:rFonts w:ascii="Times New Roman;Times;serif" w:hAnsi="Times New Roman;Times;serif"/>
          <w:b w:val="false"/>
          <w:sz w:val="20"/>
        </w:rPr>
        <w:t>per unit. The exercise price to purchase one common share under the Class B Warrants is $2.00, subject to adjustment as provided in the 2024 Purchase Agreement.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As at December 31, 2024, 14,900,000</w:t>
      </w:r>
      <w:r>
        <w:rPr>
          <w:rFonts w:ascii="Times New Roman;Times;serif" w:hAnsi="Times New Roman;Times;serif"/>
          <w:b/>
          <w:sz w:val="20"/>
        </w:rPr>
        <w:t xml:space="preserve"> </w:t>
      </w:r>
      <w:r>
        <w:rPr>
          <w:rFonts w:ascii="Times New Roman;Times;serif" w:hAnsi="Times New Roman;Times;serif"/>
          <w:b w:val="false"/>
          <w:sz w:val="20"/>
        </w:rPr>
        <w:t>common shares and Class B Warrants to purchase 7,450,000</w:t>
      </w:r>
      <w:r>
        <w:rPr>
          <w:rFonts w:ascii="Times New Roman;Times;serif" w:hAnsi="Times New Roman;Times;serif"/>
          <w:b/>
          <w:sz w:val="20"/>
        </w:rPr>
        <w:t xml:space="preserve"> </w:t>
      </w:r>
      <w:r>
        <w:rPr>
          <w:rFonts w:ascii="Times New Roman;Times;serif" w:hAnsi="Times New Roman;Times;serif"/>
          <w:b w:val="false"/>
          <w:sz w:val="20"/>
        </w:rPr>
        <w:t>common shares under the 2024 Registered Direct Offering had been issued following the receipt of gross proceeds of $14.9</w:t>
      </w:r>
      <w:r>
        <w:rPr>
          <w:rFonts w:ascii="Times New Roman;Times;serif" w:hAnsi="Times New Roman;Times;serif"/>
          <w:b/>
          <w:sz w:val="20"/>
        </w:rPr>
        <w:t xml:space="preserve"> </w:t>
      </w:r>
      <w:r>
        <w:rPr>
          <w:rFonts w:ascii="Times New Roman;Times;serif" w:hAnsi="Times New Roman;Times;serif"/>
          <w:b w:val="false"/>
          <w:sz w:val="20"/>
        </w:rPr>
        <w:t>million. The Company incurred $0.7</w:t>
      </w:r>
      <w:r>
        <w:rPr>
          <w:rFonts w:ascii="Times New Roman;Times;serif" w:hAnsi="Times New Roman;Times;serif"/>
          <w:b/>
          <w:sz w:val="20"/>
        </w:rPr>
        <w:t xml:space="preserve"> </w:t>
      </w:r>
      <w:r>
        <w:rPr>
          <w:rFonts w:ascii="Times New Roman;Times;serif" w:hAnsi="Times New Roman;Times;serif"/>
          <w:b w:val="false"/>
          <w:sz w:val="20"/>
        </w:rPr>
        <w:t>million as offering expenses, resulting in net proceeds received of $14.2</w:t>
      </w:r>
      <w:r>
        <w:rPr>
          <w:rFonts w:ascii="Times New Roman;Times;serif" w:hAnsi="Times New Roman;Times;serif"/>
          <w:b/>
          <w:sz w:val="20"/>
        </w:rPr>
        <w:t xml:space="preserve"> </w:t>
      </w:r>
      <w:r>
        <w:rPr>
          <w:rFonts w:ascii="Times New Roman;Times;serif" w:hAnsi="Times New Roman;Times;serif"/>
          <w:b w:val="false"/>
          <w:sz w:val="20"/>
        </w:rPr>
        <w:t>million.</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On February 6, 2025, the Company received the final balance of committed funding from the 2024 Registered Direct Offering of $5</w:t>
      </w:r>
      <w:r>
        <w:rPr>
          <w:rFonts w:ascii="Times New Roman;Times;serif" w:hAnsi="Times New Roman;Times;serif"/>
          <w:b/>
          <w:sz w:val="20"/>
        </w:rPr>
        <w:t xml:space="preserve"> </w:t>
      </w:r>
      <w:r>
        <w:rPr>
          <w:rFonts w:ascii="Times New Roman;Times;serif" w:hAnsi="Times New Roman;Times;serif"/>
          <w:b w:val="false"/>
          <w:sz w:val="20"/>
        </w:rPr>
        <w:t>million and issued 5,000,000</w:t>
      </w:r>
      <w:r>
        <w:rPr>
          <w:rFonts w:ascii="Times New Roman;Times;serif" w:hAnsi="Times New Roman;Times;serif"/>
          <w:b/>
          <w:sz w:val="20"/>
        </w:rPr>
        <w:t xml:space="preserve"> </w:t>
      </w:r>
      <w:r>
        <w:rPr>
          <w:rFonts w:ascii="Times New Roman;Times;serif" w:hAnsi="Times New Roman;Times;serif"/>
          <w:b w:val="false"/>
          <w:sz w:val="20"/>
        </w:rPr>
        <w:t>common shares and 2,500,000</w:t>
      </w:r>
      <w:r>
        <w:rPr>
          <w:rFonts w:ascii="Times New Roman;Times;serif" w:hAnsi="Times New Roman;Times;serif"/>
          <w:b/>
          <w:sz w:val="20"/>
        </w:rPr>
        <w:t xml:space="preserve"> </w:t>
      </w:r>
      <w:r>
        <w:rPr>
          <w:rFonts w:ascii="Times New Roman;Times;serif" w:hAnsi="Times New Roman;Times;serif"/>
          <w:b w:val="false"/>
          <w:sz w:val="20"/>
        </w:rPr>
        <w:t>Class B Warrants. Out of the total $5</w:t>
      </w:r>
      <w:r>
        <w:rPr>
          <w:rFonts w:ascii="Times New Roman;Times;serif" w:hAnsi="Times New Roman;Times;serif"/>
          <w:b/>
          <w:sz w:val="20"/>
        </w:rPr>
        <w:t xml:space="preserve"> </w:t>
      </w:r>
      <w:r>
        <w:rPr>
          <w:rFonts w:ascii="Times New Roman;Times;serif" w:hAnsi="Times New Roman;Times;serif"/>
          <w:b w:val="false"/>
          <w:sz w:val="20"/>
        </w:rPr>
        <w:t>million net proceeds received in the three months ended March 31, 2025, the net proceeds attributable to common shares were $2.2</w:t>
      </w:r>
      <w:r>
        <w:rPr>
          <w:rFonts w:ascii="Times New Roman;Times;serif" w:hAnsi="Times New Roman;Times;serif"/>
          <w:b/>
          <w:sz w:val="20"/>
        </w:rPr>
        <w:t xml:space="preserve"> </w:t>
      </w:r>
      <w:r>
        <w:rPr>
          <w:rFonts w:ascii="Times New Roman;Times;serif" w:hAnsi="Times New Roman;Times;serif"/>
          <w:b w:val="false"/>
          <w:sz w:val="20"/>
        </w:rPr>
        <w:t>million and the net proceeds attributable to Class B Warrants were $2.8</w:t>
      </w:r>
      <w:r>
        <w:rPr>
          <w:rFonts w:ascii="Times New Roman;Times;serif" w:hAnsi="Times New Roman;Times;serif"/>
          <w:b/>
          <w:sz w:val="20"/>
        </w:rPr>
        <w:t xml:space="preserve"> </w:t>
      </w:r>
      <w:r>
        <w:rPr>
          <w:rFonts w:ascii="Times New Roman;Times;serif" w:hAnsi="Times New Roman;Times;serif"/>
          <w:b w:val="false"/>
          <w:sz w:val="20"/>
        </w:rPr>
        <w:t>million (Note 12).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Shares issued as per At-the-Market Equity Distribution Agreement (“ATM”)</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December 2022, the Company filed a prospectus supplement with the Securities and Exchange Commission to sell up to $30 million of the Company’s common shares from time to time through an ATM. In the three months ended March 31, 2025, the Company issued 2,975,226 common shares (For three months ended March 31, 2024: nil) at an average share price of $1.93, resulting in net proceeds of $5.6 million, after incurring $0.2 million as commission and fees.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Warrants </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Public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2025, 15,000,000 Public Warrants were outstanding (December 31, 2024 – 15,000,000). Public Warrants may only be exercised for a whole number of shares. The exercise price for the Public Warrants is $11.50 per common share. The Public Warrants will expire on September 9, 2026 or earlier upon redemption or liquidation.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2025, the value of outstanding Public Warrants of $19.5 million was recorded in additional paid in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b/>
          <w:i/>
          <w:sz w:val="20"/>
        </w:rPr>
      </w:pPr>
      <w:bookmarkStart w:id="652" w:name="Tc_yC2ch-5q60ieSI3tVGcePw_8_7"/>
      <w:bookmarkStart w:id="653" w:name="Tc_G8BuviFi8kKsN8pxzY4HiA_8_4"/>
      <w:bookmarkStart w:id="654" w:name="Tc_CTd_eESRgEWPvZ1LufGasQ_8_0"/>
      <w:bookmarkStart w:id="655" w:name="Tc_8_5nZwc83Umrr00QaaK-Hw_7_7"/>
      <w:bookmarkStart w:id="656" w:name="Tc_ewprAOZPCUW-hFFC2fXNsA_7_4"/>
      <w:bookmarkStart w:id="657" w:name="Tc_SkOGuziYxUWNMqTQjhRbfg_7_0"/>
      <w:bookmarkStart w:id="658" w:name="Tc_DeqJk2J-FkGZXsSo2A7HsA_6_7"/>
      <w:bookmarkStart w:id="659" w:name="Tc_NvUrMsaEXkefjWHJTesMAA_6_4"/>
      <w:bookmarkStart w:id="660" w:name="Tc_8FDOW7vWPEea8pIieXPLig_6_0"/>
      <w:bookmarkStart w:id="661" w:name="Tc_RB01C3Q4VUGeLkStcoUY3Q_5_7"/>
      <w:bookmarkStart w:id="662" w:name="Tc_2tUwOtqDTkmQtMTktkcfsQ_5_4"/>
      <w:bookmarkStart w:id="663" w:name="Tc_8u0w59FNU0O83G7OSber4Q_5_0"/>
      <w:bookmarkStart w:id="664" w:name="Tc_IB-0ovVvJ0aibRs_8HBb_Q_4_5"/>
      <w:bookmarkStart w:id="665" w:name="Tc_vIS9Az0Dwk-avOq91hRuVQ_4_2"/>
      <w:bookmarkStart w:id="666" w:name="Tc_Pvcwowu0AUWKC4TBPm1OrQ_4_0"/>
      <w:bookmarkStart w:id="667" w:name="Tc_vokp9eXO10OQD13Ryv8pFg_3_5"/>
      <w:bookmarkStart w:id="668" w:name="Tc_H9n9mpPa70miEYveyq0MyA_3_2"/>
      <w:bookmarkStart w:id="669" w:name="Tc_m9OQBIVFZU2ofi8HoV4_nw_3_0"/>
      <w:bookmarkStart w:id="670" w:name="Tc_A4iQZ3hFBkGeQIttwBfZdw_2_5"/>
      <w:bookmarkStart w:id="671" w:name="Tc_soUMm4Slu0mOXk2Y24xvjg_2_2"/>
      <w:bookmarkStart w:id="672" w:name="Tc_89q9D2sZ-EusEiyV8pucpQ_1_5"/>
      <w:bookmarkStart w:id="673" w:name="Tc_F4rOOZeJCUaipnNpq6sNYw_1_2"/>
      <w:bookmarkStart w:id="674" w:name="Tc_UBvXlRp2x0GZ2fkbL2RTbQ_5_2"/>
      <w:bookmarkStart w:id="675" w:name="Tc_4eDzVPKGNE6gyjWwmTViow_5_0"/>
      <w:bookmarkStart w:id="676" w:name="Tc_235hyS1jBECaDQdOEK1d9g_4_0"/>
      <w:bookmarkStart w:id="677" w:name="Tc_xpJbPKCljEirpsg-BY4Mpw_3_2"/>
      <w:bookmarkStart w:id="678" w:name="Tc_djL1L6120UyaK4vKsPy7cg_3_0"/>
      <w:bookmarkStart w:id="679" w:name="Tc_FD8dmSh40UC-a9vujU6pcw_2_2"/>
      <w:bookmarkStart w:id="680" w:name="Tc_7TmZ6YGoNkyjZj5DL51EuQ_1_2"/>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r>
        <w:rPr>
          <w:rFonts w:ascii="Times New Roman;Times;serif" w:hAnsi="Times New Roman;Times;serif"/>
          <w:b/>
          <w:i/>
          <w:sz w:val="20"/>
        </w:rPr>
        <w:t>Private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2025, 9,500,000 Private Warrants were outstanding (December 31, 2024 – 9,500,000). The exercise price for the Private Warrants is $11.50 per common share. The Private Warrants will expire on September 9, 2026 or earlier upon redemption or liquidation.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that assigned equal weight to the implied volatility of the Company’s Public Warrants, adjusted for the call feature triggered at prices above $18.00 over 20 trading days within any 30-day period, and the historical volatility of the common share price.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2025, the fair value of outstanding Private Warrants of approximately $1.4 million is recorded as warrants liability. The following table presents the changes in the fair value of warrants liability:</w:t>
      </w:r>
    </w:p>
    <w:p>
      <w:pPr>
        <w:pStyle w:val="TextBody"/>
        <w:bidi w:val="0"/>
        <w:spacing w:before="0" w:after="0"/>
        <w:ind w:left="0" w:right="0" w:hanging="0"/>
        <w:jc w:val="left"/>
        <w:rPr/>
      </w:pPr>
      <w:r>
        <w:rPr/>
        <w:t>​</w:t>
      </w:r>
    </w:p>
    <w:tbl>
      <w:tblPr>
        <w:tblW w:w="4784" w:type="dxa"/>
        <w:jc w:val="left"/>
        <w:tblInd w:w="0" w:type="dxa"/>
        <w:tblLayout w:type="fixed"/>
        <w:tblCellMar>
          <w:top w:w="0" w:type="dxa"/>
          <w:left w:w="0" w:type="dxa"/>
          <w:bottom w:w="0" w:type="dxa"/>
          <w:right w:w="0" w:type="dxa"/>
        </w:tblCellMar>
      </w:tblPr>
      <w:tblGrid>
        <w:gridCol w:w="3571"/>
        <w:gridCol w:w="326"/>
        <w:gridCol w:w="211"/>
        <w:gridCol w:w="676"/>
      </w:tblGrid>
      <w:tr>
        <w:trPr/>
        <w:tc>
          <w:tcPr>
            <w:tcW w:w="3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9260" cy="175260"/>
                      <wp:effectExtent l="0" t="0" r="0" b="0"/>
                      <wp:wrapNone/>
                      <wp:docPr id="121" name="Frame1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Private</w:t>
            </w:r>
          </w:p>
        </w:tc>
      </w:tr>
      <w:tr>
        <w:trPr/>
        <w:tc>
          <w:tcPr>
            <w:tcW w:w="3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Warrants</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liability as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fair value of warrants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Warrants liability as at March 31,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1,353</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2025, the fair value of the Private Warrants was estimated using the following assumptions:</w:t>
      </w:r>
    </w:p>
    <w:p>
      <w:pPr>
        <w:pStyle w:val="TextBody"/>
        <w:bidi w:val="0"/>
        <w:spacing w:before="0" w:after="0"/>
        <w:ind w:left="0" w:right="0" w:hanging="0"/>
        <w:jc w:val="left"/>
        <w:rPr/>
      </w:pPr>
      <w:r>
        <w:rPr/>
        <w:t>​</w:t>
      </w:r>
    </w:p>
    <w:tbl>
      <w:tblPr>
        <w:tblW w:w="4904" w:type="dxa"/>
        <w:jc w:val="left"/>
        <w:tblInd w:w="0" w:type="dxa"/>
        <w:tblLayout w:type="fixed"/>
        <w:tblCellMar>
          <w:top w:w="0" w:type="dxa"/>
          <w:left w:w="0" w:type="dxa"/>
          <w:bottom w:w="0" w:type="dxa"/>
          <w:right w:w="0" w:type="dxa"/>
        </w:tblCellMar>
      </w:tblPr>
      <w:tblGrid>
        <w:gridCol w:w="1351"/>
        <w:gridCol w:w="326"/>
        <w:gridCol w:w="214"/>
        <w:gridCol w:w="686"/>
        <w:gridCol w:w="571"/>
        <w:gridCol w:w="271"/>
        <w:gridCol w:w="869"/>
        <w:gridCol w:w="6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857885" cy="175260"/>
                      <wp:effectExtent l="0" t="0" r="0" b="0"/>
                      <wp:wrapNone/>
                      <wp:docPr id="122" name="Frame12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5890" cy="175260"/>
                      <wp:effectExtent l="0" t="0" r="0" b="0"/>
                      <wp:wrapNone/>
                      <wp:docPr id="124" name="Frame12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35610" cy="175260"/>
                      <wp:effectExtent l="0" t="0" r="0" b="0"/>
                      <wp:wrapNone/>
                      <wp:docPr id="125" name="Frame12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2585" cy="175260"/>
                      <wp:effectExtent l="0" t="0" r="0" b="0"/>
                      <wp:wrapNone/>
                      <wp:docPr id="126" name="Frame1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72085" cy="175260"/>
                      <wp:effectExtent l="0" t="0" r="0" b="0"/>
                      <wp:wrapNone/>
                      <wp:docPr id="127" name="Frame12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51815" cy="175260"/>
                      <wp:effectExtent l="0" t="0" r="0" b="0"/>
                      <wp:wrapNone/>
                      <wp:docPr id="128" name="Frame128"/>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91160" cy="175260"/>
                      <wp:effectExtent l="0" t="0" r="0" b="0"/>
                      <wp:wrapNone/>
                      <wp:docPr id="129" name="Frame12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571"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616" w:type="dxa"/>
            <w:tcBorders/>
            <w:vAlign w:val="center"/>
          </w:tcPr>
          <w:p>
            <w:pPr>
              <w:pStyle w:val="TableContents"/>
              <w:bidi w:val="0"/>
              <w:spacing w:before="0" w:after="1"/>
              <w:ind w:left="0" w:right="0" w:hanging="0"/>
              <w:jc w:val="center"/>
              <w:rPr/>
            </w:pPr>
            <w:r>
              <w:rPr/>
              <w:t>​</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571"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616" w:type="dxa"/>
            <w:tcBorders/>
            <w:vAlign w:val="center"/>
          </w:tcPr>
          <w:p>
            <w:pPr>
              <w:pStyle w:val="TableContents"/>
              <w:bidi w:val="0"/>
              <w:spacing w:before="0" w:after="1"/>
              <w:ind w:left="0" w:right="0" w:hanging="0"/>
              <w:jc w:val="center"/>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11.50</w:t>
            </w:r>
          </w:p>
        </w:tc>
        <w:tc>
          <w:tcPr>
            <w:tcW w:w="571"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11.50</w:t>
            </w:r>
          </w:p>
        </w:tc>
        <w:tc>
          <w:tcPr>
            <w:tcW w:w="616" w:type="dxa"/>
            <w:tcBorders/>
            <w:shd w:fill="CCEEFF" w:val="clear"/>
            <w:vAlign w:val="center"/>
          </w:tcPr>
          <w:p>
            <w:pPr>
              <w:pStyle w:val="TableContents"/>
              <w:bidi w:val="0"/>
              <w:spacing w:before="0" w:after="1"/>
              <w:ind w:left="0" w:right="0" w:hanging="0"/>
              <w:jc w:val="center"/>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w:t>
            </w:r>
          </w:p>
        </w:tc>
        <w:tc>
          <w:tcPr>
            <w:tcW w:w="571"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w:t>
            </w:r>
          </w:p>
        </w:tc>
        <w:tc>
          <w:tcPr>
            <w:tcW w:w="6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103.44</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108.97</w:t>
            </w:r>
          </w:p>
        </w:tc>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Term </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w:t>
            </w:r>
          </w:p>
        </w:tc>
        <w:tc>
          <w:tcPr>
            <w:tcW w:w="5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years</w:t>
            </w:r>
          </w:p>
        </w:tc>
        <w:tc>
          <w:tcPr>
            <w:tcW w:w="271"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w:t>
            </w:r>
          </w:p>
        </w:tc>
        <w:tc>
          <w:tcPr>
            <w:tcW w:w="6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years</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3.89</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4.14</w:t>
            </w:r>
          </w:p>
        </w:tc>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5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71"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6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360" w:right="0" w:firstLine="360"/>
        <w:jc w:val="both"/>
        <w:rPr/>
      </w:pPr>
      <w:r>
        <w:rPr/>
        <w:t>​</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 xml:space="preserve">Class A Warrants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2025, 6,230,770 Class A Warrants were outstanding (December 31, 2024 – 6,230,770). Class A Warrants may only be exercised for a whole number of shares. The exercise price for the Public Warrants is $2 per common share. The Class A Warrants will expire on December 31, 2027 or earlier upon redemption or liquidation.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2025, the value of outstanding Class A Warrants of $5.3 million was recorded in additional paid in capital.</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Class B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 part of the 2024 Registered Direct Offering (Note 10), which closed in November 2024, the Company issued 7,450,000 Class A Warrants to purchase common shares at an exercise price of $ 2.00 per share. These Class B Warrants were valued on November 14, 2024, at a fair value of $0.60 per warrant, using a Monte Carlo valuation. As on December 31, 2024, 7,450,000 Class B Warrants were outstanding, and the Company recorded the fair value of the Class B Warrants amounting to $4.4 million as additional paid in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360" w:right="0" w:hanging="0"/>
        <w:jc w:val="both"/>
        <w:rPr>
          <w:rFonts w:ascii="Times New Roman;Times;serif" w:hAnsi="Times New Roman;Times;serif"/>
          <w:sz w:val="20"/>
        </w:rPr>
      </w:pPr>
      <w:bookmarkStart w:id="681" w:name="Tc_TO7lnrL6zU6wanBUsQGt6Q_13_8"/>
      <w:bookmarkStart w:id="682" w:name="Tc_P8VvJJHD80iSfX58-_ksOg_13_6"/>
      <w:bookmarkStart w:id="683" w:name="Tc_PEgBPP91sUGvvdEWe_u6bw_13_4"/>
      <w:bookmarkStart w:id="684" w:name="Tc_uD576XDupUefkD_f_t26lQ_13_0"/>
      <w:bookmarkStart w:id="685" w:name="Tc_x7caK3O6uk2v_tGa1nbJfQ_12_8"/>
      <w:bookmarkStart w:id="686" w:name="Tc_-SH8CB8qiUif1TXkzUkgdw_12_6"/>
      <w:bookmarkStart w:id="687" w:name="Tc_lXraD9VLMUaPKBREsI3yVQ_12_4"/>
      <w:bookmarkStart w:id="688" w:name="Tc_IbXXi-Pst0aYJNXdO6qiwQ_12_0"/>
      <w:bookmarkStart w:id="689" w:name="Tc_b5JuBYo2dUyzohNgfbxX-w_11_0"/>
      <w:bookmarkStart w:id="690" w:name="Tc_d7F5ZxyHB0isqIx07Q4-Xw_10_8"/>
      <w:bookmarkStart w:id="691" w:name="Tc_-JYSV8MAuUqyCSBtW_ue7g_10_6"/>
      <w:bookmarkStart w:id="692" w:name="Tc_5vwscrYH7Uq9tQzZYwwgyQ_10_4"/>
      <w:bookmarkStart w:id="693" w:name="Tc_EvMngGDNX0GFsrlFQMWyjg_10_0"/>
      <w:bookmarkStart w:id="694" w:name="Tc_oVHhYso8zE-orZS083AB6g_9_2"/>
      <w:bookmarkStart w:id="695" w:name="Tc_eA-dyK4HQkSTQ6U1AbduLQ_9_0"/>
      <w:bookmarkStart w:id="696" w:name="Tc_LHnRnbg1nkK56VpYFvXs4Q_8_2"/>
      <w:bookmarkStart w:id="697" w:name="Tc_hYX2sWcIg0u8NTFu635r2w_8_0"/>
      <w:bookmarkStart w:id="698" w:name="Tc_toXp6hjCuky3GUEwf4Vk8w_7_2"/>
      <w:bookmarkStart w:id="699" w:name="Tc_At5saeiO8UuKXfOe-aNEPg_7_0"/>
      <w:bookmarkStart w:id="700" w:name="Tc_4VBcUFlLEkWVOrmmjjitYg_6_0"/>
      <w:bookmarkStart w:id="701" w:name="Tc_wzH5cO9J6EqGzBYc_7KW-w_4_2"/>
      <w:bookmarkStart w:id="702" w:name="Tc_sPeluERbvEiInvzFiY6HmA_4_0"/>
      <w:bookmarkStart w:id="703" w:name="Tc_2eQYGLhXAk-dABUZ6ASZXA_3_0"/>
      <w:bookmarkStart w:id="704" w:name="Tc_0ilHomfcMEKU-FQNhJTXag_2_7"/>
      <w:bookmarkStart w:id="705" w:name="Tc_hUdFOWdrfUqrIirN_mELnw_2_5"/>
      <w:bookmarkStart w:id="706" w:name="Tc_9J0HIF61eE6b16MFjFp2jg_2_2"/>
      <w:bookmarkStart w:id="707" w:name="Tc_O3FZ88LugkeXksNx4j3RoA_1_7"/>
      <w:bookmarkStart w:id="708" w:name="Tc_vYvjCfFyxEe8OlQwt1HJ7w_1_5"/>
      <w:bookmarkStart w:id="709" w:name="Tc_4QpHHUHGfEG0aampmeXzoQ_1_2"/>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r>
        <w:rPr>
          <w:rFonts w:ascii="Times New Roman;Times;serif" w:hAnsi="Times New Roman;Times;serif"/>
          <w:sz w:val="20"/>
        </w:rPr>
        <w:t>During the three months ended March 31, 2025, the Company issued the remaining 2,500,000 Class B Warrants for the purchase of common shares at an exercise price of $2.00 per share. The Class B Warrants expire 5 years from the issuance date. The valuation of the Class B Warrants issued was determined using a Monte Carlo simulation. The Class B Warrants were valued as follows:</w:t>
      </w:r>
    </w:p>
    <w:p>
      <w:pPr>
        <w:pStyle w:val="TextBody"/>
        <w:bidi w:val="0"/>
        <w:spacing w:before="0" w:after="240"/>
        <w:ind w:left="360" w:right="0" w:hanging="0"/>
        <w:jc w:val="both"/>
        <w:rPr/>
      </w:pPr>
      <w:r>
        <w:rPr/>
        <w:t>​</w:t>
      </w:r>
    </w:p>
    <w:tbl>
      <w:tblPr>
        <w:tblW w:w="6129" w:type="dxa"/>
        <w:jc w:val="left"/>
        <w:tblInd w:w="0" w:type="dxa"/>
        <w:tblLayout w:type="fixed"/>
        <w:tblCellMar>
          <w:top w:w="0" w:type="dxa"/>
          <w:left w:w="0" w:type="dxa"/>
          <w:bottom w:w="0" w:type="dxa"/>
          <w:right w:w="0" w:type="dxa"/>
        </w:tblCellMar>
      </w:tblPr>
      <w:tblGrid>
        <w:gridCol w:w="1876"/>
        <w:gridCol w:w="326"/>
        <w:gridCol w:w="211"/>
        <w:gridCol w:w="781"/>
        <w:gridCol w:w="326"/>
        <w:gridCol w:w="991"/>
        <w:gridCol w:w="326"/>
        <w:gridCol w:w="976"/>
        <w:gridCol w:w="31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191260" cy="175260"/>
                      <wp:effectExtent l="0" t="0" r="0" b="0"/>
                      <wp:wrapNone/>
                      <wp:docPr id="130" name="Frame130"/>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33" name="Frame1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29285" cy="175260"/>
                      <wp:effectExtent l="0" t="0" r="0" b="0"/>
                      <wp:wrapNone/>
                      <wp:docPr id="135" name="Frame13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19760" cy="175260"/>
                      <wp:effectExtent l="0" t="0" r="0" b="0"/>
                      <wp:wrapNone/>
                      <wp:docPr id="137" name="Frame13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0660" cy="175260"/>
                      <wp:effectExtent l="0" t="0" r="0" b="0"/>
                      <wp:wrapNone/>
                      <wp:docPr id="138" name="Frame13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January 29,</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January 30,</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February 6,</w:t>
            </w:r>
          </w:p>
        </w:tc>
        <w:tc>
          <w:tcPr>
            <w:tcW w:w="316" w:type="dxa"/>
            <w:tcBorders/>
            <w:vAlign w:val="center"/>
          </w:tcPr>
          <w:p>
            <w:pPr>
              <w:pStyle w:val="TableContents"/>
              <w:bidi w:val="0"/>
              <w:spacing w:before="0" w:after="1"/>
              <w:ind w:left="0" w:right="0" w:hanging="0"/>
              <w:jc w:val="left"/>
              <w:rPr/>
            </w:pPr>
            <w:r>
              <w:rPr/>
              <w:t> </w: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left"/>
              <w:rPr/>
            </w:pPr>
            <w:r>
              <w:rPr/>
              <w:t> </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Units issued</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900,000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650,000</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950,000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per warrant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0.98</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16" w:type="dxa"/>
            <w:tcBorders/>
            <w:vAlign w:val="center"/>
          </w:tcPr>
          <w:p>
            <w:pPr>
              <w:pStyle w:val="TableContents"/>
              <w:bidi w:val="0"/>
              <w:spacing w:before="0" w:after="1"/>
              <w:ind w:left="0" w:right="0" w:hanging="0"/>
              <w:jc w:val="left"/>
              <w:rPr/>
            </w:pPr>
            <w:r>
              <w:rPr/>
              <w:t>​</w:t>
            </w:r>
          </w:p>
        </w:tc>
      </w:tr>
      <w:tr>
        <w:trPr/>
        <w:tc>
          <w:tcPr>
            <w:tcW w:w="18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Assumptions used: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316" w:type="dxa"/>
            <w:tcBorders/>
            <w:vAlign w:val="center"/>
          </w:tcPr>
          <w:p>
            <w:pPr>
              <w:pStyle w:val="TableContents"/>
              <w:bidi w:val="0"/>
              <w:spacing w:before="0" w:after="1"/>
              <w:ind w:left="0" w:right="0" w:hanging="0"/>
              <w:jc w:val="left"/>
              <w:rPr/>
            </w:pPr>
            <w:r>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Call price threshold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 xml:space="preserve">The Class B Warrants contain a call provision under which if the Volume Weighted Average Price “VWAP” for 30 consecutive trading days exceeds $5.00, and the warrant holder does not possess material non-public information provided by the Company, the Company may call for cancellation the unexercised warrants, offering $0.0001 per Warrant Share. If conditions for the call are met, the unexercised portion of these warrants will be cancelled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trading days after the call notice is received.</w:t>
      </w:r>
    </w:p>
    <w:p>
      <w:pPr>
        <w:pStyle w:val="TextBody"/>
        <w:bidi w:val="0"/>
        <w:spacing w:before="0" w:after="0"/>
        <w:ind w:left="36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Similar to the Class B Warrants issued in financial year ended December 31, 2024, the Company classified the Class B Warrants issued in the three months ended March 31, 2025, as equity (per ASC 815) and recorded the fair value of $2.8 million as additional paid in capital. As at March 31, 2025, the value of the outstanding 9,950,000 Class B Warrants of $7.2 million was recorded in additional paid in capital.</w:t>
      </w:r>
    </w:p>
    <w:p>
      <w:pPr>
        <w:pStyle w:val="TextBody"/>
        <w:bidi w:val="0"/>
        <w:spacing w:before="0" w:after="240"/>
        <w:ind w:left="360" w:right="0" w:firstLine="360"/>
        <w:jc w:val="both"/>
        <w:rPr>
          <w:rFonts w:ascii="Times New Roman;Times;serif" w:hAnsi="Times New Roman;Times;serif"/>
          <w:sz w:val="20"/>
        </w:rPr>
      </w:pPr>
      <w:r>
        <w:rPr>
          <w:rFonts w:ascii="Times New Roman;Times;serif" w:hAnsi="Times New Roman;Times;serif"/>
          <w:sz w:val="20"/>
        </w:rPr>
        <w:t>There were no exercises or redemptions of the Public Warrants, Private Warrants, Class A Warrants and Class B Warrants during the three months ended March 31, 2025.</w:t>
      </w:r>
    </w:p>
    <w:p>
      <w:pPr>
        <w:pStyle w:val="TextBody"/>
        <w:bidi w:val="0"/>
        <w:spacing w:before="0" w:after="240"/>
        <w:ind w:left="36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Share-Based Compensation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2021 Incentive Equity Plan (the “Incentive Plan”) provides that the aggregate number of common shares reserved for future issuance under the Incentive Plan. As at March 31, 2025, there were a total of 70,262,856 common shares reserved for issuance under the Incentive Plan out of which 43,565,373 common shares remained available for future issuances. These amounts include 13,628,338 shares added to the Incentive Plan in January 2025 pursuant to the Incentive Plan’s automatic annual increase provision, provided that 2,243,853 of the outstanding common shares shall only be available for awards made to non-employee directors of the Company. On the first day of each fiscal year from 2022 to 2031, the number of common shares that may be issued pursuant to the Incentive Plan is automatically increased by an amount equal to the lesser of 4% of the number of outstanding common shares or an amount determined by the board of directors.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Share-based awards consisting of Restricted Share Units (“RSU”) and options under the Short-Term Incentives Plan (“STIP”) and Long-Term Incentives Plan (“LTIP”) have been issued under the 2021 Incentive Equity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Prior to the 2021 Incentive Plan, the Company had granted share-based awards under the 2018 Stock Option Plan (“2018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left"/>
        <w:rPr>
          <w:rFonts w:ascii="Times New Roman;Times;serif" w:hAnsi="Times New Roman;Times;serif"/>
          <w:b/>
          <w:i/>
          <w:sz w:val="20"/>
        </w:rPr>
      </w:pPr>
      <w:bookmarkStart w:id="710" w:name="Tc_rkQKTQWoCkCJjv1k8Z6FiQ_7_4"/>
      <w:bookmarkStart w:id="711" w:name="Tc_t38Zi3kDm0uFF4wtWVSoEg_7_0"/>
      <w:bookmarkStart w:id="712" w:name="Tc_tUBF7VHpJ0aQyliwxjFHAg_6_4"/>
      <w:bookmarkStart w:id="713" w:name="Tc_hx59rjD1h0meMQo3VzwwlA_6_0"/>
      <w:bookmarkStart w:id="714" w:name="Tc_shvKywbbq0KVxDpoCl2eOA_5_4"/>
      <w:bookmarkStart w:id="715" w:name="Tc_Rz8eHdEJvEe_YMQWMTD2mw_5_0"/>
      <w:bookmarkStart w:id="716" w:name="Tc_IL9IewHrfUq52QXyDSWGNg_4_4"/>
      <w:bookmarkStart w:id="717" w:name="Tc_JpUJcOohHkCwx35J0wZiww_4_0"/>
      <w:bookmarkStart w:id="718" w:name="Tc_eH8iv_45XEChG4XICIN1jA_3_2"/>
      <w:bookmarkStart w:id="719" w:name="Tc_MP0zJR30gUG8X5fWz8KYxA_3_0"/>
      <w:bookmarkStart w:id="720" w:name="Tc_qOIYwTV0N066OHB0KGhWBw_2_2"/>
      <w:bookmarkStart w:id="721" w:name="Tc_PRsFXElszUGrDbq76FrNXA_2_0"/>
      <w:bookmarkStart w:id="722" w:name="Tc_10V7DZGWXE-_RZfCL2wmEw_1_2"/>
      <w:bookmarkStart w:id="723" w:name="_b93c364a_cf00_4cfd_ae49_262ad7b5e78d"/>
      <w:bookmarkStart w:id="724" w:name="Tc_Bgc_5man0E-m7IClg_OZfg_12_0"/>
      <w:bookmarkStart w:id="725" w:name="Tc_U2COPywisEKZF81JG4Yeqw_11_4"/>
      <w:bookmarkStart w:id="726" w:name="Tc_21Ib5qhmhkGaL_Fkuj9V7g_11_2"/>
      <w:bookmarkStart w:id="727" w:name="Tc_sHmNLDvDwkypeS6o2u3SYQ_11_0"/>
      <w:bookmarkStart w:id="728" w:name="Tc_CPoNGjHO1k65g2038R4nNQ_10_0"/>
      <w:bookmarkStart w:id="729" w:name="Tc_spvFiGoyOEy1TMJ7vnmyQg_9_6"/>
      <w:bookmarkStart w:id="730" w:name="Tc_CwiIvo3EJ0KVkLbamM_4Yg_9_4"/>
      <w:bookmarkStart w:id="731" w:name="Tc_S9Q-S2gpR0m7T2XQvaXmAw_9_0"/>
      <w:bookmarkStart w:id="732" w:name="Tc_7n2fahxlQU2GfeCGq5Jj5Q_8_6"/>
      <w:bookmarkStart w:id="733" w:name="Tc_KltOyc770kWJLE7x2dJQUQ_8_0"/>
      <w:bookmarkStart w:id="734" w:name="Tc_VLw_0EM9AEGESMNL5eSipQ_7_4"/>
      <w:bookmarkStart w:id="735" w:name="Tc_1c30DaVKr0y8BzpG0Fv8sg_7_2"/>
      <w:bookmarkStart w:id="736" w:name="Tc_tsfODUgJX0KcFhncKIPfdQ_7_0"/>
      <w:bookmarkStart w:id="737" w:name="Tc_18j9W_BuK0GVjiyVWaVUOQ_6_6"/>
      <w:bookmarkStart w:id="738" w:name="Tc_lqZmlY1pgUGDhjbur5sE7A_6_0"/>
      <w:bookmarkStart w:id="739" w:name="Tc_3oSabeEkPEqaIjQKDYMZrw_5_6"/>
      <w:bookmarkStart w:id="740" w:name="Tc_yjTKqs3cHkGxxNMaW5iaog_5_4"/>
      <w:bookmarkStart w:id="741" w:name="Tc_-Q-1h27EqUiZYKm4c1q2pg_5_2"/>
      <w:bookmarkStart w:id="742" w:name="Tc_F1M707m5RU6RwzJe9R5OxA_4_6"/>
      <w:bookmarkStart w:id="743" w:name="Tc_Fz9V2l1fpkirqVMM56kIHQ_4_4"/>
      <w:bookmarkStart w:id="744" w:name="Tc_PFOxSe20m0KJNAMPl6OySQ_4_2"/>
      <w:bookmarkStart w:id="745" w:name="Tc_IVCONZGAQEaGmfZo_yy9nA_3_6"/>
      <w:bookmarkStart w:id="746" w:name="Tc_chcStuWm00esM_e1_fiGaA_3_4"/>
      <w:bookmarkStart w:id="747" w:name="Tc_mOesTkZeHUa9-uUefvkO9g_3_2"/>
      <w:bookmarkStart w:id="748" w:name="Tc_LKxj7bnQfUmYZAw27lkbrA_2_6"/>
      <w:bookmarkStart w:id="749" w:name="Tc_9DdfTzrnMEe0lmQCmFgKAQ_2_4"/>
      <w:bookmarkStart w:id="750" w:name="Tc_9aMMK9OCV0ijzq8wCfqbCQ_2_2"/>
      <w:bookmarkStart w:id="751" w:name="Tc_965atSpGI0yDKOQvPSPZOA_1_6"/>
      <w:bookmarkStart w:id="752" w:name="Tc_j3yjCosNxUCWR6y2GLr2gQ_1_4"/>
      <w:bookmarkStart w:id="753" w:name="Tc_eB5Z0MK91U6wKt7StdpuVg_1_2"/>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r>
        <w:rPr>
          <w:rFonts w:ascii="Times New Roman;Times;serif" w:hAnsi="Times New Roman;Times;serif"/>
          <w:b/>
          <w:i/>
          <w:sz w:val="20"/>
        </w:rPr>
        <w:t>Stock options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movements in the Company’s stock options under the various plans is as follows:</w:t>
      </w:r>
    </w:p>
    <w:p>
      <w:pPr>
        <w:pStyle w:val="TextBody"/>
        <w:bidi w:val="0"/>
        <w:spacing w:before="0" w:after="0"/>
        <w:ind w:left="0" w:right="0" w:hanging="0"/>
        <w:jc w:val="left"/>
        <w:rPr/>
      </w:pPr>
      <w:r>
        <w:rPr/>
        <w:t>​</w:t>
      </w:r>
    </w:p>
    <w:tbl>
      <w:tblPr>
        <w:tblW w:w="7672" w:type="dxa"/>
        <w:jc w:val="left"/>
        <w:tblInd w:w="0" w:type="dxa"/>
        <w:tblLayout w:type="fixed"/>
        <w:tblCellMar>
          <w:top w:w="0" w:type="dxa"/>
          <w:left w:w="0" w:type="dxa"/>
          <w:bottom w:w="0" w:type="dxa"/>
          <w:right w:w="0" w:type="dxa"/>
        </w:tblCellMar>
      </w:tblPr>
      <w:tblGrid>
        <w:gridCol w:w="2896"/>
        <w:gridCol w:w="326"/>
        <w:gridCol w:w="1306"/>
        <w:gridCol w:w="326"/>
        <w:gridCol w:w="1306"/>
        <w:gridCol w:w="326"/>
        <w:gridCol w:w="118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38960" cy="175260"/>
                      <wp:effectExtent l="0" t="0" r="0" b="0"/>
                      <wp:wrapNone/>
                      <wp:docPr id="139" name="Frame139"/>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829310" cy="175260"/>
                      <wp:effectExtent l="0" t="0" r="0" b="0"/>
                      <wp:wrapNone/>
                      <wp:docPr id="141" name="Frame14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829310" cy="175260"/>
                      <wp:effectExtent l="0" t="0" r="0" b="0"/>
                      <wp:wrapNone/>
                      <wp:docPr id="143" name="Frame14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53110" cy="175260"/>
                      <wp:effectExtent l="0" t="0" r="0" b="0"/>
                      <wp:wrapNone/>
                      <wp:docPr id="145" name="Frame14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w:t>
            </w:r>
          </w:p>
        </w:tc>
      </w:tr>
      <w:tr>
        <w:trPr/>
        <w:tc>
          <w:tcPr>
            <w:tcW w:w="28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Short-Term</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Long-term </w:t>
            </w:r>
          </w:p>
        </w:tc>
        <w:tc>
          <w:tcPr>
            <w:tcW w:w="32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Options</w:t>
            </w:r>
          </w:p>
        </w:tc>
      </w:tr>
      <w:tr>
        <w:trPr/>
        <w:tc>
          <w:tcPr>
            <w:tcW w:w="28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r>
      <w:tr>
        <w:trPr/>
        <w:tc>
          <w:tcPr>
            <w:tcW w:w="28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under</w:t>
            </w:r>
          </w:p>
        </w:tc>
      </w:tr>
      <w:tr>
        <w:trPr/>
        <w:tc>
          <w:tcPr>
            <w:tcW w:w="28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under 2018 Plan</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under 2018 Plan</w:t>
            </w:r>
          </w:p>
        </w:tc>
        <w:tc>
          <w:tcPr>
            <w:tcW w:w="326" w:type="dxa"/>
            <w:tcBorders/>
            <w:vAlign w:val="center"/>
          </w:tcPr>
          <w:p>
            <w:pPr>
              <w:pStyle w:val="TableContents"/>
              <w:bidi w:val="0"/>
              <w:spacing w:before="0" w:after="1"/>
              <w:ind w:left="0" w:right="0" w:hanging="0"/>
              <w:jc w:val="center"/>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Incentive Plan</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15,074,240</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9,783,922</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3,940,000</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(57,893)</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(139,048)</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(715,772)</w:t>
            </w:r>
          </w:p>
        </w:tc>
        <w:tc>
          <w:tcPr>
            <w:tcW w:w="326" w:type="dxa"/>
            <w:tcBorders/>
            <w:vAlign w:val="center"/>
          </w:tcPr>
          <w:p>
            <w:pPr>
              <w:pStyle w:val="TableContents"/>
              <w:bidi w:val="0"/>
              <w:spacing w:before="0"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14,300,575</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9,644,874</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3,940,000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1,250,000</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March 31, 2025</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14,300,575</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9,644,874</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5,190,000</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March 31, 2025, the Company granted 1,250,000 stock options out of which 500,000 stock options vest in thirds on each anniversary of the grant date. The fair value of the stock options vesting in thirds was estimated on the date of grant using the Black-Scholes method and the following weighted average assumptions:</w:t>
      </w:r>
    </w:p>
    <w:p>
      <w:pPr>
        <w:pStyle w:val="TextBody"/>
        <w:bidi w:val="0"/>
        <w:spacing w:before="0" w:after="0"/>
        <w:ind w:left="0" w:right="0" w:hanging="0"/>
        <w:jc w:val="left"/>
        <w:rPr/>
      </w:pPr>
      <w:r>
        <w:rPr/>
        <w:t>​</w:t>
      </w:r>
    </w:p>
    <w:tbl>
      <w:tblPr>
        <w:tblW w:w="3463" w:type="dxa"/>
        <w:jc w:val="left"/>
        <w:tblInd w:w="0" w:type="dxa"/>
        <w:tblLayout w:type="fixed"/>
        <w:tblCellMar>
          <w:top w:w="0" w:type="dxa"/>
          <w:left w:w="0" w:type="dxa"/>
          <w:bottom w:w="0" w:type="dxa"/>
          <w:right w:w="0" w:type="dxa"/>
        </w:tblCellMar>
      </w:tblPr>
      <w:tblGrid>
        <w:gridCol w:w="1351"/>
        <w:gridCol w:w="326"/>
        <w:gridCol w:w="278"/>
        <w:gridCol w:w="892"/>
        <w:gridCol w:w="6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57885" cy="175260"/>
                      <wp:effectExtent l="0" t="0" r="0" b="0"/>
                      <wp:wrapNone/>
                      <wp:docPr id="146" name="Frame14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76530" cy="175260"/>
                      <wp:effectExtent l="0" t="0" r="0" b="0"/>
                      <wp:wrapNone/>
                      <wp:docPr id="148" name="Frame148"/>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66420" cy="175260"/>
                      <wp:effectExtent l="0" t="0" r="0" b="0"/>
                      <wp:wrapNone/>
                      <wp:docPr id="149" name="Frame149"/>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91160" cy="175260"/>
                      <wp:effectExtent l="0" t="0" r="0" b="0"/>
                      <wp:wrapNone/>
                      <wp:docPr id="150" name="Frame15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March 4, 2025</w:t>
            </w:r>
          </w:p>
        </w:tc>
        <w:tc>
          <w:tcPr>
            <w:tcW w:w="616" w:type="dxa"/>
            <w:tcBorders/>
            <w:vAlign w:val="center"/>
          </w:tcPr>
          <w:p>
            <w:pPr>
              <w:pStyle w:val="TableContents"/>
              <w:bidi w:val="0"/>
              <w:spacing w:before="0" w:after="1"/>
              <w:ind w:left="0" w:right="0" w:hanging="0"/>
              <w:jc w:val="center"/>
              <w:rPr/>
            </w:pPr>
            <w:r>
              <w:rPr/>
              <w:t> </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w:t>
            </w:r>
          </w:p>
        </w:tc>
        <w:tc>
          <w:tcPr>
            <w:tcW w:w="6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103.85</w:t>
            </w:r>
          </w:p>
        </w:tc>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(1)</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89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w:t>
            </w:r>
          </w:p>
        </w:tc>
        <w:tc>
          <w:tcPr>
            <w:tcW w:w="6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years</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3.92</w:t>
            </w:r>
          </w:p>
        </w:tc>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89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6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there has been no exercise of options granted under the Incentive plan, the expected term was estimated using the simplified method which is calculated as the average of the time to vest for each tranche from the grant date and the 7-year</w:t>
            </w:r>
            <w:r>
              <w:rPr>
                <w:caps w:val="false"/>
                <w:smallCaps w:val="false"/>
              </w:rPr>
              <w:t xml:space="preserve"> </w:t>
            </w:r>
            <w:r>
              <w:rPr>
                <w:rFonts w:ascii="Times New Roman;Times;serif" w:hAnsi="Times New Roman;Times;serif"/>
                <w:b w:val="false"/>
                <w:i w:val="false"/>
                <w:caps w:val="false"/>
                <w:smallCaps w:val="false"/>
                <w:sz w:val="20"/>
              </w:rPr>
              <w:t>contractual term.</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remaining 750,000 stock options vest as follows: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Tranche 1 - 25% when the Company’s market capitalization equals $3 billion;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Tranche 2 - 35% when the Company’s market capitalization equals $6 billion;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Tranche 3 – 20% upon the date that the ISA grants an exploitation contract to the Company; and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Tranche 4 – 20% upon the commencement of the first commercial production following the grant of the exploitation contract.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Tranche 1 and Tranche 2 vest based on market conditions of the Company’s market capitalization reaching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$1.09 per share and $0.90 per share and derived service periods of 1.40 years and 1.88 years, respectively. The Company will expense these awards rateably over the remaining service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bookmarkStart w:id="754" w:name="Tc_4btLNkXbh0GGVzrARnO8Fg_11_0"/>
      <w:bookmarkStart w:id="755" w:name="Tc_uQjBBIp0QkuKjYpNjAPrdA_10_0"/>
      <w:bookmarkStart w:id="756" w:name="Tc_q-q_WePaHUWlNg9n4-jsSQ_9_0"/>
      <w:bookmarkStart w:id="757" w:name="Tc_VQD_tep8_0u3SuRpte3yOw_8_0"/>
      <w:bookmarkStart w:id="758" w:name="Tc_CzgPAS7riU-zuyGbEH3E_w_7_0"/>
      <w:bookmarkStart w:id="759" w:name="Tc_y2sr5GwNuUi0wL4XaPHYsw_6_0"/>
      <w:bookmarkStart w:id="760" w:name="Tc_2-NEtkxYhEWUBd_s6q3RJg_5_0"/>
      <w:bookmarkStart w:id="761" w:name="Tc_HHjvU_Jg-0mo0zcUU9xqzA_4_0"/>
      <w:bookmarkStart w:id="762" w:name="Tc_q7uXVxvUdUO2LSg30rDgRg_3_0"/>
      <w:bookmarkStart w:id="763" w:name="Tc_zq3onPS4SEK-AY4ntVUMxw_2_2"/>
      <w:bookmarkStart w:id="764" w:name="Tc_uoCGfSWXPkC2ddtm0dSkVg_1_2"/>
      <w:bookmarkStart w:id="765" w:name="Tc_JZv7HcInPkyD9QNZe1ULtQ_7_4"/>
      <w:bookmarkStart w:id="766" w:name="Tc_ovOkHWmbgkKY4B29mkWYjw_7_0"/>
      <w:bookmarkStart w:id="767" w:name="Tc_E1baYpRC-kuWQ6OZAeNLiA_6_4"/>
      <w:bookmarkStart w:id="768" w:name="Tc_49JeScEtsEukQcNnCVZiog_6_0"/>
      <w:bookmarkStart w:id="769" w:name="Tc_M6IMKVooMkmwMlBttKYILw_5_4"/>
      <w:bookmarkStart w:id="770" w:name="Tc_Wutvgo3IWkCW5zyZKWmeTQ_5_0"/>
      <w:bookmarkStart w:id="771" w:name="Tc_4sbY3Lvgc0yIW6bfDuWEPA_4_4"/>
      <w:bookmarkStart w:id="772" w:name="Tc_GTA3j5nuokqymPWinjYu4g_4_0"/>
      <w:bookmarkStart w:id="773" w:name="Tc_JJoxt--mU0aUVoCR67lrZw_3_2"/>
      <w:bookmarkStart w:id="774" w:name="Tc_AgSpOWBWm0uq8SRWaf1Jfg_3_0"/>
      <w:bookmarkStart w:id="775" w:name="Tc_69WB982nUEi8V413c5Xr5w_2_2"/>
      <w:bookmarkStart w:id="776" w:name="Tc_fBEk3N0-p0CuOjU06FzKhg_2_0"/>
      <w:bookmarkStart w:id="777" w:name="Tc_70ECp9Xrj0yGApwKTwRfvA_1_2"/>
      <w:bookmarkStart w:id="778" w:name="_179d8035_3d1b_44db_862b_4c3dfd79379f"/>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rFonts w:ascii="Times New Roman;Times;serif" w:hAnsi="Times New Roman;Times;serif"/>
          <w:sz w:val="20"/>
        </w:rPr>
        <w:t>Tranche 3 and Tranche 4 of the stock options granted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the achievement of performance of these conditions at March 31, 2025 was not probable, the Company has not recorded any compensation expense for the performance-based awards. The Company will reassess the probability of the vesting of the performance-based awards at each reporting period and adjust the compensation cost when the criteria is determined to be probable.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fair values of the Tranche 1 and Tranche 2 options were estimated on the date of grant using the Monte Carlo method and the following assumptions:</w:t>
      </w:r>
    </w:p>
    <w:p>
      <w:pPr>
        <w:pStyle w:val="TextBody"/>
        <w:bidi w:val="0"/>
        <w:spacing w:before="0" w:after="0"/>
        <w:ind w:left="0" w:right="0" w:hanging="0"/>
        <w:jc w:val="left"/>
        <w:rPr/>
      </w:pPr>
      <w:r>
        <w:rPr/>
        <w:t>​</w:t>
      </w:r>
    </w:p>
    <w:tbl>
      <w:tblPr>
        <w:tblW w:w="3554" w:type="dxa"/>
        <w:jc w:val="left"/>
        <w:tblInd w:w="0" w:type="dxa"/>
        <w:tblLayout w:type="fixed"/>
        <w:tblCellMar>
          <w:top w:w="0" w:type="dxa"/>
          <w:left w:w="0" w:type="dxa"/>
          <w:bottom w:w="0" w:type="dxa"/>
          <w:right w:w="0" w:type="dxa"/>
        </w:tblCellMar>
      </w:tblPr>
      <w:tblGrid>
        <w:gridCol w:w="1351"/>
        <w:gridCol w:w="326"/>
        <w:gridCol w:w="299"/>
        <w:gridCol w:w="962"/>
        <w:gridCol w:w="6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857885" cy="175260"/>
                      <wp:effectExtent l="0" t="0" r="0" b="0"/>
                      <wp:wrapNone/>
                      <wp:docPr id="151" name="Frame151"/>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89865" cy="175260"/>
                      <wp:effectExtent l="0" t="0" r="0" b="0"/>
                      <wp:wrapNone/>
                      <wp:docPr id="153" name="Frame15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10870" cy="175260"/>
                      <wp:effectExtent l="0" t="0" r="0" b="0"/>
                      <wp:wrapNone/>
                      <wp:docPr id="154" name="Frame154"/>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91160" cy="175260"/>
                      <wp:effectExtent l="0" t="0" r="0" b="0"/>
                      <wp:wrapNone/>
                      <wp:docPr id="155" name="Frame15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March 14, 2025</w:t>
            </w:r>
          </w:p>
        </w:tc>
        <w:tc>
          <w:tcPr>
            <w:tcW w:w="616" w:type="dxa"/>
            <w:tcBorders/>
            <w:vAlign w:val="center"/>
          </w:tcPr>
          <w:p>
            <w:pPr>
              <w:pStyle w:val="TableContents"/>
              <w:bidi w:val="0"/>
              <w:spacing w:before="0" w:after="1"/>
              <w:ind w:left="0" w:right="0" w:hanging="0"/>
              <w:jc w:val="center"/>
              <w:rPr/>
            </w:pPr>
            <w:r>
              <w:rPr/>
              <w:t> </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1.73</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w:t>
            </w:r>
          </w:p>
        </w:tc>
        <w:tc>
          <w:tcPr>
            <w:tcW w:w="6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100.62</w:t>
            </w:r>
          </w:p>
        </w:tc>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(1)</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3.22</w:t>
            </w:r>
          </w:p>
        </w:tc>
        <w:tc>
          <w:tcPr>
            <w:tcW w:w="6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years</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3.93</w:t>
            </w:r>
          </w:p>
        </w:tc>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6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During the three months ended March 31, 2025, the Company recognized $0.5 million of share-based compensation expense for stock options as general and administrative expenses in the statement of loss and comprehensive loss (For the three months ended March 31, 2024, the Company recognized $47 thousand of share-based compensation expense for stock options of which $14 thousand was related to exploration and evaluation activities and $33 thousand was related to general and administrative expenses). The Company has not granted any options under the 2018 Plan since September 9, 2021 (date of the Business Combination) and has fully recognized the fair value of the options issued under the 2018 Plan in the prior periods.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Restricted Share Units (“RSU”)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may, from time to time, grant RSUs to directors, officers, employees, and consultants of the Company and its subsidiaries under the Plan. On each vesting date, RSU holders are issued common shares equivalent to the number of RSUs held provided the holder is providing service to the Company on such vesting date.</w:t>
      </w:r>
    </w:p>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RSU activity is as follows:</w:t>
      </w:r>
    </w:p>
    <w:p>
      <w:pPr>
        <w:pStyle w:val="TextBody"/>
        <w:bidi w:val="0"/>
        <w:spacing w:before="0" w:after="0"/>
        <w:ind w:left="0" w:right="0" w:hanging="0"/>
        <w:jc w:val="left"/>
        <w:rPr/>
      </w:pPr>
      <w:r>
        <w:rPr/>
        <w:t>​</w:t>
      </w:r>
    </w:p>
    <w:tbl>
      <w:tblPr>
        <w:tblW w:w="4708" w:type="dxa"/>
        <w:jc w:val="left"/>
        <w:tblInd w:w="0" w:type="dxa"/>
        <w:tblLayout w:type="fixed"/>
        <w:tblCellMar>
          <w:top w:w="0" w:type="dxa"/>
          <w:left w:w="0" w:type="dxa"/>
          <w:bottom w:w="0" w:type="dxa"/>
          <w:right w:w="0" w:type="dxa"/>
        </w:tblCellMar>
      </w:tblPr>
      <w:tblGrid>
        <w:gridCol w:w="2971"/>
        <w:gridCol w:w="326"/>
        <w:gridCol w:w="141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86585" cy="175260"/>
                      <wp:effectExtent l="0" t="0" r="0" b="0"/>
                      <wp:wrapNone/>
                      <wp:docPr id="156" name="Frame156"/>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895985" cy="175260"/>
                      <wp:effectExtent l="0" t="0" r="0" b="0"/>
                      <wp:wrapNone/>
                      <wp:docPr id="158" name="Frame158"/>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 RSUs </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12,484,880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33,079,041</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(516,685)</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(10,734,581)</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34,312,655</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11,999,006</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(456,913)</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(7,933,336)</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March 31, 2025</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37,921,412</w:t>
            </w:r>
          </w:p>
        </w:tc>
      </w:tr>
    </w:tbl>
    <w:p>
      <w:pPr>
        <w:pStyle w:val="TextBody"/>
        <w:bidi w:val="0"/>
        <w:spacing w:before="0" w:after="240"/>
        <w:ind w:left="36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80"/>
        <w:ind w:left="360" w:right="0" w:hanging="0"/>
        <w:jc w:val="both"/>
        <w:rPr>
          <w:rFonts w:ascii="Times New Roman;Times;serif" w:hAnsi="Times New Roman;Times;serif"/>
          <w:sz w:val="20"/>
        </w:rPr>
      </w:pPr>
      <w:bookmarkStart w:id="779" w:name="Tc_-WVA84nZHE2246arEeBF9A_9_0"/>
      <w:bookmarkStart w:id="780" w:name="Tc_bzk2MAE-BEi5WDW-PYAQaA_8_4"/>
      <w:bookmarkStart w:id="781" w:name="Tc_8JYxzg5310m9S1Rlc1tJbw_8_0"/>
      <w:bookmarkStart w:id="782" w:name="Tc_NpSjjnEYaEeD88Yw6JLw7g_7_4"/>
      <w:bookmarkStart w:id="783" w:name="Tc_-3DScNNNg0SxX4D6-dsCZQ_7_0"/>
      <w:bookmarkStart w:id="784" w:name="Tc_o-heXLR-wEu_XTxu8nv0IA_6_0"/>
      <w:bookmarkStart w:id="785" w:name="Tc_pyI60y3o20y4K_dFsTeVLw_5_0"/>
      <w:bookmarkStart w:id="786" w:name="Tc_kxYGmncC8EC-WChF4Sbltw_4_0"/>
      <w:bookmarkStart w:id="787" w:name="Tc_zgFaHkG1C0af_SEoWr8kyw_3_4"/>
      <w:bookmarkStart w:id="788" w:name="Tc_KWUYDgmZDkWVJ6xWL944uQ_3_2"/>
      <w:bookmarkStart w:id="789" w:name="Tc_nIKd85OZpE2-M-7dwNIbZA_3_0"/>
      <w:bookmarkStart w:id="790" w:name="Tc_W5jQ8B3UOkSvISAyHv-q9Q_2_4"/>
      <w:bookmarkStart w:id="791" w:name="Tc_zRadvevRPUG1-T2prUrOPg_2_2"/>
      <w:bookmarkStart w:id="792" w:name="Tc_PmI_mPJZPUu_rBDPpT6cZQ_1_4"/>
      <w:bookmarkStart w:id="793" w:name="Tc_Zk5Eg5SyUUirNdxO2b6dkA_1_2"/>
      <w:bookmarkStart w:id="794" w:name="_096ddf95_fbc1_4682_9d20_14ec1bbc26c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r>
        <w:rPr>
          <w:rFonts w:ascii="Times New Roman;Times;serif" w:hAnsi="Times New Roman;Times;serif"/>
          <w:sz w:val="20"/>
        </w:rPr>
        <w:t>The details of RSUs granted by the Company during the period are as follows:</w:t>
      </w:r>
    </w:p>
    <w:p>
      <w:pPr>
        <w:pStyle w:val="TextBody"/>
        <w:bidi w:val="0"/>
        <w:spacing w:before="0" w:after="0"/>
        <w:ind w:left="0" w:right="0" w:hanging="0"/>
        <w:jc w:val="left"/>
        <w:rPr/>
      </w:pPr>
      <w:r>
        <w:rPr/>
        <w:t>​</w:t>
      </w:r>
    </w:p>
    <w:tbl>
      <w:tblPr>
        <w:tblW w:w="8320" w:type="dxa"/>
        <w:jc w:val="left"/>
        <w:tblInd w:w="0" w:type="dxa"/>
        <w:tblLayout w:type="fixed"/>
        <w:tblCellMar>
          <w:top w:w="0" w:type="dxa"/>
          <w:left w:w="0" w:type="dxa"/>
          <w:bottom w:w="0" w:type="dxa"/>
          <w:right w:w="0" w:type="dxa"/>
        </w:tblCellMar>
      </w:tblPr>
      <w:tblGrid>
        <w:gridCol w:w="4981"/>
        <w:gridCol w:w="326"/>
        <w:gridCol w:w="1321"/>
        <w:gridCol w:w="326"/>
        <w:gridCol w:w="1366"/>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162935" cy="175260"/>
                      <wp:effectExtent l="0" t="0" r="0" b="0"/>
                      <wp:wrapNone/>
                      <wp:docPr id="159" name="Frame159"/>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838835" cy="175260"/>
                      <wp:effectExtent l="0" t="0" r="0" b="0"/>
                      <wp:wrapNone/>
                      <wp:docPr id="161" name="Frame161"/>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867410" cy="175260"/>
                      <wp:effectExtent l="0" t="0" r="0" b="0"/>
                      <wp:wrapNone/>
                      <wp:docPr id="163" name="Frame163"/>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w:t>
            </w:r>
          </w:p>
        </w:tc>
      </w:tr>
      <w:tr>
        <w:trPr/>
        <w:tc>
          <w:tcPr>
            <w:tcW w:w="49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ended March 31,</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ended March 31,</w:t>
            </w:r>
          </w:p>
        </w:tc>
      </w:tr>
      <w:tr>
        <w:trPr/>
        <w:tc>
          <w:tcPr>
            <w:tcW w:w="4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Vesting Period</w:t>
            </w:r>
          </w:p>
        </w:tc>
        <w:tc>
          <w:tcPr>
            <w:tcW w:w="326" w:type="dxa"/>
            <w:tcBorders/>
            <w:vAlign w:val="center"/>
          </w:tcPr>
          <w:p>
            <w:pPr>
              <w:pStyle w:val="TableContents"/>
              <w:bidi w:val="0"/>
              <w:spacing w:before="0" w:after="0"/>
              <w:ind w:left="0" w:right="0" w:hanging="0"/>
              <w:jc w:val="center"/>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49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Immediately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2,619,585</w:t>
            </w:r>
          </w:p>
        </w:tc>
        <w:tc>
          <w:tcPr>
            <w:tcW w:w="326" w:type="dxa"/>
            <w:tcBorders/>
            <w:shd w:fill="CCEEFF" w:val="clear"/>
            <w:vAlign w:val="center"/>
          </w:tcPr>
          <w:p>
            <w:pPr>
              <w:pStyle w:val="TableContents"/>
              <w:bidi w:val="0"/>
              <w:spacing w:before="0" w:after="0"/>
              <w:ind w:left="0" w:right="0" w:hanging="0"/>
              <w:jc w:val="center"/>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3,800,435</w:t>
            </w:r>
          </w:p>
        </w:tc>
      </w:tr>
      <w:tr>
        <w:trPr/>
        <w:tc>
          <w:tcPr>
            <w:tcW w:w="49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fully within the first anniversary of the grant date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60,000</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17,241</w:t>
            </w:r>
          </w:p>
        </w:tc>
      </w:tr>
      <w:tr>
        <w:trPr/>
        <w:tc>
          <w:tcPr>
            <w:tcW w:w="49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in thirds on each anniversary of the grant date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8,818,935</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7,144,348</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in fourths on each anniversary of the grant date</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176,302</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based on performance conditions</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324,184</w:t>
            </w:r>
          </w:p>
        </w:tc>
        <w:tc>
          <w:tcPr>
            <w:tcW w:w="326" w:type="dxa"/>
            <w:tcBorders/>
            <w:shd w:fill="CCEEFF" w:val="clear"/>
            <w:vAlign w:val="center"/>
          </w:tcPr>
          <w:p>
            <w:pPr>
              <w:pStyle w:val="TableContents"/>
              <w:bidi w:val="0"/>
              <w:spacing w:before="0" w:after="0"/>
              <w:ind w:left="0" w:right="0" w:hanging="0"/>
              <w:jc w:val="left"/>
              <w:rPr/>
            </w:pPr>
            <w:r>
              <w:rPr/>
              <w:t>​</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Units Granted</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11,999,006</w:t>
            </w:r>
          </w:p>
        </w:tc>
        <w:tc>
          <w:tcPr>
            <w:tcW w:w="326" w:type="dxa"/>
            <w:tcBorders/>
            <w:vAlign w:val="center"/>
          </w:tcPr>
          <w:p>
            <w:pPr>
              <w:pStyle w:val="TableContents"/>
              <w:bidi w:val="0"/>
              <w:spacing w:before="0" w:after="0"/>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10,962,024</w:t>
            </w:r>
          </w:p>
        </w:tc>
      </w:tr>
    </w:tbl>
    <w:tbl>
      <w:tblPr>
        <w:tblW w:w="10205" w:type="dxa"/>
        <w:jc w:val="left"/>
        <w:tblInd w:w="0" w:type="dxa"/>
        <w:tblLayout w:type="fixed"/>
        <w:tblCellMar>
          <w:top w:w="28" w:type="dxa"/>
          <w:left w:w="28" w:type="dxa"/>
          <w:bottom w:w="28" w:type="dxa"/>
          <w:right w:w="28" w:type="dxa"/>
        </w:tblCellMar>
      </w:tblPr>
      <w:tblGrid>
        <w:gridCol w:w="124"/>
        <w:gridCol w:w="234"/>
        <w:gridCol w:w="98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4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Of the 2,619,585</w:t>
            </w:r>
            <w:r>
              <w:rPr>
                <w:caps w:val="false"/>
                <w:smallCaps w:val="false"/>
              </w:rPr>
              <w:t xml:space="preserve"> </w:t>
            </w:r>
            <w:r>
              <w:rPr>
                <w:rFonts w:ascii="Times New Roman;Times;serif" w:hAnsi="Times New Roman;Times;serif"/>
                <w:b w:val="false"/>
                <w:i w:val="false"/>
                <w:caps w:val="false"/>
                <w:smallCaps w:val="false"/>
                <w:sz w:val="20"/>
              </w:rPr>
              <w:t>RSUs granted during the three months ended March 31, 2025, 2,469,585</w:t>
            </w:r>
            <w:r>
              <w:rPr>
                <w:caps w:val="false"/>
                <w:smallCaps w:val="false"/>
              </w:rPr>
              <w:t xml:space="preserve"> </w:t>
            </w:r>
            <w:r>
              <w:rPr>
                <w:rFonts w:ascii="Times New Roman;Times;serif" w:hAnsi="Times New Roman;Times;serif"/>
                <w:b w:val="false"/>
                <w:i w:val="false"/>
                <w:caps w:val="false"/>
                <w:smallCaps w:val="false"/>
                <w:sz w:val="20"/>
              </w:rPr>
              <w:t>RSUs were issued to settle liabilities with a carrying amount of $4.1</w:t>
            </w:r>
            <w:r>
              <w:rPr>
                <w:caps w:val="false"/>
                <w:smallCaps w:val="false"/>
              </w:rPr>
              <w:t xml:space="preserve"> </w:t>
            </w:r>
            <w:r>
              <w:rPr>
                <w:rFonts w:ascii="Times New Roman;Times;serif" w:hAnsi="Times New Roman;Times;serif"/>
                <w:b w:val="false"/>
                <w:i w:val="false"/>
                <w:caps w:val="false"/>
                <w:smallCaps w:val="false"/>
                <w:sz w:val="20"/>
              </w:rPr>
              <w:t>million, at a weighted average grant date fair value of $1.68</w:t>
            </w:r>
            <w:r>
              <w:rPr>
                <w:caps w:val="false"/>
                <w:smallCaps w:val="false"/>
              </w:rPr>
              <w:t xml:space="preserve"> </w:t>
            </w:r>
            <w:r>
              <w:rPr>
                <w:rFonts w:ascii="Times New Roman;Times;serif" w:hAnsi="Times New Roman;Times;serif"/>
                <w:b w:val="false"/>
                <w:i w:val="false"/>
                <w:caps w:val="false"/>
                <w:smallCaps w:val="false"/>
                <w:sz w:val="20"/>
              </w:rPr>
              <w:t>per RSU. In addition, during the three months ended March 31, 2025, the Company granted 150,000</w:t>
            </w:r>
            <w:r>
              <w:rPr>
                <w:caps w:val="false"/>
                <w:smallCaps w:val="false"/>
              </w:rPr>
              <w:t xml:space="preserve"> </w:t>
            </w:r>
            <w:r>
              <w:rPr>
                <w:rFonts w:ascii="Times New Roman;Times;serif" w:hAnsi="Times New Roman;Times;serif"/>
                <w:b w:val="false"/>
                <w:i w:val="false"/>
                <w:caps w:val="false"/>
                <w:smallCaps w:val="false"/>
                <w:sz w:val="20"/>
              </w:rPr>
              <w:t>RSUs, to consultants (three months ended March 31, 2024: 46,333</w:t>
            </w:r>
            <w:r>
              <w:rPr>
                <w:caps w:val="false"/>
                <w:smallCaps w:val="false"/>
              </w:rPr>
              <w:t xml:space="preserve"> </w:t>
            </w:r>
            <w:r>
              <w:rPr>
                <w:rFonts w:ascii="Times New Roman;Times;serif" w:hAnsi="Times New Roman;Times;serif"/>
                <w:b w:val="false"/>
                <w:i w:val="false"/>
                <w:caps w:val="false"/>
                <w:smallCaps w:val="false"/>
                <w:sz w:val="20"/>
              </w:rPr>
              <w:t>RSUs) resulting in $0.3</w:t>
            </w:r>
            <w:r>
              <w:rPr>
                <w:caps w:val="false"/>
                <w:smallCaps w:val="false"/>
              </w:rPr>
              <w:t xml:space="preserve"> </w:t>
            </w:r>
            <w:r>
              <w:rPr>
                <w:rFonts w:ascii="Times New Roman;Times;serif" w:hAnsi="Times New Roman;Times;serif"/>
                <w:b w:val="false"/>
                <w:i w:val="false"/>
                <w:caps w:val="false"/>
                <w:smallCaps w:val="false"/>
                <w:sz w:val="20"/>
              </w:rPr>
              <w:t>million,</w:t>
            </w:r>
            <w:r>
              <w:rPr>
                <w:caps w:val="false"/>
                <w:smallCaps w:val="false"/>
              </w:rPr>
              <w:t xml:space="preserve"> </w:t>
            </w:r>
            <w:r>
              <w:rPr>
                <w:rFonts w:ascii="Times New Roman;Times;serif" w:hAnsi="Times New Roman;Times;serif"/>
                <w:b w:val="false"/>
                <w:i w:val="false"/>
                <w:caps w:val="false"/>
                <w:smallCaps w:val="false"/>
                <w:sz w:val="20"/>
              </w:rPr>
              <w:t>charged as general and administrative expenses (three months ended March 31, 2024: $0.1</w:t>
            </w:r>
            <w:r>
              <w:rPr>
                <w:caps w:val="false"/>
                <w:smallCaps w:val="false"/>
              </w:rPr>
              <w:t xml:space="preserve"> </w:t>
            </w:r>
            <w:r>
              <w:rPr>
                <w:rFonts w:ascii="Times New Roman;Times;serif" w:hAnsi="Times New Roman;Times;serif"/>
                <w:b w:val="false"/>
                <w:i w:val="false"/>
                <w:caps w:val="false"/>
                <w:smallCaps w:val="false"/>
                <w:sz w:val="20"/>
              </w:rPr>
              <w:t>million charged as general and administrative expenses).</w:t>
            </w:r>
          </w:p>
        </w:tc>
      </w:tr>
    </w:tbl>
    <w:tbl>
      <w:tblPr>
        <w:tblW w:w="10205" w:type="dxa"/>
        <w:jc w:val="left"/>
        <w:tblInd w:w="0" w:type="dxa"/>
        <w:tblLayout w:type="fixed"/>
        <w:tblCellMar>
          <w:top w:w="28" w:type="dxa"/>
          <w:left w:w="28" w:type="dxa"/>
          <w:bottom w:w="28" w:type="dxa"/>
          <w:right w:w="28" w:type="dxa"/>
        </w:tblCellMar>
      </w:tblPr>
      <w:tblGrid>
        <w:gridCol w:w="124"/>
        <w:gridCol w:w="253"/>
        <w:gridCol w:w="9828"/>
      </w:tblGrid>
      <w:tr>
        <w:trPr/>
        <w:tc>
          <w:tcPr>
            <w:tcW w:w="124" w:type="dxa"/>
            <w:tcBorders/>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82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months ended March 31, 2025, 60,000</w:t>
            </w:r>
            <w:r>
              <w:rPr>
                <w:caps w:val="false"/>
                <w:smallCaps w:val="false"/>
              </w:rPr>
              <w:t xml:space="preserve"> </w:t>
            </w:r>
            <w:r>
              <w:rPr>
                <w:rFonts w:ascii="Times New Roman;Times;serif" w:hAnsi="Times New Roman;Times;serif"/>
                <w:b w:val="false"/>
                <w:i w:val="false"/>
                <w:caps w:val="false"/>
                <w:smallCaps w:val="false"/>
                <w:sz w:val="20"/>
              </w:rPr>
              <w:t>RSUs vesting on July 1, 2025, were issued to a consultant, resulting in $24</w:t>
            </w:r>
            <w:r>
              <w:rPr>
                <w:caps w:val="false"/>
                <w:smallCaps w:val="false"/>
              </w:rPr>
              <w:t xml:space="preserve"> </w:t>
            </w:r>
            <w:r>
              <w:rPr>
                <w:rFonts w:ascii="Times New Roman;Times;serif" w:hAnsi="Times New Roman;Times;serif"/>
                <w:b w:val="false"/>
                <w:i w:val="false"/>
                <w:caps w:val="false"/>
                <w:smallCaps w:val="false"/>
                <w:sz w:val="20"/>
              </w:rPr>
              <w:t>thousand charged as general and administrative expenses.</w:t>
            </w:r>
          </w:p>
        </w:tc>
      </w:tr>
    </w:tbl>
    <w:tbl>
      <w:tblPr>
        <w:tblW w:w="10205" w:type="dxa"/>
        <w:jc w:val="left"/>
        <w:tblInd w:w="0" w:type="dxa"/>
        <w:tblLayout w:type="fixed"/>
        <w:tblCellMar>
          <w:top w:w="28" w:type="dxa"/>
          <w:left w:w="28" w:type="dxa"/>
          <w:bottom w:w="28" w:type="dxa"/>
          <w:right w:w="28" w:type="dxa"/>
        </w:tblCellMar>
      </w:tblPr>
      <w:tblGrid>
        <w:gridCol w:w="124"/>
        <w:gridCol w:w="254"/>
        <w:gridCol w:w="9827"/>
      </w:tblGrid>
      <w:tr>
        <w:trPr/>
        <w:tc>
          <w:tcPr>
            <w:tcW w:w="124" w:type="dxa"/>
            <w:tcBorders/>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82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granted 8,818,935</w:t>
            </w:r>
            <w:r>
              <w:rPr>
                <w:caps w:val="false"/>
                <w:smallCaps w:val="false"/>
              </w:rPr>
              <w:t xml:space="preserve"> </w:t>
            </w:r>
            <w:r>
              <w:rPr>
                <w:rFonts w:ascii="Times New Roman;Times;serif" w:hAnsi="Times New Roman;Times;serif"/>
                <w:b w:val="false"/>
                <w:i w:val="false"/>
                <w:caps w:val="false"/>
                <w:smallCaps w:val="false"/>
                <w:sz w:val="20"/>
              </w:rPr>
              <w:t>RSUs, as payment for the 2024 LTIP awards (three months ended March 31, 2024: 7,144,348</w:t>
            </w:r>
            <w:r>
              <w:rPr>
                <w:caps w:val="false"/>
                <w:smallCaps w:val="false"/>
              </w:rPr>
              <w:t xml:space="preserve"> </w:t>
            </w:r>
            <w:r>
              <w:rPr>
                <w:rFonts w:ascii="Times New Roman;Times;serif" w:hAnsi="Times New Roman;Times;serif"/>
                <w:b w:val="false"/>
                <w:i w:val="false"/>
                <w:caps w:val="false"/>
                <w:smallCaps w:val="false"/>
                <w:sz w:val="20"/>
              </w:rPr>
              <w:t>RSUs were issued as payment for the 2023 LTIP awards).</w:t>
            </w:r>
          </w:p>
        </w:tc>
      </w:tr>
    </w:tbl>
    <w:p>
      <w:pPr>
        <w:pStyle w:val="TextBody"/>
        <w:bidi w:val="0"/>
        <w:spacing w:before="0" w:after="240"/>
        <w:ind w:left="403" w:right="0" w:hanging="0"/>
        <w:jc w:val="both"/>
        <w:rPr>
          <w:rFonts w:ascii="Times New Roman;Times;serif" w:hAnsi="Times New Roman;Times;serif"/>
          <w:sz w:val="20"/>
        </w:rPr>
      </w:pPr>
      <w:r>
        <w:rPr>
          <w:rFonts w:ascii="Times New Roman;Times;serif" w:hAnsi="Times New Roman;Times;serif"/>
          <w:sz w:val="20"/>
        </w:rPr>
        <w:t>The grant date fair value of all RSUs granted in three months ended March 31, 2025, is equivalent to the closing share price of the Company’s common shares on the date of grant. During the three months ended March 31, 2025, a total of $5.4 million was charged to the statement of loss and comprehensive loss as share-based compensation expense for RSUs (three months ended March 31, 2024: $3.2 million) of which share-based compensation expense related to exploration and evaluation activities amounted to $1.9 million (three months ended March 31, 2024 - $1.2 million) and share-based compensation expense related to general and administration matters amounted to $3.5 million (three months ended March 31, 2024 - $2 million). As at March 31, 2025, the total unrecognized share-based compensation expense for RSUs was $29.4 million (December 31, 2024 - $20.5 million).</w:t>
      </w:r>
    </w:p>
    <w:p>
      <w:pPr>
        <w:pStyle w:val="TextBody"/>
        <w:bidi w:val="0"/>
        <w:spacing w:before="0" w:after="240"/>
        <w:ind w:left="403" w:right="0" w:hanging="0"/>
        <w:jc w:val="both"/>
        <w:rPr>
          <w:rFonts w:ascii="Times New Roman;Times;serif" w:hAnsi="Times New Roman;Times;serif"/>
          <w:sz w:val="20"/>
        </w:rPr>
      </w:pPr>
      <w:r>
        <w:rPr>
          <w:rFonts w:ascii="Times New Roman;Times;serif" w:hAnsi="Times New Roman;Times;serif"/>
          <w:sz w:val="20"/>
        </w:rPr>
        <w:t>As at March 31, 2025, an aggregate of 64,727 vested RSUs were being processed and due to be converted into common shares.</w:t>
      </w:r>
    </w:p>
    <w:p>
      <w:pPr>
        <w:pStyle w:val="TextBody"/>
        <w:bidi w:val="0"/>
        <w:spacing w:before="0" w:after="240"/>
        <w:ind w:left="403" w:right="0" w:hanging="0"/>
        <w:jc w:val="both"/>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403" w:right="0" w:hanging="0"/>
        <w:jc w:val="both"/>
        <w:rPr>
          <w:rFonts w:ascii="Times New Roman;Times;serif" w:hAnsi="Times New Roman;Times;serif"/>
          <w:sz w:val="20"/>
        </w:rPr>
      </w:pPr>
      <w:r>
        <w:rPr>
          <w:rFonts w:ascii="Times New Roman;Times;serif" w:hAnsi="Times New Roman;Times;serif"/>
          <w:sz w:val="20"/>
        </w:rPr>
        <w:t>On May 31, 2022, TMC’s 2021 Employee Stock Purchase Plan (“ESPP”) was approved at the Company’s 2022 annual shareholders meeting. As at March 31, 2025, there were 14,055,707 common shares reserved for issuance under the ESPP. This included 3,407,085 shares added to the ESPP in January 2025 pursuant to the ESPP’s automatic annual increase provision.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pStyle w:val="TextBody"/>
        <w:bidi w:val="0"/>
        <w:spacing w:before="0" w:after="240"/>
        <w:ind w:left="403" w:right="0" w:hanging="0"/>
        <w:jc w:val="both"/>
        <w:rPr>
          <w:rFonts w:ascii="Times New Roman;Times;serif" w:hAnsi="Times New Roman;Times;serif"/>
          <w:sz w:val="20"/>
        </w:rPr>
      </w:pPr>
      <w:r>
        <w:rPr>
          <w:rFonts w:ascii="Times New Roman;Times;serif" w:hAnsi="Times New Roman;Times;serif"/>
          <w:sz w:val="20"/>
        </w:rPr>
        <w:t>During the first quarter of 2025, a total of $1 thousand (three months ended March 31, 2024: $9 thousand) was recorded as exploration and evaluation expenses in the statement of loss and comprehensive loss as share-based compensation expense, representing the share price purchase discount offered by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795" w:name="Tc_HaBG8dbH3Eab8lKnsgiVvw_9_0"/>
      <w:bookmarkStart w:id="796" w:name="Tc_cOrQhkTUME6QM4czfk0xWA_8_0"/>
      <w:bookmarkStart w:id="797" w:name="Tc_a3ElC6ycEUemEdONbls3xg_7_0"/>
      <w:bookmarkStart w:id="798" w:name="Tc_a_-OZQZ6kEKpEN7p_t62jQ_6_0"/>
      <w:bookmarkStart w:id="799" w:name="Tc_-B9btYEYjUGSQ50c988eBQ_5_0"/>
      <w:bookmarkStart w:id="800" w:name="Tc_Ib3a4g4HPU2kzLChWjakyg_4_0"/>
      <w:bookmarkStart w:id="801" w:name="Tc_zevJWJba0ka6cP_rt7jUdA_3_4"/>
      <w:bookmarkStart w:id="802" w:name="Tc_08ZQ66RasU2yrdtQWmX7LQ_3_2"/>
      <w:bookmarkStart w:id="803" w:name="Tc_DG2TOFoJK0ugRbLIEpEU_g_2_4"/>
      <w:bookmarkStart w:id="804" w:name="Tc_bbepvSfVu0K9kBvkkkNr0w_2_2"/>
      <w:bookmarkStart w:id="805" w:name="Tc_KabCFw1MTk-9NxNa4TCgnQ_1_4"/>
      <w:bookmarkStart w:id="806" w:name="Tc_3C8wc2oKU06FoCUxc55Qpg_1_2"/>
      <w:bookmarkEnd w:id="795"/>
      <w:bookmarkEnd w:id="796"/>
      <w:bookmarkEnd w:id="797"/>
      <w:bookmarkEnd w:id="798"/>
      <w:bookmarkEnd w:id="799"/>
      <w:bookmarkEnd w:id="800"/>
      <w:bookmarkEnd w:id="801"/>
      <w:bookmarkEnd w:id="802"/>
      <w:bookmarkEnd w:id="803"/>
      <w:bookmarkEnd w:id="804"/>
      <w:bookmarkEnd w:id="805"/>
      <w:bookmarkEnd w:id="806"/>
      <w:r>
        <w:rPr>
          <w:rFonts w:ascii="Times New Roman;Times;serif" w:hAnsi="Times New Roman;Times;serif"/>
          <w:b/>
          <w:i w:val="false"/>
          <w:caps w:val="false"/>
          <w:smallCaps w:val="false"/>
          <w:sz w:val="20"/>
        </w:rPr>
        <w:t>14.</w:t>
      </w:r>
      <w:r>
        <w:rPr>
          <w:rFonts w:ascii="Times New Roman;Times;serif" w:hAnsi="Times New Roman;Times;serif"/>
          <w:b/>
          <w:sz w:val="20"/>
        </w:rPr>
        <w:t>Loss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Anti-dilutive equivalent common shares were as follows:</w:t>
      </w:r>
    </w:p>
    <w:p>
      <w:pPr>
        <w:pStyle w:val="TextBody"/>
        <w:bidi w:val="0"/>
        <w:spacing w:before="0" w:after="0"/>
        <w:ind w:left="0" w:right="0" w:hanging="0"/>
        <w:jc w:val="left"/>
        <w:rPr/>
      </w:pPr>
      <w:r>
        <w:rPr/>
        <w:t>​</w:t>
      </w:r>
    </w:p>
    <w:tbl>
      <w:tblPr>
        <w:tblW w:w="9355" w:type="dxa"/>
        <w:jc w:val="left"/>
        <w:tblInd w:w="0" w:type="dxa"/>
        <w:tblLayout w:type="fixed"/>
        <w:tblCellMar>
          <w:top w:w="0" w:type="dxa"/>
          <w:left w:w="0" w:type="dxa"/>
          <w:bottom w:w="0" w:type="dxa"/>
          <w:right w:w="0" w:type="dxa"/>
        </w:tblCellMar>
      </w:tblPr>
      <w:tblGrid>
        <w:gridCol w:w="5536"/>
        <w:gridCol w:w="326"/>
        <w:gridCol w:w="1561"/>
        <w:gridCol w:w="326"/>
        <w:gridCol w:w="1606"/>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515360" cy="175260"/>
                      <wp:effectExtent l="0" t="0" r="0" b="0"/>
                      <wp:wrapNone/>
                      <wp:docPr id="164" name="Frame164"/>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991235" cy="175260"/>
                      <wp:effectExtent l="0" t="0" r="0" b="0"/>
                      <wp:wrapNone/>
                      <wp:docPr id="166" name="Frame166"/>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019810" cy="175260"/>
                      <wp:effectExtent l="0" t="0" r="0" b="0"/>
                      <wp:wrapNone/>
                      <wp:docPr id="168" name="Frame168"/>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righ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 ended</w:t>
            </w:r>
          </w:p>
        </w:tc>
      </w:tr>
      <w:tr>
        <w:trPr/>
        <w:tc>
          <w:tcPr>
            <w:tcW w:w="55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righ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55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right"/>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options to purchase 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29,135,449</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24,599,114</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RSUs</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37,921,412</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16,108,177</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shares under ESPP</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4,499</w:t>
            </w:r>
          </w:p>
        </w:tc>
        <w:tc>
          <w:tcPr>
            <w:tcW w:w="326"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28,796</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warrants</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40,680,770</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30,730,770</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Special Shares and options to purchase Special Shares</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136,011,413</w:t>
            </w:r>
          </w:p>
        </w:tc>
        <w:tc>
          <w:tcPr>
            <w:tcW w:w="326" w:type="dxa"/>
            <w:tcBorders/>
            <w:shd w:fill="CCEEFF" w:val="clear"/>
            <w:vAlign w:val="center"/>
          </w:tcPr>
          <w:p>
            <w:pPr>
              <w:pStyle w:val="TableContents"/>
              <w:bidi w:val="0"/>
              <w:spacing w:before="0" w:after="0"/>
              <w:ind w:left="0" w:right="0" w:hanging="0"/>
              <w:jc w:val="left"/>
              <w:rPr/>
            </w:pPr>
            <w:r>
              <w:rPr/>
              <w:t>​</w:t>
            </w:r>
          </w:p>
        </w:tc>
        <w:tc>
          <w:tcPr>
            <w:tcW w:w="1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136,239,964</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anti-dilutive common equivalent shares</w:t>
            </w:r>
          </w:p>
        </w:tc>
        <w:tc>
          <w:tcPr>
            <w:tcW w:w="32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243,753,543</w:t>
            </w:r>
          </w:p>
        </w:tc>
        <w:tc>
          <w:tcPr>
            <w:tcW w:w="326" w:type="dxa"/>
            <w:tcBorders/>
            <w:vAlign w:val="center"/>
          </w:tcPr>
          <w:p>
            <w:pPr>
              <w:pStyle w:val="TableContents"/>
              <w:bidi w:val="0"/>
              <w:spacing w:before="0" w:after="0"/>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207,706,821</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Related Party Transactions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March 22, 2024, the Company entered into an Unsecured Credit Facility (the “2024 Credit Facility”) with Gerard Barron, the Company’s Chief Executive Officer and Chairman, and ERAS Capital LLC, the family fund of one of the Company’s directors, (collectively, the “2024 Lenders”), pursuant to which, the Company may borrow from the 2024 Lenders up to $20 million in the aggregate ( $10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from time to time, subject to certain conditions. All amounts drawn under the 2024 Credit Facility will bear interest at the 6-month Secured Overnight Funding Rate (SOFR), 180-day average plus 4.0% per annum payable in cash semi - annually (or plus 5% if paid - in - kind at maturity, at our election) on the first business day of each of June and January. The Company will pay an underutilization fee equal to 4.0% per annum payable semi-annually for any amounts that remain undrawn under the 2024 Credit Facility. The 2024 Credit Facility also contains customary events of default. On August 13, 2024, the Company entered into the First Amendment to the 2024 Credit Facility with the 2024 Lenders, to increase the borrowing limit of the 2024 Credit Facility to $25 million in the aggregate ($12.5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On November 14, 2024, the Company entered into the Second Amendment to the 2024 Credit Facility with the 2024 Lenders, to increase the borrowing limit to $38 million in the aggregate ($19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and to extend the maturity of the 2024 Credit Facility to December 31, 2025. As per the Second Amendment, the rate of underutilization fee was retroactively increased from March 22, 2024, to 6.5% on any undrawn amounts under the 2024 Credit Facility. On March 26, 2025, the Company entered into the Third Amendment to the 2024 Credit Facility with the 2024 Lenders, to, among other things, increase the borrowing limit to $44 million in the aggregate ($22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and extend the maturity of the 2024 Credit Facility to June 30, 2026. As per the Third Amendment to the 2024 Credit Facility, the 2024 Lenders have an option to terminate the credit facility upon certain financing events.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During the three months ended March 31, 2025, the Company repaid $1.8 million of the drawn amount and did not draw from the 2024 Credit Facility any further (For three months ended March 31, 2024, the Company did not draw or repay any amounts from the 2024 Credit Facility). For the first quarter of 2025, the Company incurred $0.1 million as interest expense and $0.5 million as underutilization fees (For first quarter of 2024, the interest amounted to nil and underutilization fees amounted to $22 thousand). During the three months ended March 31, 2025, the Company repaid interest amounting to $0.1 million (For three months ended March 31, 2024: nil).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Apart from the above-mentioned transactions, the Company had transactions with Allseas which are detailed in Note 6.</w:t>
      </w:r>
    </w:p>
    <w:p>
      <w:pPr>
        <w:pStyle w:val="TextBody"/>
        <w:bidi w:val="0"/>
        <w:spacing w:before="0" w:after="24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Contingent Liabilities</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On October 28, 2021, a shareholder filed a putative class action against the Company, one of the Company’s executives and a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The Company denies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the Company or the other defendants will be successful in the Company’s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cannot be reliably estimated. A resolution of this lawsuit adverse to the Company or the other defendants, however, could have a material effect on the Company’s financial position and results of operations in the period in which the lawsuit is resolved. We understand that Mr. Leonard is now deceased. As of the date of this filing, plaintiffs have not filed a motion to substitute his estate, and it is unclear whether they intend to continue the claims against his estate.</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On January 23, 2023, investors in the 2021 private placement from the Business Combination filed a lawsuit against the Company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denies any allegations of wrongdoing and filed a motion to dismiss the amended complaint on July 28, 2023.  On December 7, 2023, the Court granted the Company’s motion to dismiss the claim for breach of the covenant of good faith and fair dealing and denied the Company’s motion to dismiss the breach of the Subscription Agreement claim. The Company filed a notice of appeal regarding the Court’s denial of our motion to dismiss the breach of the Subscription Agreement claim. The appeal was heard on November 8, 2024. The NY Appellate Division upheld the lower court’s ruling in December 2024, moving the case into the discovery phase. There is no assurance that the Company will be successful in our defense of this lawsuit or that insurance will be available or adequate to fund any settlement or judgment or the litigation costs of this action. Such losses or range of possible losses cannot be reliably estimated.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November 8, 2024, a shareholder filed a putative class action against the Company and certain of its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the Company’s initial classification of this non-financial asset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the Company’s securities between May 12, 2023, and March 25, 2024, and seeks to recover compensable damages caused by the alleged wrongdoings. On February 6, 2025, the Court appointed a lead plaintiff. An amended complaint was filed on March 6, 2025. Pursuant to court-approved scheduling, the Company filed a motion to dismiss on April 10, 2025. The lead plaintiff is expected to file an opposition by May 15, 2025, and the Company is expecting to reply by June 5, 2025. The Company intends to defend against the lawsuit. There can be no assurance, however, that the Company will be successful in its defense, or that insurance will be available or adequate to fund any settlement or judgment or the litigation costs of this action. Due to the early stage of this litigation, such losses or range of possible losses cannot be reliably estimated.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07" w:name="Tc_rI6s09KOLUOHEauRfX6MRw_19_11"/>
      <w:bookmarkStart w:id="808" w:name="Tc_8Th-N9LypUCaPE_SE0v57Q_19_8"/>
      <w:bookmarkStart w:id="809" w:name="Tc_ecP3dqpssE-eSxVc4-TpWw_19_6"/>
      <w:bookmarkStart w:id="810" w:name="Tc_yLW7B1TDz0a_LMpdLHCeZA_19_5"/>
      <w:bookmarkStart w:id="811" w:name="Tc_pzUPuC-oWkWYe1OjGE0MGQ_19_2"/>
      <w:bookmarkStart w:id="812" w:name="Tc_R0qFuev2TEaCvt27NFCdRw_18_9"/>
      <w:bookmarkStart w:id="813" w:name="Tc_IBNOUgqGFEy3RjSwWeQHsg_18_6"/>
      <w:bookmarkStart w:id="814" w:name="Tc_JXdQ8UAR0EusZZg1IO312Q_18_0"/>
      <w:bookmarkStart w:id="815" w:name="Tc_YVPX7dblM0y4EIyI4Y7qmg_17_9"/>
      <w:bookmarkStart w:id="816" w:name="Tc_dRV_Hv1720mU3I_YKhXGJw_17_6"/>
      <w:bookmarkStart w:id="817" w:name="Tc_VIrxMorYv0CjoX3UlnQVKQ_17_0"/>
      <w:bookmarkStart w:id="818" w:name="Tc_V1GWqLWk-06MwP23lYB9TQ_16_12"/>
      <w:bookmarkStart w:id="819" w:name="Tc_jIoO_pTGpUOV7puCltYMug_16_6"/>
      <w:bookmarkStart w:id="820" w:name="Tc_woeH04qomkOf2beuN7KP7w_16_0"/>
      <w:bookmarkStart w:id="821" w:name="Tc_FWAn6jO_H0SLL6N6Bo1DFw_15_12"/>
      <w:bookmarkStart w:id="822" w:name="Tc_rQQEzRprSkKjfzi1fBYthQ_15_6"/>
      <w:bookmarkStart w:id="823" w:name="Tc_4go85nE2Sk-c4ve04_Zx4g_15_0"/>
      <w:bookmarkStart w:id="824" w:name="Tc_-8ssASbPfkS81JBtoqUAcw_14_12"/>
      <w:bookmarkStart w:id="825" w:name="Tc_dOF-dZtJBUuarm2a_ZKicg_14_11"/>
      <w:bookmarkStart w:id="826" w:name="Tc_QWIfpFElKUWcNO2gBV7iAA_14_8"/>
      <w:bookmarkStart w:id="827" w:name="Tc_1m-gH9xGv0aZNAb48Hr-oQ_14_6"/>
      <w:bookmarkStart w:id="828" w:name="Tc_8gurEqU82U6vA91NLm7xsQ_14_5"/>
      <w:bookmarkStart w:id="829" w:name="Tc_sYC3FewMd0-YrQSBvHFMsQ_14_2"/>
      <w:bookmarkStart w:id="830" w:name="Tc_KI1vv0LugUu4Ilk09M6-8A_14_0"/>
      <w:bookmarkStart w:id="831" w:name="Tc_RQoLTsSdr0KGPsuRv2bGLg_13_0"/>
      <w:bookmarkStart w:id="832" w:name="Tc_jUhzax8bU0Wz0IJt9AbVtw_11_11"/>
      <w:bookmarkStart w:id="833" w:name="Tc_g0CyUla1c0ucMVyKy0cvRw_11_8"/>
      <w:bookmarkStart w:id="834" w:name="Tc_LKLa0e5tKUCu0qy_DsK-bw_11_5"/>
      <w:bookmarkStart w:id="835" w:name="Tc_PsuTLoPB_UuUojP-ZMCi0Q_11_2"/>
      <w:bookmarkStart w:id="836" w:name="Tc_KMVxhmY0aEq07So57IhRaw_10_9"/>
      <w:bookmarkStart w:id="837" w:name="Tc_ogtrNPJ2kE-tc6uU80GyYA_10_6"/>
      <w:bookmarkStart w:id="838" w:name="Tc_qmD9jMz4-UCHnC0VfPmzCg_10_0"/>
      <w:bookmarkStart w:id="839" w:name="Tc_4w62hGE350yWpZeaqGspJw_9_9"/>
      <w:bookmarkStart w:id="840" w:name="Tc_TyIUJOy0YUKY-HqmpaBM3w_9_6"/>
      <w:bookmarkStart w:id="841" w:name="Tc_FAS29brPrkSnQ7PO1WmByA_9_0"/>
      <w:bookmarkStart w:id="842" w:name="Tc_dqgM3tXAGE6upItGE4PQVQ_8_9"/>
      <w:bookmarkStart w:id="843" w:name="Tc_BX8XAzwdDUy5VPSRaQ381w_8_6"/>
      <w:bookmarkStart w:id="844" w:name="Tc_wA4rzvICZUuoLrxel-trsA_8_0"/>
      <w:bookmarkStart w:id="845" w:name="Tc_qIkYg3xXrUa0F6i0OvSFuw_7_9"/>
      <w:bookmarkStart w:id="846" w:name="Tc_P5OqRXDskkmjBeZ-_c3aSQ_7_6"/>
      <w:bookmarkStart w:id="847" w:name="Tc_JV9YH2R_tUquebwjRu4bSA_7_0"/>
      <w:bookmarkStart w:id="848" w:name="Tc_X3cVo60CAUCAUlKimCEhHA_6_9"/>
      <w:bookmarkStart w:id="849" w:name="Tc_WBbiQHtO1EaT0Ao3gY26zg_6_6"/>
      <w:bookmarkStart w:id="850" w:name="Tc_viGSTh6TGEmx_EHfvEWeQQ_6_0"/>
      <w:bookmarkStart w:id="851" w:name="Tc_AOPcIkFRc0WUWTnB6EF05A_5_12"/>
      <w:bookmarkStart w:id="852" w:name="Tc_MA2IEuoPR0CKVd0eEx3TBQ_5_6"/>
      <w:bookmarkStart w:id="853" w:name="Tc_iOn2MhahGkeieFzD7XMePw_5_0"/>
      <w:bookmarkStart w:id="854" w:name="Tc_QTj6O8bCu0yumhuwNSdCEQ_4_12"/>
      <w:bookmarkStart w:id="855" w:name="Tc_kzEnJOUeOUGI-TPyMntspA_4_11"/>
      <w:bookmarkStart w:id="856" w:name="Tc_0olrIQZy2Ue1_cgJ4bI3Jw_4_9"/>
      <w:bookmarkStart w:id="857" w:name="Tc_fODxizJGlUCK8kkrPBk_IA_4_8"/>
      <w:bookmarkStart w:id="858" w:name="Tc_ir6YFwsRw0C-rGcGfWcxjw_4_5"/>
      <w:bookmarkStart w:id="859" w:name="Tc_9YdAELGOwEC7fUFjZYf5_A_4_2"/>
      <w:bookmarkStart w:id="860" w:name="Tc_IUNZc7SVXk6vo09ttwWY4Q_4_0"/>
      <w:bookmarkStart w:id="861" w:name="Tc__7F-_YHNWkuoVqKw7CtsCg_3_0"/>
      <w:bookmarkStart w:id="862" w:name="Tc_kl_yDPHqs0qQfI6l0wxrmQ_2_11"/>
      <w:bookmarkStart w:id="863" w:name="Tc_3ut_Ar0RCUKUh8lJN0blcQ_2_8"/>
      <w:bookmarkStart w:id="864" w:name="Tc_DQqZhIMJ3Uy3jC_cJsterg_2_5"/>
      <w:bookmarkStart w:id="865" w:name="Tc_2jyqkO2W10m9TMSiFlvnQw_2_2"/>
      <w:bookmarkStart w:id="866" w:name="Tc_UpixZxNLXkGNPZ8_okVVIw_1_2"/>
      <w:bookmarkStart w:id="867" w:name="_c93767d3_54d5_4de1_b2ef_5bcaf13f6d5f"/>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Fonts w:ascii="Times New Roman;Times;serif" w:hAnsi="Times New Roman;Times;serif"/>
          <w:b/>
          <w:i w:val="false"/>
          <w:caps w:val="false"/>
          <w:smallCaps w:val="false"/>
          <w:sz w:val="20"/>
        </w:rPr>
        <w:t>17.</w:t>
      </w:r>
      <w:r>
        <w:rPr>
          <w:rFonts w:ascii="Times New Roman;Times;serif" w:hAnsi="Times New Roman;Times;serif"/>
          <w:b/>
          <w:sz w:val="20"/>
        </w:rPr>
        <w:t>Fair Value Accounting</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The following tables set forth the Company’s assets and liabilities measured at fair value (Note 4):</w:t>
      </w:r>
    </w:p>
    <w:p>
      <w:pPr>
        <w:pStyle w:val="TextBody"/>
        <w:bidi w:val="0"/>
        <w:spacing w:before="0" w:after="240"/>
        <w:ind w:left="0" w:right="0" w:hanging="0"/>
        <w:jc w:val="both"/>
        <w:rPr/>
      </w:pPr>
      <w:r>
        <w:rPr/>
        <w:t>​</w:t>
      </w:r>
    </w:p>
    <w:tbl>
      <w:tblPr>
        <w:tblW w:w="8273" w:type="dxa"/>
        <w:jc w:val="left"/>
        <w:tblInd w:w="0" w:type="dxa"/>
        <w:tblLayout w:type="fixed"/>
        <w:tblCellMar>
          <w:top w:w="0" w:type="dxa"/>
          <w:left w:w="0" w:type="dxa"/>
          <w:bottom w:w="0" w:type="dxa"/>
          <w:right w:w="0" w:type="dxa"/>
        </w:tblCellMar>
      </w:tblPr>
      <w:tblGrid>
        <w:gridCol w:w="3421"/>
        <w:gridCol w:w="326"/>
        <w:gridCol w:w="211"/>
        <w:gridCol w:w="676"/>
        <w:gridCol w:w="326"/>
        <w:gridCol w:w="211"/>
        <w:gridCol w:w="571"/>
        <w:gridCol w:w="326"/>
        <w:gridCol w:w="211"/>
        <w:gridCol w:w="676"/>
        <w:gridCol w:w="326"/>
        <w:gridCol w:w="211"/>
        <w:gridCol w:w="78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72335" cy="175260"/>
                      <wp:effectExtent l="0" t="0" r="0" b="0"/>
                      <wp:wrapNone/>
                      <wp:docPr id="169" name="Frame169"/>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2" name="Frame1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62585" cy="175260"/>
                      <wp:effectExtent l="0" t="0" r="0" b="0"/>
                      <wp:wrapNone/>
                      <wp:docPr id="175" name="Frame1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29260" cy="175260"/>
                      <wp:effectExtent l="0" t="0" r="0" b="0"/>
                      <wp:wrapNone/>
                      <wp:docPr id="178" name="Frame1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95935" cy="175260"/>
                      <wp:effectExtent l="0" t="0" r="0" b="0"/>
                      <wp:wrapNone/>
                      <wp:docPr id="181" name="Frame1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2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 March 31, 2025</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contracts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42,951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42,951</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asset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3,337</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713</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1,958</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8,168</w:t>
            </w:r>
          </w:p>
        </w:tc>
      </w:tr>
      <w:tr>
        <w:trPr/>
        <w:tc>
          <w:tcPr>
            <w:tcW w:w="34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64,485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57,127</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45,245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45,245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Royalty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14,000</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1,353</w:t>
            </w:r>
          </w:p>
        </w:tc>
      </w:tr>
      <w:tr>
        <w:trPr/>
        <w:tc>
          <w:tcPr>
            <w:tcW w:w="34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81,251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65,898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15,353</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bookmarkStart w:id="868" w:name="Tc_jdYTjyVAh0myQZ6a65HBnw_19_11"/>
      <w:bookmarkStart w:id="869" w:name="Tc_P9bXWQ4upk6YbyKrz77U-w_19_8"/>
      <w:bookmarkStart w:id="870" w:name="Tc_rvixUGu29Eme8MRBwuiN2g_19_6"/>
      <w:bookmarkStart w:id="871" w:name="Tc_tb7NP7oxtkeKRFe6ffraEg_19_5"/>
      <w:bookmarkStart w:id="872" w:name="Tc_0oBD1UuQnUuJlIIBI7_e0Q_19_2"/>
      <w:bookmarkStart w:id="873" w:name="Tc_MIurVlG1uUyjulevsIruTw_18_9"/>
      <w:bookmarkStart w:id="874" w:name="Tc_mVgAKgvW5kGEWIyTE7vgRQ_18_6"/>
      <w:bookmarkStart w:id="875" w:name="Tc_TyKSyZ2bjky66TIDHxAfTQ_18_0"/>
      <w:bookmarkStart w:id="876" w:name="Tc_BSmuOIEUH0erXrErNqtSsA_17_9"/>
      <w:bookmarkStart w:id="877" w:name="Tc_MV-EyK1jy0qWjWbRdf8L6w_17_6"/>
      <w:bookmarkStart w:id="878" w:name="Tc_9g3KP10Ot0KqHZwmnxc7bg_17_0"/>
      <w:bookmarkStart w:id="879" w:name="Tc_Rnm2aAtc70mC1f3PSk0BWw_16_12"/>
      <w:bookmarkStart w:id="880" w:name="Tc_ZXQTVUZZG0SEGbe25LwhHw_16_6"/>
      <w:bookmarkStart w:id="881" w:name="Tc_Sj4vnetRskmogJPLXug1iQ_16_0"/>
      <w:bookmarkStart w:id="882" w:name="Tc_Twt2_2pJ80erCHRA6b4jZw_15_12"/>
      <w:bookmarkStart w:id="883" w:name="Tc_BjPEUQ5MIkOrqE4wqc36Dg_15_6"/>
      <w:bookmarkStart w:id="884" w:name="Tc_r_eGHsuVUUGbSGrCxaWoZw_15_0"/>
      <w:bookmarkStart w:id="885" w:name="Tc_xbnOtv_w9ESD86Oev2bSew_14_12"/>
      <w:bookmarkStart w:id="886" w:name="Tc_PrLT5EV4JkeHGuWKPi-Rrw_14_11"/>
      <w:bookmarkStart w:id="887" w:name="Tc_XRmz1cay_EWkL7_dCN9f_w_14_8"/>
      <w:bookmarkStart w:id="888" w:name="Tc_KbaRIUghqkibizYrPlqN9w_14_6"/>
      <w:bookmarkStart w:id="889" w:name="Tc_xPjD3eFl302h_pGGGt34jg_14_5"/>
      <w:bookmarkStart w:id="890" w:name="Tc_-5Y0GNByAUunevIJdkvmTQ_14_2"/>
      <w:bookmarkStart w:id="891" w:name="Tc_4fo61hv3wEmAm3zRoEbiBg_14_0"/>
      <w:bookmarkStart w:id="892" w:name="Tc_v8aSk2HErUCRNwkduj3FEQ_13_0"/>
      <w:bookmarkStart w:id="893" w:name="Tc_32DAe0JUYUKZbe_Y3TzSJg_11_11"/>
      <w:bookmarkStart w:id="894" w:name="Tc_tafb0n1J8E6dcsVsG_dcfQ_11_8"/>
      <w:bookmarkStart w:id="895" w:name="Tc_5VSZR10MKkGfbMhXM9i-Kw_11_5"/>
      <w:bookmarkStart w:id="896" w:name="Tc_jtZKhOCbqkGOnXL2OMkr0A_11_2"/>
      <w:bookmarkStart w:id="897" w:name="Tc_6uY3-Mp7IUq8KFxnVN7uqg_10_9"/>
      <w:bookmarkStart w:id="898" w:name="Tc_zAmnpRsPZkCY4zp51_UpRA_10_6"/>
      <w:bookmarkStart w:id="899" w:name="Tc_g-PV7x684E6ECB8oJ5fLPg_10_0"/>
      <w:bookmarkStart w:id="900" w:name="Tc_ys9EDZOXRkK64WW9w_x5LA_9_9"/>
      <w:bookmarkStart w:id="901" w:name="Tc_xakh-lDV30OhDKXh5wI-mg_9_6"/>
      <w:bookmarkStart w:id="902" w:name="Tc_3pwtELgtv0KYxOlHjntyOg_9_0"/>
      <w:bookmarkStart w:id="903" w:name="Tc_Ba3i4SLlQEiPQKuoEkahhg_8_9"/>
      <w:bookmarkStart w:id="904" w:name="Tc_PFxTYhmO1E6kSrrUWtSFJg_8_6"/>
      <w:bookmarkStart w:id="905" w:name="Tc_PbXF3Mv5lUmS0oKh1louEA_8_0"/>
      <w:bookmarkStart w:id="906" w:name="Tc_9fa4v1_FMkmx7_z9Dugv-Q_7_9"/>
      <w:bookmarkStart w:id="907" w:name="Tc_5WkWK1rkLECMLzH16dyYcw_7_6"/>
      <w:bookmarkStart w:id="908" w:name="Tc_FX7cHHC8FUetA8Ly6iA_6w_7_0"/>
      <w:bookmarkStart w:id="909" w:name="Tc_m0q7sKgrz02bhNv6ato9DA_6_9"/>
      <w:bookmarkStart w:id="910" w:name="Tc_iqNX36zC8EiPL_JJ_F2nHg_6_6"/>
      <w:bookmarkStart w:id="911" w:name="Tc_RKEm2dk8KEmEtiJedREVbA_6_0"/>
      <w:bookmarkStart w:id="912" w:name="Tc_T5AhAwWLO0G_Le6cXbPfhA_5_12"/>
      <w:bookmarkStart w:id="913" w:name="Tc_zeUvFw0kF0ieAul_NwvxbQ_5_6"/>
      <w:bookmarkStart w:id="914" w:name="Tc_Rkd8AZZf_EOmAYCu5LuJ0A_5_0"/>
      <w:bookmarkStart w:id="915" w:name="Tc_n1zcdz4quU2W6EqJFaIHEQ_4_12"/>
      <w:bookmarkStart w:id="916" w:name="Tc_Ncb5Vnh3skeAZZ05gKsECA_4_11"/>
      <w:bookmarkStart w:id="917" w:name="Tc__A8JuivY7UK3SBSusPIG7g_4_9"/>
      <w:bookmarkStart w:id="918" w:name="Tc_Gny3dJgggk6xYY6fy1BexA_4_8"/>
      <w:bookmarkStart w:id="919" w:name="Tc_VHgWdK67NU6h_hsPQ8Ny0A_4_5"/>
      <w:bookmarkStart w:id="920" w:name="Tc_26p7K0_i3kG2sD3iYl1zMw_4_2"/>
      <w:bookmarkStart w:id="921" w:name="Tc_k8RlEILDUEu0TjjZFlEjsg_4_0"/>
      <w:bookmarkStart w:id="922" w:name="Tc_Kb-N2cEZo0iB5o8zqRnwqQ_3_0"/>
      <w:bookmarkStart w:id="923" w:name="Tc_cdZVW7BQdUKd9Mdbzh11AA_2_11"/>
      <w:bookmarkStart w:id="924" w:name="Tc_Hj65IZXrGkWP84U78hWSxQ_2_8"/>
      <w:bookmarkStart w:id="925" w:name="Tc_ejSf2DAS-ESpZG2leW0rEg_2_5"/>
      <w:bookmarkStart w:id="926" w:name="Tc_zoZwEDwNjEGYP_r1ZbgAiw_2_2"/>
      <w:bookmarkStart w:id="927" w:name="Tc_FjItCbY550mURqvk7bKtOg_1_2"/>
      <w:bookmarkStart w:id="928" w:name="_3b3a4667_9660_43a4_a29b_b07cc2a0378d"/>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r>
        <w:rPr/>
        <w:t>​</w:t>
      </w:r>
    </w:p>
    <w:tbl>
      <w:tblPr>
        <w:tblW w:w="8273" w:type="dxa"/>
        <w:jc w:val="left"/>
        <w:tblInd w:w="0" w:type="dxa"/>
        <w:tblLayout w:type="fixed"/>
        <w:tblCellMar>
          <w:top w:w="0" w:type="dxa"/>
          <w:left w:w="0" w:type="dxa"/>
          <w:bottom w:w="0" w:type="dxa"/>
          <w:right w:w="0" w:type="dxa"/>
        </w:tblCellMar>
      </w:tblPr>
      <w:tblGrid>
        <w:gridCol w:w="3421"/>
        <w:gridCol w:w="326"/>
        <w:gridCol w:w="211"/>
        <w:gridCol w:w="676"/>
        <w:gridCol w:w="326"/>
        <w:gridCol w:w="211"/>
        <w:gridCol w:w="571"/>
        <w:gridCol w:w="326"/>
        <w:gridCol w:w="211"/>
        <w:gridCol w:w="676"/>
        <w:gridCol w:w="326"/>
        <w:gridCol w:w="211"/>
        <w:gridCol w:w="78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72335" cy="175260"/>
                      <wp:effectExtent l="0" t="0" r="0" b="0"/>
                      <wp:wrapNone/>
                      <wp:docPr id="182" name="Frame182"/>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29260" cy="175260"/>
                      <wp:effectExtent l="0" t="0" r="0" b="0"/>
                      <wp:wrapNone/>
                      <wp:docPr id="185" name="Frame1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62585" cy="175260"/>
                      <wp:effectExtent l="0" t="0" r="0" b="0"/>
                      <wp:wrapNone/>
                      <wp:docPr id="188" name="Frame1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29260" cy="175260"/>
                      <wp:effectExtent l="0" t="0" r="0" b="0"/>
                      <wp:wrapNone/>
                      <wp:docPr id="191" name="Frame1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95935" cy="175260"/>
                      <wp:effectExtent l="0" t="0" r="0" b="0"/>
                      <wp:wrapNone/>
                      <wp:docPr id="194" name="Frame1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2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 December 31, 2024</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contracts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42,951</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asset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3,814</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8,203</w:t>
            </w:r>
          </w:p>
        </w:tc>
      </w:tr>
      <w:tr>
        <w:trPr/>
        <w:tc>
          <w:tcPr>
            <w:tcW w:w="34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57,667</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Royalty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34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14,912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29" w:name="Tc_GQiQCAhRv023pPaEO7FCVQ_4_5"/>
      <w:bookmarkStart w:id="930" w:name="Tc_ryNStUl5z0aBMYOBY8xGhA_4_2"/>
      <w:bookmarkStart w:id="931" w:name="Tc_yPhw1wjgX0e4zXo4zEsRWw_4_0"/>
      <w:bookmarkStart w:id="932" w:name="Tc_SJ9vlKkhj0OX6tHhrKrS0Q_3_0"/>
      <w:bookmarkStart w:id="933" w:name="Tc_CkGyXM8kZkKhqYZMkCvkwg_2_5"/>
      <w:bookmarkStart w:id="934" w:name="Tc_Z8crv95uw0G5rDEt9s5Hig_2_2"/>
      <w:bookmarkStart w:id="935" w:name="Tc_QuGniEkqm06Vbmypp9fMPQ_2_0"/>
      <w:bookmarkStart w:id="936" w:name="Tc_he_3c10ZeEWJMClff3yKoA_1_5"/>
      <w:bookmarkStart w:id="937" w:name="Tc_b2UM-glxvkSYIYTHd4i10A_1_2"/>
      <w:bookmarkStart w:id="938" w:name="_50f9859f_b6fd_47ae_9ede_ec1bd2f8b0fa"/>
      <w:bookmarkStart w:id="939" w:name="Tc_l_AMRiU0s0-oFTZgxbbgow_5_5"/>
      <w:bookmarkStart w:id="940" w:name="Tc_CrtYjoY2WkGrwhx5smSyIw_5_2"/>
      <w:bookmarkStart w:id="941" w:name="Tc_DdmpTbRYU0SJ-wnhTp6Drg_5_0"/>
      <w:bookmarkStart w:id="942" w:name="Tc_Xq99NAbnYEKcjBH29gJ9ZA_4_6"/>
      <w:bookmarkStart w:id="943" w:name="Tc_0DMFcy49L0udJJa3k3lhOQ_4_3"/>
      <w:bookmarkStart w:id="944" w:name="Tc_VuzN5hd_5E6VuMxRquYk2A_4_0"/>
      <w:bookmarkStart w:id="945" w:name="Tc_Z8H1z9IrtUmCzrFmfeG0kQ_3_5"/>
      <w:bookmarkStart w:id="946" w:name="Tc_HVp5_wWxmECqK0dUaL9Y-g_3_2"/>
      <w:bookmarkStart w:id="947" w:name="Tc_IhaWgL7y2Eig8JFHF7Ya6A_3_0"/>
      <w:bookmarkStart w:id="948" w:name="Tc_FeAHpWmZN0yNgmCukTMTJA_2_5"/>
      <w:bookmarkStart w:id="949" w:name="Tc_UZrVDpGNAUCqUGPMZS5w3Q_2_2"/>
      <w:bookmarkStart w:id="950" w:name="Tc_uWOVFGF95Uiz1MYR-gl87g_2_0"/>
      <w:bookmarkStart w:id="951" w:name="Tc_Lr17nMt5iUqFhlZdFztwZA_1_5"/>
      <w:bookmarkStart w:id="952" w:name="Tc_9OMaylNW-kej61AT4mgRkg_1_2"/>
      <w:bookmarkStart w:id="953" w:name="_cbc1b7c6_debe_4323_beb6_3a26fa2d127b"/>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Pr>
          <w:rFonts w:ascii="Times New Roman;Times;serif" w:hAnsi="Times New Roman;Times;serif"/>
          <w:b/>
          <w:i w:val="false"/>
          <w:caps w:val="false"/>
          <w:smallCaps w:val="false"/>
          <w:sz w:val="20"/>
        </w:rPr>
        <w:t>18.</w:t>
      </w:r>
      <w:r>
        <w:rPr>
          <w:rFonts w:ascii="Times New Roman;Times;serif" w:hAnsi="Times New Roman;Times;serif"/>
          <w:b/>
          <w:sz w:val="20"/>
        </w:rPr>
        <w:t>Segmented Information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Company’s business consists of only one operating segment, namely exploration of seafloor polymetallic nodules, which includes the development of a metallurgical process to treat such seafloor polymetallic nodules. Details on the geographical segmentation of the Company’s long-lived assets based on where each legal entity is domiciled are as follows:</w:t>
      </w:r>
    </w:p>
    <w:p>
      <w:pPr>
        <w:pStyle w:val="TextBody"/>
        <w:bidi w:val="0"/>
        <w:spacing w:before="0" w:after="240"/>
        <w:ind w:left="0" w:right="0" w:hanging="0"/>
        <w:jc w:val="both"/>
        <w:rPr/>
      </w:pPr>
      <w:r>
        <w:rPr/>
        <w:t>​</w:t>
      </w:r>
    </w:p>
    <w:tbl>
      <w:tblPr>
        <w:tblW w:w="3593" w:type="dxa"/>
        <w:jc w:val="left"/>
        <w:tblInd w:w="0" w:type="dxa"/>
        <w:tblLayout w:type="fixed"/>
        <w:tblCellMar>
          <w:top w:w="0" w:type="dxa"/>
          <w:left w:w="0" w:type="dxa"/>
          <w:bottom w:w="0" w:type="dxa"/>
          <w:right w:w="0" w:type="dxa"/>
        </w:tblCellMar>
      </w:tblPr>
      <w:tblGrid>
        <w:gridCol w:w="901"/>
        <w:gridCol w:w="326"/>
        <w:gridCol w:w="285"/>
        <w:gridCol w:w="570"/>
        <w:gridCol w:w="326"/>
        <w:gridCol w:w="339"/>
        <w:gridCol w:w="846"/>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72135" cy="175260"/>
                      <wp:effectExtent l="0" t="0" r="0" b="0"/>
                      <wp:wrapNone/>
                      <wp:docPr id="195" name="Frame19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80975" cy="175260"/>
                      <wp:effectExtent l="0" t="0" r="0" b="0"/>
                      <wp:wrapNone/>
                      <wp:docPr id="197" name="Frame197"/>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61950" cy="175260"/>
                      <wp:effectExtent l="0" t="0" r="0" b="0"/>
                      <wp:wrapNone/>
                      <wp:docPr id="198" name="Frame198"/>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5265" cy="175260"/>
                      <wp:effectExtent l="0" t="0" r="0" b="0"/>
                      <wp:wrapNone/>
                      <wp:docPr id="200" name="Frame200"/>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37210" cy="175260"/>
                      <wp:effectExtent l="0" t="0" r="0" b="0"/>
                      <wp:wrapNone/>
                      <wp:docPr id="201" name="Frame201"/>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December 31, </w:t>
            </w:r>
          </w:p>
        </w:tc>
      </w:tr>
      <w:tr>
        <w:trPr/>
        <w:tc>
          <w:tcPr>
            <w:tcW w:w="9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1"/>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Nauru</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713</w:t>
            </w:r>
          </w:p>
        </w:tc>
        <w:tc>
          <w:tcPr>
            <w:tcW w:w="32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Tonga</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9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713</w:t>
            </w:r>
          </w:p>
        </w:tc>
        <w:tc>
          <w:tcPr>
            <w:tcW w:w="326" w:type="dxa"/>
            <w:tcBorders/>
            <w:shd w:fill="CCEEFF" w:val="clear"/>
            <w:vAlign w:val="center"/>
          </w:tcPr>
          <w:p>
            <w:pPr>
              <w:pStyle w:val="TableContents"/>
              <w:bidi w:val="0"/>
              <w:spacing w:before="0" w:after="1"/>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771</w:t>
            </w:r>
          </w:p>
        </w:tc>
      </w:tr>
    </w:tbl>
    <w:p>
      <w:pPr>
        <w:pStyle w:val="TextBody"/>
        <w:bidi w:val="0"/>
        <w:spacing w:before="0" w:after="240"/>
        <w:ind w:left="0" w:right="0" w:hanging="0"/>
        <w:jc w:val="both"/>
        <w:rPr/>
      </w:pPr>
      <w:r>
        <w:rPr/>
        <w:t>​</w:t>
      </w:r>
    </w:p>
    <w:tbl>
      <w:tblPr>
        <w:tblW w:w="3593" w:type="dxa"/>
        <w:jc w:val="left"/>
        <w:tblInd w:w="0" w:type="dxa"/>
        <w:tblLayout w:type="fixed"/>
        <w:tblCellMar>
          <w:top w:w="0" w:type="dxa"/>
          <w:left w:w="0" w:type="dxa"/>
          <w:bottom w:w="0" w:type="dxa"/>
          <w:right w:w="0" w:type="dxa"/>
        </w:tblCellMar>
      </w:tblPr>
      <w:tblGrid>
        <w:gridCol w:w="946"/>
        <w:gridCol w:w="326"/>
        <w:gridCol w:w="230"/>
        <w:gridCol w:w="625"/>
        <w:gridCol w:w="326"/>
        <w:gridCol w:w="271"/>
        <w:gridCol w:w="869"/>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00710" cy="175260"/>
                      <wp:effectExtent l="0" t="0" r="0" b="0"/>
                      <wp:wrapNone/>
                      <wp:docPr id="202" name="Frame20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46050" cy="175260"/>
                      <wp:effectExtent l="0" t="0" r="0" b="0"/>
                      <wp:wrapNone/>
                      <wp:docPr id="204" name="Frame20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96875" cy="175260"/>
                      <wp:effectExtent l="0" t="0" r="0" b="0"/>
                      <wp:wrapNone/>
                      <wp:docPr id="205" name="Frame205"/>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72085" cy="175260"/>
                      <wp:effectExtent l="0" t="0" r="0" b="0"/>
                      <wp:wrapNone/>
                      <wp:docPr id="207" name="Frame20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51815" cy="175260"/>
                      <wp:effectExtent l="0" t="0" r="0" b="0"/>
                      <wp:wrapNone/>
                      <wp:docPr id="208" name="Frame208"/>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w:t>
            </w:r>
          </w:p>
        </w:tc>
      </w:tr>
      <w:tr>
        <w:trPr/>
        <w:tc>
          <w:tcPr>
            <w:tcW w:w="9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Software</w:t>
            </w:r>
          </w:p>
        </w:tc>
        <w:tc>
          <w:tcPr>
            <w:tcW w:w="326" w:type="dxa"/>
            <w:tcBorders/>
            <w:vAlign w:val="center"/>
          </w:tcPr>
          <w:p>
            <w:pPr>
              <w:pStyle w:val="TableContents"/>
              <w:bidi w:val="0"/>
              <w:spacing w:before="0" w:after="1"/>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Singapore</w:t>
            </w:r>
          </w:p>
        </w:tc>
        <w:tc>
          <w:tcPr>
            <w:tcW w:w="326" w:type="dxa"/>
            <w:tcBorders/>
            <w:shd w:fill="CCEEFF" w:val="clear"/>
            <w:vAlign w:val="center"/>
          </w:tcPr>
          <w:p>
            <w:pPr>
              <w:pStyle w:val="TableContents"/>
              <w:bidi w:val="0"/>
              <w:spacing w:before="0" w:after="1"/>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1,958</w:t>
            </w:r>
          </w:p>
        </w:tc>
        <w:tc>
          <w:tcPr>
            <w:tcW w:w="326" w:type="dxa"/>
            <w:tcBorders/>
            <w:shd w:fill="CCEEFF" w:val="clear"/>
            <w:vAlign w:val="center"/>
          </w:tcPr>
          <w:p>
            <w:pPr>
              <w:pStyle w:val="TableContents"/>
              <w:bidi w:val="0"/>
              <w:spacing w:before="0" w:after="1"/>
              <w:ind w:left="0" w:right="0" w:hanging="0"/>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1,958</w:t>
            </w:r>
          </w:p>
        </w:tc>
        <w:tc>
          <w:tcPr>
            <w:tcW w:w="326"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1,928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Subsequent Events</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On May 12, 2025, the Company entered into a securities purchase agreement with certain new and existing investors, including an existing strategic investor, for the sale of an aggregate of 12,333,333 common shares (the "Shares") and accompanying Class C warrants (the "Class C Warrants"), in a registered direct offering. The offering price was $3.00 per Share (gross proceeds of $37.0 million), with each Share including an accompanying Class C Warrant to purchase one common share. The Class C Warrants are exercisable immediately upon issuance at a price of $4.50 per share and expire three years from issuance.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00"/>
        <w:ind w:left="0" w:right="0" w:hanging="720"/>
        <w:jc w:val="left"/>
        <w:rPr>
          <w:rFonts w:ascii="Times New Roman;Times;serif" w:hAnsi="Times New Roman;Times;serif"/>
          <w:b/>
          <w:sz w:val="20"/>
        </w:rPr>
      </w:pPr>
      <w:bookmarkStart w:id="954" w:name="Item2ManagementsDiscussionandAnalysisofF"/>
      <w:bookmarkStart w:id="955" w:name="_821e9527_3b03_42b3_845b_e447a72f3af1"/>
      <w:bookmarkEnd w:id="954"/>
      <w:bookmarkEnd w:id="955"/>
      <w:r>
        <w:rPr>
          <w:rFonts w:ascii="Times New Roman;Times;serif" w:hAnsi="Times New Roman;Times;serif"/>
          <w:b/>
          <w:sz w:val="20"/>
        </w:rPr>
        <w:t>Item 2.    Management’s Discussion and Analysis of Financial Condition and Results of Operations</w:t>
      </w:r>
    </w:p>
    <w:p>
      <w:pPr>
        <w:pStyle w:val="TextBody"/>
        <w:bidi w:val="0"/>
        <w:spacing w:before="0" w:after="200"/>
        <w:ind w:left="0" w:right="0" w:firstLine="360"/>
        <w:jc w:val="both"/>
        <w:rPr>
          <w:rFonts w:ascii="Times New Roman;Times;serif" w:hAnsi="Times New Roman;Times;serif"/>
          <w:i/>
          <w:sz w:val="20"/>
        </w:rPr>
      </w:pPr>
      <w:r>
        <w:rPr>
          <w:rFonts w:ascii="Times New Roman;Times;serif" w:hAnsi="Times New Roman;Times;serif"/>
          <w:i/>
          <w:sz w:val="20"/>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interim consolidated financial statements and notes thereto contained in this Quarterly Report on Form 10-Q and the consolidated financial statements and notes thereto for the year ended December 31, 2024 contained in our 2024 Annual Report on Form 10-K. This discussion contains forward looking statements and involves numerous risks and uncertainties, including, but not limited to, those described in “Risk Factors” in Item 1A of Part I of the 2024 Annual Report on Form 10-K, as updated and/or supplemented in subsequent filings with the SEC.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months ended March 31, 2025 and 2024, respectively, present the financial position and results of operations of TMC the metals company Inc. and its consolidated subsidiaries.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are a deep-sea minerals exploration company focused on the collection, processing and refining of polymetallic nodules found on the seafloor in international waters of the Clarion Clipperton Zone (“CCZ”), with NORI Area D located approximately1,500 miles south-west of San Diego, California.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in a single rock.</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These four metals contained in the polymetallic nodules are critical for energy, defense, manufacturing and infrastructure. Our resource definition work to date shows that nodules in our contract areas represent the world’s largest estimated undeveloped source of the four critical metals contained in nodules. If we are able to collect polymetallic nodules from the seafloor on a commercial scale, we plan to use such nodules to produce three types of metal products: (i) feedstock for battery cathode precursors (nickel, cobalt and manganese sulfates, or intermediate nickel-copper-cobalt matte or nickel-copper-cobalt alloy) for nickel-rich lithium-ion batteries, (ii) copper cathode for electric wiring, energy transmission and other applications and (iii) manganese silicate for manganese alloy production required for steel manufacturing.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are still in the exploration phase and have not yet obtained an exploitation contract or a commercial recovery permit from any regulators. Additionally, we do not yet hold the environmental or other permits required to construct and operate commercial-scale polymetallic nodule processing and refining facilities on land.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The International Seabed Authority (“ISA”), comprised of 169 countries and the European Union, established regulations over deep-sea mining activities of their nationals, pursuant to UNCLOS. The ISA has adopted exploration regulations and issued 19 polymetallic nodule exploration contracts but has been unable to adopt the final exploitation regulations, standards and guidelines despite initiating work in 2014. Almost 30 countries, including the United States, have not ratified UNCLOS and are not member states of the ISA. To regulate deep-sea mining activities of its citizens in the high seas, the United States adopted the Deep Seabed Hard Mineral Resources Act of 1980, a U.S. domestic statute administered by the U.S. Department of Commerce through the National Oceanic and Atmospheric Administration, or NOAA. NOAA implemented regulations for exploration licenses in 1981 and for commercial recovery permits in 1989.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increasingly focused on advancing our commercial production strategy under the U.S.-based DSHMRA regime. In April 2025, our wholly owned subsidiary, The Metals Company USA, LLC, or TMC USA, submitted two exploration license applications (covering 199,895 square kilometers in the CCZ referred to as TMC USA-A and TMC USA-B) and one commercial recovery permit application (covering 25,160 square kilometers in the CCZ referred to as TMC USA-A_2) to NOAA. These applications are estimated to hold approximately 1.635 billion wet tonnes of measured, indicated and inferred mineral resources. Together, the resources are estimated to contain approximately 15.5 million tonnes of nickel, 12.8 million tonnes of copper, 2.0 million tonnes of cobalt, and 345 million tonnes of manganese.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These applications reflect our belief that DSHMRA provides a viable and robust regulatory path to commercial production, distinct from the ISA regime under UNCLOS, which has repeatedly delayed the adoption of the Mining Code. We welcomed the recent Executive Order signed by President Trump on April 24, 2025, titled “Unleashing America’s Offshore Critical Minerals and Resources”, which directs the Commerce Secretary to implement an expedited permitting process under DSHMRA. In addition to directing the International Development Finance Corporation, Export-Import Bank and Trade and Development Agency to identify tools to support this new industry, the Executive Order instructs the Departments of Defense and Energy to assess the use of the National Defense Stockpile for nodule-derived minerals and of entering into offtake agreements for the procurement of these minerals. In addition, these departments are also directed to review and revise domestic processing capabilities for seabed mineral resources.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At the same time as we pursue the U.S. pathway, we continue to preserve our rights under the ISA system. While the ISA does not have jurisdiction over activities conducted under the regulatory authority of the United States, we maintain two ISA exploration contracts in the CCZ, one held by our subsidiary Nauru Ocean Resources Inc., or NORI, sponsored by the Republic of Nauru, and one held by Tonga Offshore Mining Limited, or TOML, sponsored by the Kingdom of Tonga. The ISA has issued a total of 19 exploration contracts covering approximately 1.28 million square kilometers, 17 of which are located in the CCZ. Currently, we are increasingly focused on pursuing commercial production through the U.S. regulatory pathway under DSHMRA, following the April 2025 submission of TMC USA’s exploration license and commercial recovery permit applications to NOAA. We do not believe pursuing licenses and permits with NOAA under DSHMRA affects our ISA exploration contracts.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key strategic partnerships with (i) Allseas, a leading global offshore contractor, which developed and tested a pilot collection system, and is now working to modify it into the first commercial production system, (ii) PAMCO, an experienced Japanese ferronickel producer, which is responsible for pre-feasibility and feasibility studies on nodule processing, and (iii) Glencore which holds offtake rights to 50% of the NORI nickel and copper production if produced from a DGE-owned or controlled facility. In addition, we have worked with engineering firm Hatch Ltd. (Hatch) and consultants Kingston Process Metallurgy Inc. (KPM) to develop a near-zero solid waste flowsheet. The primary processing stages of the flowsheet from nodule to NiCuCo matte intermediate were demonstrated as part of our pilot plant program at FLSmidth and XPS’(Glencore subsidiary) facilities. The matte refining stages have been tested at SGS Lakefield with positive results. The near-zero solid waste flowsheet provides a design that is expected to serve as the basis for our onshore processing facilities. We expect this partnership to progress to a definitive tolling agreement in 2025, subject to successful evaluation study outcomes and agreement to mutually acceptable commercial terms.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reach our objective and initiate commercial production, we are working to: (i) define our resource and project economics, (ii) develop a commercial offshore nodule collection system, (iii) assess the environmental and social impacts of offshore nodule collection, and (iv) develop onshore technology to process collected polymetallic nodules into a manganese silicate product, and an intermediate nickel-copper-cobalt alloy or matte product and/or end-products like nickel and cobalt sulfates, and copper cathode. We are also working towards a pre-feasibility study, which we are now updating to reflect the U.S. regulatory pathway and a new set of requirements under DSHMRA.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Developments in the First Quarter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Below are some of the major developments that occurred in the first quarter of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TMC and PAMCO Achieve Nodule Processing Milestone, Unlocking Critical Battery &amp; Steelmaking Materials at Existing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18, 2025, we announced that PAMCO had successfully smelted 450 tonnes of calcine into 35 tonnes of NiCuCo alloy and 320 tonnes of Mn silicate products, during a campaign to process a 2,000-tonne sample of deep-seafloor polymetallic nodules at our partner PAMCO’s Hachinohe Rotary Kiln Electric-Arc Furnace facility in Hachinohe, Japan, demonstrating the process at scale. The process data and operational experience gathered during the processing trial will inform expected definitive processing agreements between the 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pacing w:val="-2"/>
          <w:sz w:val="20"/>
        </w:rPr>
      </w:pPr>
      <w:r>
        <w:rPr>
          <w:rFonts w:ascii="Times New Roman;Times;serif" w:hAnsi="Times New Roman;Times;serif"/>
          <w:b/>
          <w:i/>
          <w:spacing w:val="-2"/>
          <w:sz w:val="20"/>
        </w:rPr>
        <w:t>Extension of Credit Facility with ERAS Capital LLC and Gerard Barron</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w:t>
      </w:r>
    </w:p>
    <w:p>
      <w:pPr>
        <w:pStyle w:val="TextBody"/>
        <w:bidi w:val="0"/>
        <w:spacing w:before="0" w:after="200"/>
        <w:ind w:left="0" w:right="0" w:hanging="0"/>
        <w:jc w:val="left"/>
        <w:rPr>
          <w:rFonts w:ascii="Times New Roman;Times;serif" w:hAnsi="Times New Roman;Times;serif"/>
          <w:b/>
          <w:i/>
          <w:spacing w:val="-2"/>
          <w:sz w:val="20"/>
        </w:rPr>
      </w:pPr>
      <w:r>
        <w:rPr>
          <w:rFonts w:ascii="Times New Roman;Times;serif" w:hAnsi="Times New Roman;Times;serif"/>
          <w:b/>
          <w:i/>
          <w:spacing w:val="-2"/>
          <w:sz w:val="20"/>
        </w:rPr>
        <w:t>Extension of Allseas Working Capital Loan Agreement and Termination of Allseas 2023 Credit Facility</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On March 24,2025, we entered into a Letter Agreement (the “Letter Agreement”) with Allseas Investments and Argentum Cedit Virtuti GCV, pursuant to which the repayment date under our working capital loan agreement (“Working Capital Loan Agreement”) with Allseas Investments dated September 9, 2024 was extended to September 30, 2025.</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Additionally, under the Letter Agreement, we and Argentum Cedit Virtuti GCV agreed to cancel the unsecured credit facility established in 2023 with no outstanding amounts remaining, other than our obligation to pay the underutilization fee thereunder.</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Exploring U.S. Regulatory Pathway</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On March 27, 2025, we announced that we initiated a pre-application consultation process with NOAA and the U.S. Department of Commerce under the DSHMRA to consider a U.S. regulatory pathway for the commercial recovery of deep-sea polymetallic nodules in the CCZ. We believe this regulatory pathway offers a clear and predictable route to securing an exploration license and a commercial recovery permit for polymetallic nodules found in the CCZ. We are in the initial planning stages of this strategy, however, and there are no assurances that we will be able to secure any exploration or commercial recovery rights under the DSHMRA in a timely manner, or at all.</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Developments Subsequent to March 31, 2025</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TMC USA Submits Application for Commercial Recovery of Deep-Sea Minerals Under U.S. Seabed Mining Code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April 29, 2025, we announced that TMC USA had submitted the first-ever application for a commercial recovery permit and two exploration licenses under the Deep Seabed Hard Mineral Resources Act of 1980 (DSHMRA), advancing the Company’s timeline ahead of its original June 27, 2025 application target. The application area for the commercial recovery permit, TMC USA-A_2, covers a total combined area of 25,160 square kilometers in the Clarion Clipperton Zone which includes areas that contain the Company’s already indicated and measured resources. TMC USA also submitted two exploration license applications: TMC USA-A and TMC USA-B with a total combined area of 199,895 square kilometers. The Company believes the TMC USA-A and USA-B exploration areas contain SEC SK 1300-compliant resources of 1.635 billion wet tonnes of polymetallic nodules supported by existing issued technical report summaries, with an additional estimated 500 million tonnes of potential exploration upside. The resources are estimated to contain approximately 15.5 million tonnes of nickel, 12.8 million tonnes of copper, 2.0 million tonnes of cobalt, and 345 million tonnes of manganese.</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TMC Welcomes U.S. Executive Order to Expedite Permitting and Evaluate Offtake of Critical Minerals from Nodules in the High Seas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April 25, 2025, we welcomed an Executive Order signed by President Trump to create a robust domestic supply for critical minerals derived from seabed resources. The Executive Order, ‘Unleashing America’s Offshore Critical Minerals and Resources’, directs the Commerce Secretary to implement an expedited permitting process under the DSHMRA, a statute passed by Congress in 1980. In addition to directing the International Development Finance Corporation, Export-Import Bank and Trade and Development Agency to identify tools to support this new industry, the order instructs the Departments of Defense and Energy to assess the use of the National Defense Stockpile for nodule-derived minerals and entering into offtake agreements for the procurement of these minerals. These departments are also directed to review and revise domestic processing capabilities for seabed mineral resources and Defense Production Act authorities. The executive order also issued a directive for a joint assessment, led by the Secretaries of Commerce, State, Interior, and Energy in coordination with U.S. partners and allies, on the feasibility of an international seabed benefit-sharing mechanism.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TMC Announces Registered Direct Offering for $37 million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May 12, 2025, the Company entered into a securities purchase agreement with certain new and existing investors, including an existing strategic investor, for the sale of an aggregate of 12,333,333 common shares (the "Shares") and accompanying Class C warrants (the "Class C Warrants"), in a registered direct offering. The offering price was $3.00 per Share, resulting in gross proceeds of $37.0 million ($36.75 million after associated fees), with each Share including an accompanying Class C Warrant to purchase one common share. The Class C Warrants are exercisable immediately upon issuance at a price of $4.50 per share and expire three years from issuance.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The Class C Warrants include customary anti-dilution protections and a repurchase feature, permitting the Company to repurchase the warrants for $0.0001 per Common Share underlying the Class C Warrants if the volume-weighted average price of the Company's common shares exceeds $7.00 per share for each trading day in a consecutive 20-trading-day period.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Rutger Bosland, Pioneering Engineer and Technical Lead on Development of TMC’s Nodule Collection System, Joins Company to Drive Commercial Readiness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April 15, 2025, we announced that Rutger Bosland, the engineer and technical lead who oversaw the design, build, and successful test deployment of Allseas’ integrated nodule collection system, had joined the Company as Chief Innovation and Offshore Technology Officer (CIOTO). Rutger will lead offshore innovation and efforts to scale our technologies for commercial production. He brings world-class expertise in deep-sea mining, naval architecture, and offshore operations to TMC, having led a team of 80+ engineers in developing TMC’s nodule collection system, and Allseas’ program to scale-up nodule collection technology in preparation for TMC’s planned commercial operations.</w:t>
      </w:r>
    </w:p>
    <w:p>
      <w:pPr>
        <w:pStyle w:val="TextBody"/>
        <w:bidi w:val="0"/>
        <w:spacing w:before="0" w:after="200"/>
        <w:ind w:left="0" w:right="0" w:hanging="0"/>
        <w:jc w:val="left"/>
        <w:rPr>
          <w:rFonts w:ascii="Times New Roman;Times;serif" w:hAnsi="Times New Roman;Times;serif"/>
          <w:b/>
          <w:spacing w:val="-2"/>
          <w:sz w:val="20"/>
        </w:rPr>
      </w:pPr>
      <w:r>
        <w:rPr>
          <w:rFonts w:ascii="Times New Roman;Times;serif" w:hAnsi="Times New Roman;Times;serif"/>
          <w:b/>
          <w:spacing w:val="-2"/>
          <w:sz w:val="20"/>
        </w:rPr>
        <w:t>Project and Regulatory Updates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Project Developments</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Progress continues on the Environmental Impact Statement (EIS) post the Impact Assessment workshop held in January 2025 and with the Pre-Feasibility Study (PFS) which will now require additional work to finalize, as a result of the change to permitting under DSHMRA, which is due to be completed in the third quarter of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Regulation of Mining of Deep-Sea Polymetallic Nodules by the United States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Deep Seabed Hard Mineral Resources Act</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The Deep Seabed Hard Mineral Resources Act of 1980, or DSHMRA, establishes a domestic legal regime for U.S. citizens to explore for and commercially recover hard mineral resources from the seabed in areas beyond U.S. national jurisdiction. DSHMRA affirms that deep-sea mining is a lawful freedom of the high seas, subject to a duty of reasonable regard to the interests of other states in their exercise of those and other freedoms recognized by the general principles of international law, and provides a regulatory structure administered by NOAA, an agency under the U.S. Department of Commerce. NOAA’s implementing regulations detail the criteria and conditions for issuance of deep seabed exploration licenses and commercial recovery permits to U.S. citizens, including any individual, corporation, or other entity organized under the laws of a U.S. state or territory.</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The purpose of DSHMRA is to promote the development of seabed minerals by U.S. citizens while ensuring environmental protection, avoidance of conflict with other high seas uses, and consistency with international law. Before any license or permit is issued, NOAA must determine that the proposed activities meet a series of statutory requirements, including that the activity: (i) will not unreasonably interfere with the lawful use of the high seas by other states; (ii) is consistent with U.S. foreign policy and international obligations; (iii) does not create a risk to international peace and security; (iv) is not expected to result in significant adverse environmental effects; and (v) does not pose undue risk to life or property at sea. These findings reflect NOAA’s mandate of advancing U.S. commercial interests in seabed minerals while minimizing environmental and diplomatic risk.</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 xml:space="preserve">TMC’s wholly owned subsidiary, TMC USA, a US-registered company established in 2013, has submitted three applications to NOAA: two for exploration licenses and one for a commercial recovery permit.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Exploration licenses under DSHMRA grant exclusive rights to conduct technical studies in a defined area and are issued for ten-year terms. Commercial recovery permits authorize full-scale extraction for a period of 20 years subject to extension and are subject to enhanced environmental and operational requirements. To date, NOAA has issued exploration licenses over four areas, of which two are active, however it has not issued any commercial recovery permits under DSHMRA as no U.S. citizen had applied for a commercial recovery permit prior to TMC USA.</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TMC USA initiated pre-application consultations with NOAA in the first quarter of 2025 and, following those discussions, submitted its applications in April 2025. These are now under agency review. Each application includes the full environmental, technical, financial, and operational data required under DSHMRA and the National Environmental Policy Act, or NEPA. The NOAA review process includes a determination whether applications for exploration licenses are in full or substantial compliance with the applicable requirements under DSHMRA and its implementing regulations within 30 days of receipt and whether applications for a commercial recovery permit is complete within 60 days. NOAA is then expected to proceed with a full review of the applications, including interagency consultation with other U.S. government departments (including the Department of State, the Department of Defense, and the Environmental Protection Agency), preparation of an Environmental Impact Statement, or EIS, under NEPA, and a public comment period. NOAA will determine whether to issue the requested licenses and permit, and if so, under what terms and conditions. All licenses and permits issued under DSHMRA are subject to oversight, periodic reporting, and potential suspension or revocation for noncompliance or unforeseen environmental harm.</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DSHMRA and its regulations do not include a statutory deadline for application review. However, the Executive Order signed by President Trump on April 24, 2025, directs the Commerce Secretary to implement an expedited permitting process under DSHMRA.</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 xml:space="preserve">NOAA issued four exploration licenses in 1984 to U.S.-sponsored consortia for polymetallic nodule exploration in the CCZ. Two of these licenses (USA-1 and USA-4) remain active and are currently held by Lockheed Martin. These licenses have been renewed until 2027 in accordance with DSHMRA’s statutory provisions, which require NOAA to grant extensions if the licensee has substantially complied with license terms. </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We believe NOAA has historically adopted a cautious and science-based regulatory posture under DSHMRA, coordinating with other U.S. federal agencies and supporting environmental studies to inform future decisions. In the 1980s and 1990s, the United States entered into reciprocal recognition arrangements with other nations with similar domestic seabed mining laws, helping avoid overlapping claims prior to the establishment of the ISA. Once the ISA became operational in the 1990s, most reciprocating states transitioned to the UNCLOS/ISA system. The United States, however, remains outside that framework. NOAA is not restricted under DSHMRA from issuing licenses or permits over areas that are also subject to ISA exploration or exploitation contracts.</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 xml:space="preserve">In addition, DSHMRA requires that all mining vessels and at least one transport vessel are U.S. flagged. TMC USA will ensure all vessels contracted for commercial recovery comply with relevant laws pertaining to vessel standards and crew safety. DSHMRA also requires that recovered minerals be processed in the United States unless a waiver is granted, in which case the permittee is required to provide assurances that processed materials are returned to the United States. We are currently evaluating U.S.-based vessel and processing options to satisfy this requirement as well as working with Japan and South Korea-based supply chain to ensure processed materials can be returned to the United States in case the permit to process outside the United States is granted for an initial period. If necessary, we expect to seek a waiver based on the statutory criteria and applicable regulations. </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We expect to become subject to additional U.S. laws and regulations as development progresses and are in the early stages of analyzing their applicability and potential impact on our operations.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Existing ISA Exploration Contracts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currently hold exploration rights to certain polymetallic nodule areas in the CCZ through our subsidiaries NORI and TOML, sponsored by the Republic of Nauru and the Kingdom of Tonga,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NORI, our wholly-owned subsidiary, holds exploration rights to four blocks (NORI Area A, B, C, and D, the “NORI Contract Area”) covering 74,830 square kilometers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(“AMC”), a leading mining consulting firm, to undertake an Initial Economic Assessment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 See Item 2 entitled “Properties” included in this Annual Report for additional information about the 2021 economic analysis of NORI Area 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TOML, our wholly-owned subsidiary which we acquired in March 2020, holds exploration rights to an area covering 74,713 square kilometers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Key Trends, Opportunities and Uncertainties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are currently a pre-revenue company, and we do not anticipate earning revenues (other than potential service revenue) until one of our wholly-owned subsidiaries receives an exploitation contract or commercial recovery permit and we are able to successfully collect and process polymetallic nodules into saleable products on a commercial scale. We believe that our performance and future success pose risks and challenges, including those related to the approval of an application for a commercial recovery permit, development of environmental terms, conditions and restrictions associated with our application and development of our technologies to collect and process polymetallic nodules. These risks, as well as other risks, are discussed in the section entitled “</w:t>
      </w:r>
      <w:r>
        <w:rPr>
          <w:rFonts w:ascii="Times New Roman;Times;serif" w:hAnsi="Times New Roman;Times;serif"/>
          <w:i/>
          <w:sz w:val="20"/>
        </w:rPr>
        <w:t>Risk Factors</w:t>
      </w:r>
      <w:r>
        <w:rPr>
          <w:rFonts w:ascii="Times New Roman;Times;serif" w:hAnsi="Times New Roman;Times;serif"/>
          <w:sz w:val="20"/>
        </w:rPr>
        <w:t>” in Item 1A of Part I of the 2024 Annual Report on Form 10-K, as further updated and/or supplemented in subsequent filings with the SEC.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conduct our business through one operating segment. As a pre-revenue company with no commercial operations, our activities to date have been limited. Our results are reported under Generally Accepted Accounting Principles in the United States (“U.S. GAAP”) and in U.S. dollars.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exploration-stage company with no revenue to date and a net loss of $20.6 million for the three months ended March 31, 2025, compared to a net loss of $25.2 million in the same period of 2024. We have an accumulated deficit of approximately $652.0 million from inception through March 31, 2025.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we have not generated any revenue. We expect to generate revenue once we receive a commercial recovery permit, and we are able to successfully collect and process polymetallic nodules into saleable products on a commercial scale. Any revenue from initial production is difficult to predict.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expense all costs relating to exploration and development of mineral claims. Such exploration and development costs include, but are not limited to, regulatory approvals, exploration mineral title management, geological, geochemical and geophysical studies, environmental baseline studies and process development activities. Our exploration expenses are impacted by the amount of exploration work conducted during each period. The acquisition cost of polymetallic nodule mineral title will be charged to operations as amortization expense on a unit-of-production method based on proven and probable reserves should commercial production commence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costs from the issuance of stock options and restricted share units (“RSUs”) are measured at the grant date based on the fair value of the award and are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consists primarily of interest earned on our cash and cash equivalents.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Fees and Interest on Borrowings and Credit Facilities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Fees and interest on borrowings and credit facilities represent interest charged on the Company’s short-term debt and interest and underutilization fees associated with the Company’s credit facilities.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Exchange Gain/Loss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foreign exchange gain or loss for the periods reported primarily relates to our cash held in Canadian dollars and to the settlement of costs incurred in foreign currencies, depending on either the strengthening or weakening of the U.S. dollar.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warrants liability primarily consists of the change in the fair value of our 9,500,000 Private Warrants, which is re-measured at the end of each reporting period.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discussion of our results of operations for the three months ended March 31, 2025 and 2024. Our accounting policies are described in Note 3 “Significant Accounting Policies” in our financial statements filed as part of the 2024 Annual Report on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March 31, 2025 and 2024</w:t>
      </w:r>
    </w:p>
    <w:tbl>
      <w:tblPr>
        <w:tblW w:w="8110" w:type="dxa"/>
        <w:jc w:val="left"/>
        <w:tblInd w:w="0" w:type="dxa"/>
        <w:tblLayout w:type="fixed"/>
        <w:tblCellMar>
          <w:top w:w="0" w:type="dxa"/>
          <w:left w:w="0" w:type="dxa"/>
          <w:bottom w:w="0" w:type="dxa"/>
          <w:right w:w="0" w:type="dxa"/>
        </w:tblCellMar>
      </w:tblPr>
      <w:tblGrid>
        <w:gridCol w:w="4171"/>
        <w:gridCol w:w="326"/>
        <w:gridCol w:w="211"/>
        <w:gridCol w:w="676"/>
        <w:gridCol w:w="326"/>
        <w:gridCol w:w="211"/>
        <w:gridCol w:w="676"/>
        <w:gridCol w:w="326"/>
        <w:gridCol w:w="871"/>
        <w:gridCol w:w="316"/>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648585" cy="175260"/>
                      <wp:effectExtent l="0" t="0" r="0" b="0"/>
                      <wp:wrapNone/>
                      <wp:docPr id="209" name="Frame209"/>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29260" cy="175260"/>
                      <wp:effectExtent l="0" t="0" r="0" b="0"/>
                      <wp:wrapNone/>
                      <wp:docPr id="212" name="Frame2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29260" cy="175260"/>
                      <wp:effectExtent l="0" t="0" r="0" b="0"/>
                      <wp:wrapNone/>
                      <wp:docPr id="215" name="Frame2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53085" cy="175260"/>
                      <wp:effectExtent l="0" t="0" r="0" b="0"/>
                      <wp:wrapNone/>
                      <wp:docPr id="217" name="Frame21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0660" cy="175260"/>
                      <wp:effectExtent l="0" t="0" r="0" b="0"/>
                      <wp:wrapNone/>
                      <wp:docPr id="218" name="Frame21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29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16" w:type="dxa"/>
            <w:tcBorders/>
            <w:vAlign w:val="center"/>
          </w:tcPr>
          <w:p>
            <w:pPr>
              <w:pStyle w:val="TableContents"/>
              <w:bidi w:val="0"/>
              <w:spacing w:before="0" w:after="0"/>
              <w:ind w:left="0" w:right="0" w:hanging="0"/>
              <w:jc w:val="left"/>
              <w:rPr/>
            </w:pPr>
            <w:r>
              <w:rPr/>
              <w:t>​</w:t>
            </w:r>
          </w:p>
        </w:tc>
      </w:tr>
      <w:tr>
        <w:trPr/>
        <w:tc>
          <w:tcPr>
            <w:tcW w:w="4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 amounts in thousands, except as noted)</w:t>
            </w:r>
          </w:p>
        </w:tc>
        <w:tc>
          <w:tcPr>
            <w:tcW w:w="326" w:type="dxa"/>
            <w:tcBorders/>
            <w:vAlign w:val="center"/>
          </w:tcPr>
          <w:p>
            <w:pPr>
              <w:pStyle w:val="TableContents"/>
              <w:bidi w:val="0"/>
              <w:spacing w:before="0" w:after="0"/>
              <w:ind w:left="0" w:right="0" w:hanging="0"/>
              <w:jc w:val="center"/>
              <w:rPr/>
            </w:pPr>
            <w:r>
              <w:rPr/>
              <w:t>​</w:t>
            </w:r>
          </w:p>
        </w:tc>
        <w:tc>
          <w:tcPr>
            <w:tcW w:w="329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16" w:type="dxa"/>
            <w:tcBorders/>
            <w:vAlign w:val="center"/>
          </w:tcPr>
          <w:p>
            <w:pPr>
              <w:pStyle w:val="TableContents"/>
              <w:bidi w:val="0"/>
              <w:spacing w:before="0" w:after="0"/>
              <w:ind w:left="0" w:right="0" w:hanging="0"/>
              <w:jc w:val="left"/>
              <w:rPr/>
            </w:pPr>
            <w:r>
              <w:rPr/>
              <w:t>​</w:t>
            </w:r>
          </w:p>
        </w:tc>
      </w:tr>
      <w:tr>
        <w:trPr/>
        <w:tc>
          <w:tcPr>
            <w:tcW w:w="4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18,123</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6,559</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borrowings and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for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25,194</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956" w:name="_Hlk111371873"/>
      <w:bookmarkEnd w:id="956"/>
      <w:r>
        <w:rPr>
          <w:rFonts w:ascii="Times New Roman;Times;serif" w:hAnsi="Times New Roman;Times;serif"/>
          <w:b/>
          <w:i/>
          <w:sz w:val="20"/>
        </w:rPr>
        <w:t>Three Months ended March 31, 2025 compared to Three Months ended March 31, 2024</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a net loss of approximately $20.6 million in the first quarter of 2025, compared to a net loss of $25.2 million in the same period of 2024.  The following explains the major reasons for the decrease in the net loss in the first quarter of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expenses for the three months ended March 31, 2025 were $9.5 million, compared to $18.1 million for the same period in 2024. The decrease of $8.6 million is primarily due to a decrease in mining, technological and process development of $8.6 million as the comparative quarter of 2024 included costs incurred on the transportation of nodules to PAMCO’s facility in Japan, resource definition costs incurred during Campaign 8 which was completed in the first quarter of 2024 and lower costs incurred on environmental and prefeasibility studies, partially offset by an increase in share-based compensation of $0.9 million due to the amortization of the fair value of RSUs and options granted to the officers in the second quarter of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G&amp;A expenses for the three months ended March 31, 2025 were $8.5 million compared to $6.6 million for the same period in 2024. The increase of $1.9 million in G&amp;A expenses was mainly to the result of an increase in share-based compensation of $2.2 million due to the amortization of the fair value of RSUs and options granted to the directors and officers in the second quarter of 2024, partially offset by a decrease of $0.3 million in legal costs in the first quarter of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warrants liability consists of the change in the fair value of the 9,500,000 Private Warrants. During the three months ended March 31, 2025, the fair value of warrants liability increased by 48% reflecting the increase in both the price of the public warrants and price of the Company’s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Fees and Interest on Borrowings and Credit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interest charged on the Company’s short-term debt borrowings was $0.2 million in the first quarter of 2025 ($nil for the same period of 2024), while interest on drawn amounts on the Company’s credit facilities was $0.1 million and underutilization fees on these same facilities was $0.7 million in the first quarter of 2025 ($nil and $0.3 million over the same periods in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primary sources of financing have come from private placements and public offerings of Common Shares and warrants, the issuance of convertible debentures and from credit facilities. As of March 31, 2025, we had cash on hand of $2.3 million.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contract area, and by negotiating the settlement of program expenditures with our equity whenever possible.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US exploration licenses and a commercial recovery permit and ISA exploitation contracts or provisional approvals. While we have obtained financing in the past, there is no assurance that such financing will continue to be available on favorable terms, in sufficient amounts,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incur significant expenses and operating losses for the foreseeable future, as we advance our application to NOAA for exploration licenses and a commercial recovery permit and preparation for potential commercialization. Based on our cash balance and availability of borrowing under our credit facility with ERAS Capital LLC and Gerard Barron, when compared with our forecasted cash expenditures, we believe we will have sufficient funds to meet our obligations that become due within the next twelve months. Our estimates used in reaching this conclusion are based on information available as at the date of filing this Quarterly Report.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will however need and are seeking additional financing to fund our continued operations over time. These financings could include additional public or private equity, debt financings, equity-linked financings or other sources of financing, including through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16, 2022, we filed a registration statement on Form S-3 with the SEC, which the SEC declared effective on October 14, 2022, to sell up to $100 million of securities, which includes the $30 million that may be sold under the At-the-Market Equity Distribution Agreement discussed below and the Common Shares and shares underlying the Class A Warrants issued in the Registered Direct Offering. In addition, on November 30, 2023, we filed an additional registration statement on Form S-3 with the SEC, which the SEC declared effective on December 8, 2023, to sell up to an additional $100 million of securities. Securities that may be sold under the registration statements include common shares, preferred shares, debt securities, warrants and units. Any such offering, if it does occur, may happen in one or more transactions. Specific terms of any securities to be sold will be described in supplemental filings with the SEC.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On December 21, 2023, we amended the Sales Agreement to remove Stifel as a sales agent. The offer and sales of the shares are made under our effective “shelf” registration statement on Form S-3 filed with the SEC on September 16, 2022, which the SEC declared effective on October 14, 2022. No funds were raised from the Sales Agreement in the fourth quarter of 2024, while for the 2024 year, we sold 3,251,590 Common Shares for gross proceeds of $4.9 million under this offering.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22, 2023, we entered into the 2023 Credit Facility with Argentum Cedit Virtuti GCV, the parent of Allseas Investments S.A. and an affiliate of Allseas, which was amended on July 31, 2023 and March 22, 2024, pursuant to which, we were able to borrow from the Lender up to $25 million in the aggregate, from time to time, subject to certain conditions. All amounts drawn under the 2023 Credit Facility bore interest at the 6-month SOFR, 180-day average plus 4.0% per annum payable in cash semi-annually (or plus 5% if paid-in-kind at maturity, at our election) on the first business day of each of June and January. We agreed to pay an underutilization fee equal to 4.0% per annum payable semi-annually for any amounts that remain undrawn under the 2023 Credit Facility. We had the right to pre-pay the entire amount outstanding under the 2023 Credit Facility at any time, before the 2023 Credit Facility’s stated maturity of August 31, 2025. The 2023 Credit Facility also contained customary events of default. No amounts had been drawn under the 2023 Credit Facility. Pursuant to the Letter Agreement we entered into on March 24, 2025, we and Argentum Cedit Virtuti GCV agreed to cancel the 2023 Credit Facility with no outstanding amounts remaining, other than our obligation to pay the underutilization fee thereunder.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14, 2023, we entered into a securities purchase agreement for a Registered Direct Offering of our Common Shares and Class A Warrants (the “2023 Offering”). The purchase price for each Common Share and Class A Warrant to purchase 0.5 Common Shares was $2.00 per unit. The exercise price to purchase one Common Share under the Class A Warrants is $3.00, subject to adjustment as provided in the warrant agreement. No investor elected to exercise its right to purchase additional Common Shares and accompanying Class A Warrants on or before September 15, 2023 under the terms of the securities purchase agreement. As of December 31, 2023, we had received gross proceeds of $15.9 million (approximately $14.6 million net of transaction fees) in the Registered Direct Offering. We received the remaining $9 million of gross proceeds on January 31, 2024, from an investor affiliated with us. As a result of the 2024 Purchase Agreement (as described below), the exercise price of the Class A Warrants was reset to $2.00 as the down round feature of the Class A Warrants agreement was triggered.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March 22, 2024, we entered into the 2024 Credit Facility with Gerard Barron, our Chief Executive Officer and Chairman, and ERAS Capital LLC, the family fund of our director, Andrei Karkar, pursuant to which, we may borrow from the 2024 Lenders up to $20 million in the aggregate ($10 million from each of the 2024 Lenders), from time to time, subject to certain conditions. All amounts drawn under the 2024 Credit Facility will bear interest at the 6-month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December 31, 2025.  The 2024 Credit Facility also contains customary events of default. The 2024 Credit Facility will terminate automatically if we or any of our subsidiaries raise at least $50 million in the aggregate (i) through the issuance of any of our or our subsidiaries’ debt or equity securities, or (ii) in prepayments under an off-take agreement or similar commercial agreement. On August 13, 2024, we entered into the First Amendment to the 2024 Credit Facility to increase the borrowing limit to $25 million in the aggregate ($12.5 million from each of the 2024 Lenders). Under the terms of the First Amendment, the borrowing limit was due to return to the initial $20 million in the aggregate ($10 million from each of the 2024 Lenders) upon certain financing events. On November 14, 2024, we entered into the Second Amendment to the 2024 Credit Facility with ERAS Capital LLC and Gerard Barron, to increase the borrowing limit to $38 million in the aggregate ($19 million from each of the 2024 Lenders) and to extend the maturity of the 2024 Credit Facility to December 31, 2025. As per the Second Amendment, the rate of underutilization fee was retroactively increased from 4% to 6.5% on any undrawn amounts under the 2024 Credit Facility. On January 30, 2025, we repaid $1.8 million from the drawn amount, leaving a balance of $2.5 million drawn under the 2024 Credit Facility, as of the date of this Annual Report. With the January 2025 repayment, the borrowing limit on the 2024 Credit Facility was reduced to $36.2 million ($17.2 million from Gerard Barron and $19 million from ERAS Capital LLC). 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27, 2024, we entered into a short-term loan agreement with the Lender (Argentum Cedit Virtuti GCV), an affiliate of Allseas. In accordance with the agreement, the Lender provided a short-term loan amounting to $2 million (the “Loan”) on May 30, 2024. The Loan takes priority over the 2024 Credit Facility. The Loan matured on September 10, 2024 (maturity date) and accrued interest at a rate of 8% per annum. On the maturity date, the Company repaid the entire Loan amounting to $2 million and the accrued interest amounting to $46 thousand.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September 9, 2024, we entered into a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is payable to the Lender on or before the earlier of (i) the occurrence of certain financing events and (ii) April 1, 2025 (the “Repayment Date”). The Working Capital Loan will bear interest based on the 6-month Secured Overnight Financing Rate, 180-day average plus a margin of 4.0% per annum and is payable in two installments on January 2, 2025, and the Repayment Date (or plus a margin of 5.0% if all interest payments are deferred to the Repayment Date, at our election). On October 18, 2024, we entered into the First Amendment to the Working Capital Loan Agreement with Allseas Investments, resulting in a further draw of $2.5 million by us and a total Working Capital Loan drawn amount of $7.5 million. On March 24, 2025, we entered into the Letter Agreement with Allseas Investments and Argentum Cedit Virtuti GCV, pursuant to which the repayment date under the Working Capital Loan Agreement was extended to September 30, 2025.</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November 14, 2024, we entered into a securities purchase agreement (the “2024 Purchase Agreement”) with certain new and existing institutional investors for the sale of an aggregate of 17,500,000 common shares (the “Shares”) and accompanying Class B warrants (the “Class B Warrants”), in a registered direct offering. The offering price was $1.00 per Share, with each Share including an accompanying Class B Warrant to purchase 0.5 common shares. The Class B Warrants are exercisable immediately upon issuance at a price of $2.00 per share and expire five years from issuance. On November 26, 2024, we entered into the First Amendment to the 2024 Purchase Agreement, pursuant to which we agreed to sell and issue an additional 2,400,000 common shares and accompanying Class B Warrants to purchase 1,200,000 common shares to new investors on the same terms and conditions as initially offered. Including the First Amendment to the 2024 Purchase Agreement, we agreed to sell and issue in aggregate 19,900,000 common shares and Class B Warrants to purchase 9,950,000 common shares. Pursuant to the 2024 Purchase Agreement, we agreed not to issue any Common Shares or Common Share equivalents with an effective price of less than $1.00 per share until May 18, 2025. As at December 31, 2024, we received gross proceeds of $14.9 million (net proceeds of $14.2 million, after offering expenses), with the final $5 million of gross proceeds received on February 6, 2025.</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May 12, 2025, we entered into a securities purchase agreement (the “2025 Purchase Agreement”) with certain new and existing investors, including an existing strategic investor, for the sale of an aggregate of 12,333,333 common shares and accompanying Class C Warrants, in a registered direct offering. The offering price was $3.00 per Share, with each Share including an accompanying Class C Warrant to purchase one common share. The Class C Warrants are exercisable immediately upon issuance at a price of $4.50 per share and expire three years from issuance.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may receive up to approximately $314 million in aggregate gross proceeds from cash exercises of the Public Warrants, the Private Warrants, the Class A Warrants and the Class B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 In addition, the exercise price to purchase one Common Share under the outstanding Class A Warrants and Class B Warrants is $2.00 (subject to customary adjustments) and there can be no assurance that such warrants will be exercised prior to their expiration, and as such, such warrants may expire, and we will not receive any proceeds from the exercise thereof.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Summary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Presented below is a summary of our operating, investing and financing cash flows:</w:t>
      </w:r>
    </w:p>
    <w:tbl>
      <w:tblPr>
        <w:tblW w:w="5667" w:type="dxa"/>
        <w:jc w:val="left"/>
        <w:tblInd w:w="0" w:type="dxa"/>
        <w:tblLayout w:type="fixed"/>
        <w:tblCellMar>
          <w:top w:w="0" w:type="dxa"/>
          <w:left w:w="0" w:type="dxa"/>
          <w:bottom w:w="0" w:type="dxa"/>
          <w:right w:w="0" w:type="dxa"/>
        </w:tblCellMar>
      </w:tblPr>
      <w:tblGrid>
        <w:gridCol w:w="3061"/>
        <w:gridCol w:w="326"/>
        <w:gridCol w:w="211"/>
        <w:gridCol w:w="691"/>
        <w:gridCol w:w="326"/>
        <w:gridCol w:w="211"/>
        <w:gridCol w:w="841"/>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943735" cy="175260"/>
                      <wp:effectExtent l="0" t="0" r="0" b="0"/>
                      <wp:wrapNone/>
                      <wp:docPr id="219" name="Frame219"/>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38785" cy="175260"/>
                      <wp:effectExtent l="0" t="0" r="0" b="0"/>
                      <wp:wrapNone/>
                      <wp:docPr id="222" name="Frame2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34035" cy="175260"/>
                      <wp:effectExtent l="0" t="0" r="0" b="0"/>
                      <wp:wrapNone/>
                      <wp:docPr id="225" name="Frame2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    </w:t>
            </w:r>
          </w:p>
        </w:tc>
        <w:tc>
          <w:tcPr>
            <w:tcW w:w="22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(11,852)</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9,048</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cash</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(3,144)</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Three Months ended March 31, 2025 compared to Three Months ended March 31,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used in 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three months ended March 31, 2025, major operating activities included advanced work on pre-feasibility studies and work to advance our permit applications, resulting in net cash used in operating activities of $9.3 million. This consisted of $3 million on various environmental work, $2.6 million on payroll costs, $1.5 million on stakeholder engagement, $1 million on legal and consulting fees and an additional $1.2 million for various expenses. Net cash used in operating activities in the first three months of 2024, amounted to $11.9 million, and included costs on the final stage of Campaign 8, as well as advanced work on engineering and pre-feasibility studies.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used in 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investing activities for three months ended March 31, 2025 and 2024 represent the purchase of equipment and software development.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provided by 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three months ended March 31, 2025 was $8.3 million, which comprised of proceeds received from the Registered Direct Offering announced in November 2024 of $5 million (less fees of $0.5 million), proceeds from shares issued from our ATM of $5.6 million and the repayment of short-term debt of $1.8 million, while the first three months of 2024 results represent the cash received from the 2023 Registered Direct Offering of $9 million (less fees of $0.1 million) and proceeds from the exercise of stock options of $0.2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NORI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NORI Exploration Contract with the ISA, NORI submitted a periodic review report to the ISA which included a five-year plan covering 2022 to 2026: NORI is currently implementing its approved five-year plan. The cost of the estimated work plan for 2025 onwards is dependent on NORI’s current five-year plan and any future approved exploration contract extension program of work. Work plans are reviewed annually by us, agreed with the ISA and may be subject to change depending on our progress to date. NORI’s exploration contract expires on July 21, 2026. NORI is required to submit an application for extension no later than six months before the expiration of the contract. NORI intends to submit an application for a five-year extension in 2025.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TOML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TOML Exploration Contract with the ISA, TOML submitted a periodic review report to the ISA which included a five-year plan covering 2022 to 2026: TOML is currently implementing its approved plan, which included an estimated five-year expenditure of up to $44 million. The five-year estimated expenditure is indicative and subject to change, TOML will review the program regularly and TOML will inform the ISA of any changes through its annual reports.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Regulatory Obligations Relating to Exploration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ISA requirements, both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Sponsorship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is in discussions with the Government of Nauru to renegotiate the existing sponsorship agreement and has also committed to ensuring NORI pays corporate income tax within Nauru, assuming our future operations are ultimately profitable.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8, 2008, Tonga and TOML entered into the TOML Sponsorship Agreement formalizing certain obligations of the parties in relation to TOML’s exploration and potential exploitation of the TOML Area. On September 23, 2021,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 assuming our future operations are ultimately profitable.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Allseas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up to an estimated 3.0 million tonnes of wet nodules per year, to be delivered in stepped increments. NORI and Allseas intend to equally finance all costs related to developing and getting the first commercial system into production. Once in production, NORI is expected to pay Allseas a nodule collection and transshipment fee and, as Allseas scales up production to up to an estimated 3.0 million wet tonnes of nodules per year, it is expected that unit costs will be reduced. Following the successful completion of the NORI Area D pilot collection system trials in November 2022 and subsequent analysis of pilot data, the parties are reviewing Project Zero Offshore Nodule Collection System production targets, system design and cost estimates and intend to enter into a binding Heads of Terms by the end of 2025.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w:t>
      </w:r>
      <w:r>
        <w:rPr>
          <w:rFonts w:ascii="Times New Roman;Times;serif" w:hAnsi="Times New Roman;Times;serif"/>
          <w:i/>
          <w:sz w:val="20"/>
        </w:rPr>
        <w:t>Hidden Gem</w:t>
      </w:r>
      <w:r>
        <w:rPr>
          <w:rFonts w:ascii="Times New Roman;Times;serif" w:hAnsi="Times New Roman;Times;serif"/>
          <w:sz w:val="20"/>
        </w:rPr>
        <w:t>, another Samsung 10000, with the potential for an additional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March 31, 2025,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 2023, we entered into an Exclusive Vessel Use Agreement with Allseas pursuant to which Allseas will give us exclusive use of the vessel (“</w:t>
      </w:r>
      <w:r>
        <w:rPr>
          <w:rFonts w:ascii="Times New Roman;Times;serif" w:hAnsi="Times New Roman;Times;serif"/>
          <w:i/>
          <w:sz w:val="20"/>
        </w:rPr>
        <w:t>Hidden Gem</w:t>
      </w:r>
      <w:r>
        <w:rPr>
          <w:rFonts w:ascii="Times New Roman;Times;serif" w:hAnsi="Times New Roman;Times;serif"/>
          <w:sz w:val="20"/>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Offtake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Borrowing with Company Related to Allseas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2023 Credit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described above, on March 22, 2023, we entered into the 2023 Credit Facility with Argentum Cedit Virtuti GCV, an affiliate of Allseas, under which we may borrow up to $25 million pursuant to the terms and conditions of the 2023 Credit Facility, as amended, which has a maturity date of August 31, 2025. On August 16, 2024, we entered into the Third Amendment to the 2023 Credit Facility, to increase the borrowing limit of the 2023 Credit Facility to $27.5 million. Under the terms of the Third Amendment, upon closing of the November 2024 Registered Direct Offering discussed above, the borrowing limit returned to $25 million. There was no outstanding balance under the 2023 Credit Facility as at December 31, 2024. Pursuant to the Letter Agreement entered into on March 24, 2025, we agreed to cancel the 2023 Credit Facility with no outstanding amounts remaining, other than our obligation to pay Argentum Cedit Virtuti GCV the underutilization fee thereunder.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2024 Short-Term Loan and Working Capital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27, 2024, we entered into a short-term loan agreement with Argentum Cedit Virtuti GCV whereby we borrowed $2 million (the “Loan”) on May 30, 2024. The Loan matured on September 10, 2024 (maturity date) and accrued interest at a rate of 8% per annum. On the maturity date, we repaid the entire Loan amounting to $2 million and the accrued interest.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9, 2024, we entered into a working capital loan agreement (the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is payable to the Lender on or before the earlier of (i) the occurrence of certain financing events and (ii) April 1, 2025 (the “Original Repayment Date”). The Working Capital Loan will bear interest based on the 6-month Secured Overnight Financing Rate, 180-day average plus a margin of 4.0% per annum and is payable in two installments on January 2, 2025, and the Original Repayment Date (or plus a margin of 5.0% if all interest payments are deferred to the Original Repayment Date, at our election). On October 18, 2024, we entered into the First Amendment to the Working Capital Loan Agreement with Allseas Investments, resulting in a further draw of $2.5 million by us and a total Working Capital Loan drawn amount of $7.5 million. On March 24, 2025, we entered into a Letter Agreement with Allseas Investments and Argentum Cedit Virtuti GCV, pursuant to which the Original Repayment Date under the Working Capital Loan Agreement was extended to September 30, 2025, with principal and interest now repayable on that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2024 Credit Facility with ERAS Capital LLC and Gerard Barron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22, 2024, we entered into an Unsecured Credit Facility with Gerard Barron, our Chief Executive Officer and Chairman, and ERAS Capital LLC, the family fund of our director, Andrei Karkar, pursuant to which, we may borrow from the 2024 Lenders up to $20 million in the aggregate ($10 million from each of the 2024 Lenders), from time to time, subject to certain conditions. All amounts drawn under the 2024 Credit Facility will bear interest at the 6-month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December 31, 2025. The 2024 Credit Facility also contains customary events of default. The 2024 Credit Facility will terminate automatically if we or any of our subsidiaries raise at least $50 million in the aggregate (i) through the issuance of any of our or our subsidiaries’ debt or equity securities, or (ii) in prepayments under an off-take agreement or similar commercial agreement. On August 13, 2024, we entered into the First Amendment to the 2024 Credit Facility with the 2024 Lenders, to increase the borrowing limit of the 2024 Credit Facility to $25 million in the aggregate ($12.5 million from each of the 2024 Lenders). On November 14, 2024, we entered into the Second Amendment to increase the borrowing limit to $38 million in the aggregate ($19 million from each of the 2024 Lenders) to the 2024 Credit Facility with ERAS Capital LLC and Gerard Barron, and to extend the maturity of the 2024 Credit Facility to December 31, 2025. As per the Second Amendment, the rate of underutilization fee was retroactively increased from March 22, 2024 to 6.5% on any undrawn amounts under the 2024 Credit Facility. On March 26, 2025, we entered into the Third Amendment to, among other things, increase the borrowing limit to $44 million in the aggregate ($22 million from each of the 2024 Lenders) and extend the maturity of the 2024 Credit Facility to June 30,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at March 31, 2025, we have drawn $2.5 million from the 2024 Credit Facility and incurred $0.2 million as interest expense. Until March 31, 2025, we incurred $1.5 million, as underutilization fees, which would be payable only in the event the 2024 Credit Facility is not drawn down at the time such fees are payable. Until March 31, 2025, we repaid interest amounting to $0.1 million, and underutilization fees amounting to $0.1 million to the 2024 Lenders. On January 31, 2025, we repaid the drawn amount and outstanding interest on the 2024 Credit Facility amounting to $1.8 million and $0.1 million,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not party to any off-balance sheet arrangements.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interim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2024 Annual Report on Form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Section 2(a) of the Securities Act and have elected to take advantage of the benefits of the extended transition period for new or revised financial accounting standards. For so long as we remain an emerging growth company, we may take advantage of certain exemptions from various reporting requirements and other burdens that are otherwise applicable generally to public companies.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shares that is held by non-affiliates exceeds $700 million as of the prior June 30th, or (iv) the date on which we have issued more than $1.0 billion of non-convertible debt over the prior three-year period.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Statements Regarding the NORI Initial Assessment and TOML Mineral Resource Statement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where otherwise stated, the scientific and technical information set forth in this Quarterly Report on Form 10-Q relating to the area under which our subsidiary NORI holds an exploration contract issued by the ISA (the “NORI Area”) and the area under which our subsidiary TOML holds an exploration contract issued by the ISA (the “TOML Area”) is based on technical reports (the “Technical Reports”) prepared in accordance with the SEC rules set forth in subpart 1300 of Regulation S-K.</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In respect of the NORI Area, the technical report entitled </w:t>
            </w:r>
            <w:r>
              <w:rPr>
                <w:caps w:val="false"/>
                <w:smallCaps w:val="false"/>
              </w:rPr>
              <w:t>“</w:t>
            </w:r>
            <w:r>
              <w:rPr>
                <w:rFonts w:ascii="Times New Roman;Times;serif" w:hAnsi="Times New Roman;Times;serif"/>
                <w:b w:val="false"/>
                <w:i w:val="false"/>
                <w:caps w:val="false"/>
                <w:smallCaps w:val="false"/>
                <w:sz w:val="20"/>
              </w:rPr>
              <w:t xml:space="preserve">Technical Report Summary </w:t>
            </w:r>
            <w:r>
              <w:rPr>
                <w:caps w:val="false"/>
                <w:smallCaps w:val="false"/>
              </w:rPr>
              <w:t xml:space="preserve">– </w:t>
            </w:r>
            <w:r>
              <w:rPr>
                <w:rFonts w:ascii="Times New Roman;Times;serif" w:hAnsi="Times New Roman;Times;serif"/>
                <w:b w:val="false"/>
                <w:i w:val="false"/>
                <w:caps w:val="false"/>
                <w:smallCaps w:val="false"/>
                <w:sz w:val="20"/>
              </w:rPr>
              <w:t>Initial Assessment of the NORI Property, Clarion-Clipperton Zone</w:t>
            </w:r>
            <w:r>
              <w:rPr>
                <w:caps w:val="false"/>
                <w:smallCaps w:val="false"/>
              </w:rPr>
              <w:t xml:space="preserve">” </w:t>
            </w:r>
            <w:r>
              <w:rPr>
                <w:rFonts w:ascii="Times New Roman;Times;serif" w:hAnsi="Times New Roman;Times;serif"/>
                <w:b w:val="false"/>
                <w:i w:val="false"/>
                <w:caps w:val="false"/>
                <w:smallCaps w:val="false"/>
                <w:sz w:val="20"/>
              </w:rPr>
              <w:t xml:space="preserve">dated as of March 17, 2021, or the NORI Initial Assessment, prepared by AMC Consultants Pty Ltd. and other qualified persons, each a </w:t>
            </w:r>
            <w:r>
              <w:rPr>
                <w:caps w:val="false"/>
                <w:smallCaps w:val="false"/>
              </w:rPr>
              <w:t>“</w:t>
            </w:r>
            <w:r>
              <w:rPr>
                <w:rFonts w:ascii="Times New Roman;Times;serif" w:hAnsi="Times New Roman;Times;serif"/>
                <w:b w:val="false"/>
                <w:i w:val="false"/>
                <w:caps w:val="false"/>
                <w:smallCaps w:val="false"/>
                <w:sz w:val="20"/>
              </w:rPr>
              <w:t>qualified person</w:t>
            </w:r>
            <w:r>
              <w:rPr>
                <w:caps w:val="false"/>
                <w:smallCaps w:val="false"/>
              </w:rPr>
              <w:t xml:space="preserve">” </w:t>
            </w:r>
            <w:r>
              <w:rPr>
                <w:rFonts w:ascii="Times New Roman;Times;serif" w:hAnsi="Times New Roman;Times;serif"/>
                <w:b w:val="false"/>
                <w:i w:val="false"/>
                <w:caps w:val="false"/>
                <w:smallCaps w:val="false"/>
                <w:sz w:val="20"/>
              </w:rPr>
              <w:t>as defined in subpart 1300 of Regulation S-K;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In respect of the TOML Area, the technical report entitled </w:t>
            </w:r>
            <w:r>
              <w:rPr>
                <w:caps w:val="false"/>
                <w:smallCaps w:val="false"/>
              </w:rPr>
              <w:t>“</w:t>
            </w:r>
            <w:r>
              <w:rPr>
                <w:rFonts w:ascii="Times New Roman;Times;serif" w:hAnsi="Times New Roman;Times;serif"/>
                <w:b w:val="false"/>
                <w:i w:val="false"/>
                <w:caps w:val="false"/>
                <w:smallCaps w:val="false"/>
                <w:sz w:val="20"/>
              </w:rPr>
              <w:t xml:space="preserve">Technical Report Summary </w:t>
            </w:r>
            <w:r>
              <w:rPr>
                <w:caps w:val="false"/>
                <w:smallCaps w:val="false"/>
              </w:rPr>
              <w:t xml:space="preserve">– </w:t>
            </w:r>
            <w:r>
              <w:rPr>
                <w:rFonts w:ascii="Times New Roman;Times;serif" w:hAnsi="Times New Roman;Times;serif"/>
                <w:b w:val="false"/>
                <w:i w:val="false"/>
                <w:caps w:val="false"/>
                <w:smallCaps w:val="false"/>
                <w:sz w:val="20"/>
              </w:rPr>
              <w:t>TOML Mineral Resource, Clarion Clipperton Zone, Pacific Ocean</w:t>
            </w:r>
            <w:r>
              <w:rPr>
                <w:caps w:val="false"/>
                <w:smallCaps w:val="false"/>
              </w:rPr>
              <w:t xml:space="preserve">” </w:t>
            </w:r>
            <w:r>
              <w:rPr>
                <w:rFonts w:ascii="Times New Roman;Times;serif" w:hAnsi="Times New Roman;Times;serif"/>
                <w:b w:val="false"/>
                <w:i w:val="false"/>
                <w:caps w:val="false"/>
                <w:smallCaps w:val="false"/>
                <w:sz w:val="20"/>
              </w:rPr>
              <w:t xml:space="preserve">dated as of March 26, 2021, or the TOML Mineral Resource Statement, prepared by AMC Consultants Pty Ltd. and other qualified persons, each a </w:t>
            </w:r>
            <w:r>
              <w:rPr>
                <w:caps w:val="false"/>
                <w:smallCaps w:val="false"/>
              </w:rPr>
              <w:t>“</w:t>
            </w:r>
            <w:r>
              <w:rPr>
                <w:rFonts w:ascii="Times New Roman;Times;serif" w:hAnsi="Times New Roman;Times;serif"/>
                <w:b w:val="false"/>
                <w:i w:val="false"/>
                <w:caps w:val="false"/>
                <w:smallCaps w:val="false"/>
                <w:sz w:val="20"/>
              </w:rPr>
              <w:t>qualified person</w:t>
            </w:r>
            <w:r>
              <w:rPr>
                <w:caps w:val="false"/>
                <w:smallCaps w:val="false"/>
              </w:rPr>
              <w:t xml:space="preserve">” </w:t>
            </w:r>
            <w:r>
              <w:rPr>
                <w:rFonts w:ascii="Times New Roman;Times;serif" w:hAnsi="Times New Roman;Times;serif"/>
                <w:b w:val="false"/>
                <w:i w:val="false"/>
                <w:caps w:val="false"/>
                <w:smallCaps w:val="false"/>
                <w:sz w:val="20"/>
              </w:rPr>
              <w:t>as defined in subpart 1300 of Regulation S-K.</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plan to continue to estimate our resources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 In addition, we have continued to define our resource in the NORI Area, with the goal to develop project economics to pre-feasibility level and are working towards a pre-feasibility study, which is nearing completion. As part of our ongoing refinement of our business plans and resource definition work, we are now pursuing a low-capital asset expenditure (“CAPEX”) approach to our development and commercialization of operations for our NORI Area D project where we reuse existing production assets as opposed to the high-CAPEX approach, where the majority of offshore and onshore production assets would be newly built by us as assumed in the 2021 economic analysis included in the NORI Initial Assessment. In addition, we are increasingly focused on advancing our commercial production strategy under the U.S.-based DSHMRA regime. As a result of these changes and the general passage of time since the valuation date of January 1, 2021, the 2021 point-in-time economic analysis included in Section 19 of the NORI Initial Assessment and the estimated capital and operating costs set forth in Section 18 of the NORI Initial Assessment, including any references thereto throughout the NORI Initial Assessment, should no longer be relied upon or used by investors for any reason.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NORI Initial Assessment and TOML Mineral Resource Statement do not include the conversion of mineral resources to mineral reserves.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Likewise, you are cautioned not to assume that all or any part of measured or indicated mineral resources will ever be upgraded to mineral reserves.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information on each of the polymetallic nodule areas in the CCZ and the Technical Reports referred to above can be found in the 2024 Annual Report on Form 10-K. The information contained in this Quarterly Report in Form 10-Q regarding the NORI Area and the TOML Area has been derived from the Technical Reports, is subject to certain assumptions, qualifications and procedures described in the Technical Reports and is qualified in its entirety by the full text of the Technical Reports, each of which is filed as an exhibit to the 2024 Annual Report on Form 10-K.</w:t>
      </w:r>
    </w:p>
    <w:p>
      <w:pPr>
        <w:pStyle w:val="TextBody"/>
        <w:pBdr/>
        <w:bidi w:val="0"/>
        <w:spacing w:before="0" w:after="240"/>
        <w:ind w:left="0" w:right="0" w:hanging="720"/>
        <w:jc w:val="left"/>
        <w:rPr>
          <w:rFonts w:ascii="Times New Roman;Times;serif" w:hAnsi="Times New Roman;Times;serif"/>
          <w:b/>
          <w:sz w:val="20"/>
        </w:rPr>
      </w:pPr>
      <w:bookmarkStart w:id="957" w:name="Item3QuantitativeandQualitativeDisclosur"/>
      <w:bookmarkStart w:id="958" w:name="_8ed81323_4da8_4f0a_b9d3_8bcfc3141f26"/>
      <w:bookmarkEnd w:id="957"/>
      <w:bookmarkEnd w:id="958"/>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 and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rate risk is the risk that the fair value of our future cash flows and our financial instruments will fluctuate because of changes in market interest rates.</w:t>
      </w:r>
    </w:p>
    <w:p>
      <w:pPr>
        <w:pStyle w:val="TextBody"/>
        <w:bidi w:val="0"/>
        <w:spacing w:before="0" w:after="240"/>
        <w:ind w:left="0" w:right="0" w:firstLine="360"/>
        <w:jc w:val="both"/>
        <w:rPr>
          <w:rFonts w:ascii="Times New Roman;Times;serif" w:hAnsi="Times New Roman;Times;serif"/>
          <w:sz w:val="20"/>
        </w:rPr>
      </w:pPr>
      <w:r>
        <w:rPr>
          <w:rFonts w:ascii="Times New Roman PS Std" w:hAnsi="Times New Roman PS Std"/>
          <w:sz w:val="20"/>
        </w:rPr>
        <w:t>Our current practice is to invest excess cash in investment-grade</w:t>
      </w:r>
      <w:r>
        <w:rPr>
          <w:rFonts w:ascii="Times New Roman;Times;serif" w:hAnsi="Times New Roman;Times;serif"/>
          <w:sz w:val="20"/>
        </w:rPr>
        <w:t> </w:t>
      </w:r>
      <w:r>
        <w:rPr>
          <w:rFonts w:ascii="Times New Roman PS Std" w:hAnsi="Times New Roman PS Std"/>
          <w:sz w:val="20"/>
        </w:rPr>
        <w:t>short-term</w:t>
      </w:r>
      <w:r>
        <w:rPr>
          <w:rFonts w:ascii="Times New Roman;Times;serif" w:hAnsi="Times New Roman;Times;serif"/>
          <w:sz w:val="20"/>
        </w:rPr>
        <w:t> </w:t>
      </w:r>
      <w:r>
        <w:rPr>
          <w:rFonts w:ascii="Times New Roman PS Std" w:hAnsi="Times New Roman PS Std"/>
          <w:sz w:val="20"/>
        </w:rPr>
        <w:t>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March 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Regulatory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Both the ISA and the U.S. regime under DSHMRA have not yet been used for commercial production of seafloor polymetallic nodules. To date, NOAA has not issued a commercial recovery permit, and the legal framework, while established, has not yet been applied to the full lifecycle of a seabed mining project. Despite our April 2025 applications now under NOAA review, the applications are subject to an initial determination by NOAA as to substantial compliance and completeness under DSHMRA, and there can be no assurance that such determinations will be favorable, that the applications will proceed to full review without delay, or that NOAA will not request additional information, modifications, or clarifications prior to accepting the applications for full review or that any of the applications will lead to NOAA granting the Company any exploration licenses or a commercial recovery permit on a timely basis or at all, or on commercially viable terms and conditions, which would materially and negatively impact our business, financial condition, liquidity, results of operations and prospects. Although we believe the regulations may allow for a direct or simultaneous application for a commercial recovery permit in cases where sufficient environmental and technical data already exists, there is no assurance that NOAA will agree with this interpretation. If NOAA requires us to begin the permitting process under DSHMRA with an exploration license, this likely would delay our intended commercialization timeline and increase permitting costs and complexity. Also, if TMC USA is required to resubmit any of its applications to NOAA because the initial applications are not in substantial compliance or complete, we could lose rights under DSHMRA to the areas covered by TMC USA’s initial applications if NOAA received another application covering the same areas before TMC USA resubmits the applications. In addition, there is no assurance that we will be able to comply with, or obtain a waiver of, the requirement under DSHMRA that minerals be processed in the 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permitting under DSHMRA will subject us to a complex regulatory system in the United States which we are currently analyzing to determine applicability and how compliance will impact our development plans and potential commercial operations. For example, we will be subject to the Merchant Marine Act of 1920 and will need to be in full compliance with U.S. environmental laws, and NOAA may deny a commercial recovery permit if it determines that significant adverse environmental effects cannot be adequately mitigated. The review and approval process will also be subject to a full EIS process under NEPA, as well as public comment and potential legal challenge in U.S. courts by third parties. Although the recent Executive Order signed by President Trump on April 24, 2025 directs the Commerce Secretary to implement an expedited permitting process under DSHMRA, the timing of license or permit issuance remains uncertain, as there is no statutory deadline under DSHMRA and actual review timelines will depend on the scope and outcome of NOAA’s assessment.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Risks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exposed to a variety of markets and other risks including the effects of inflation and foreign currency translation, commodity pricing risks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pStyle w:val="TextBody"/>
        <w:bidi w:val="0"/>
        <w:spacing w:before="0" w:after="0"/>
        <w:ind w:left="0" w:right="0" w:hanging="0"/>
        <w:jc w:val="left"/>
        <w:rPr/>
      </w:pPr>
      <w:r>
        <w:rPr/>
        <w:t>​</w:t>
      </w:r>
    </w:p>
    <w:p>
      <w:pPr>
        <w:pStyle w:val="TextBody"/>
        <w:pBdr/>
        <w:bidi w:val="0"/>
        <w:spacing w:before="0" w:after="240"/>
        <w:ind w:left="0" w:right="0" w:hanging="720"/>
        <w:jc w:val="left"/>
        <w:rPr>
          <w:rFonts w:ascii="Times New Roman;Times;serif" w:hAnsi="Times New Roman;Times;serif"/>
          <w:b/>
          <w:sz w:val="20"/>
        </w:rPr>
      </w:pPr>
      <w:bookmarkStart w:id="959" w:name="Item4ControlsandProcedures_279483"/>
      <w:bookmarkStart w:id="960" w:name="_31583475_7ca0_4937_97ae_f37cc75b9c90"/>
      <w:bookmarkEnd w:id="959"/>
      <w:bookmarkEnd w:id="960"/>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not effective as of March 31, 2025, as a result of a material weakness in our internal control over financial reporting as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Material Weaknesses in Internal Control over Financial Reporting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previously disclosed in our 2024 Annual Report on Form 10-K, management identified a material weakness in the operating effectiveness of our internal controls over the accounting for significant non-routine transactions that resulted from the inadequate and untimely involvement of stakeholders and technical advisors with an appropriate level of expertise to account for a non-routine, unusual and complex transaction.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This material weakness resulted in errors in the financial statements and related disclosures in our Quarterly Reports on Form 10-Q for the quarter ended March 31, 2023, and for the six months ended June 30, 2023 and nine months ended September 30, 2023. See Note 22 to the audited consolidated financial statements for the year ended December 31, 2023, included in our 2023 Annual Report on form 10-K for more information about these errors and our revisions to these previously issued financial statements in our financial statements as of and for the year ended December 31, 2023, as included in the 2023 Annual report on Form 10-K.</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order to remediate this material weakness, during 2024, we developed a policy to assist with the identification of significant, non-routine transactions and to define the processes to follow in addressing the accounting and reporting requirements of these transactions. In addition, we rolled out training on processes and controls related to significant, non-routine transactions and identifying circumstances under which we use technical advisors in connection with evaluating such transactions. During the fourth quarter of 2024, we identified a significant, non-routine transaction that occurred and we applied the processes as required under the new policy. Although management believes the new policy, processes and training worked effectively for this significant, non-routine transaction, the new internal control over significant, non-routine transactions needs to be in operation and tested for sufficient instances to be considered effective and, therefore, these changes can only be deemed effective once they have been in place over a longer time period and applied in additional instances.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will continue to review the effectiveness of our newly implemented controls and make improvements as warranted. This is no assurance, however, that these control modifications will ultimately have the intended effects.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Notwithstanding our material weakness, we have concluded that our unaudited condensed consolidated interim financial statements included in this Quarterly Report on Form 10-Q fairly present in all material respects our financial condition, results of operations and cash flows for the periods presented in conformity with U.S. GAAP.</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connection with the evaluation of such internal controls that occurred during the first quarter ended March 31, 2025 that have materially affected, or are reasonably likely to materially affect, our internal control over financial reporting.</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Limitations on the Effectiveness of Disclosure Controls and Procedures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61" w:name="PARTIIOTHERINFORMATION_322011"/>
      <w:bookmarkStart w:id="962" w:name="_ed0cd4a8_ec96_4b35_aa06_ae99ca00cff2"/>
      <w:bookmarkEnd w:id="961"/>
      <w:bookmarkEnd w:id="962"/>
      <w:r>
        <w:rPr>
          <w:rFonts w:ascii="Times New Roman;Times;serif" w:hAnsi="Times New Roman;Times;serif"/>
          <w:b/>
          <w:sz w:val="20"/>
        </w:rPr>
        <w:t>PART II – OTHER INFORMATION</w:t>
      </w:r>
    </w:p>
    <w:p>
      <w:pPr>
        <w:pStyle w:val="TextBody"/>
        <w:pBdr/>
        <w:bidi w:val="0"/>
        <w:spacing w:before="0" w:after="240"/>
        <w:ind w:left="0" w:right="0" w:hanging="825"/>
        <w:jc w:val="left"/>
        <w:rPr>
          <w:rFonts w:ascii="Times New Roman;Times;serif" w:hAnsi="Times New Roman;Times;serif"/>
          <w:b/>
          <w:sz w:val="20"/>
        </w:rPr>
      </w:pPr>
      <w:bookmarkStart w:id="963" w:name="ITEM1LEGALPROCEEDINGS_208283"/>
      <w:bookmarkEnd w:id="963"/>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set forth below, we are not currently a party to any material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28, 2021, a shareholder filed a putative class action against us, one of our executive and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 We understand that Mr. Leonard is now deceased. As of the date of this filing, plaintiffs have not filed a motion to substitute his estate, and it is unclear whether they intend to continue the claims against his estate.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 appeal was heard on November 8, 2024. The NY Appellate Division upheld the lower court’s ruling in December 2024, moving the case into the discovery phase.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70"/>
        <w:ind w:left="0" w:right="0" w:firstLine="360"/>
        <w:jc w:val="both"/>
        <w:rPr>
          <w:rFonts w:ascii="Times New Roman;Times;serif" w:hAnsi="Times New Roman;Times;serif"/>
          <w:sz w:val="20"/>
        </w:rPr>
      </w:pPr>
      <w:r>
        <w:rPr>
          <w:rFonts w:ascii="Times New Roman;Times;serif" w:hAnsi="Times New Roman;Times;serif"/>
          <w:sz w:val="20"/>
        </w:rPr>
        <w:t>On November 8, 2024, a shareholder filed a putative class action against us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our initial classification of this non-financial asset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our securities between May 12, 2023, and March 25, 2024, and seeks to recover compensable damages caused by the alleged wrongdoings. On February 6, 2025, the Court appointed a lead plaintiff. An amended complaint was filed on March 6, 2025. Pursuant to court-approved scheduling, we filed our motion to dismiss on April 10, 2025. The lead plaintiff is expected to file an opposition by May 15, 2025, and we are expected to reply by June 5, 2025. We intend to defend against the lawsuit. There can be no assurance, however, that we will be successful in our defense, or that insurance will be available or adequate to fund any settlement or judgment or the litigation costs of this action. Due to the early stage of this litigation, such losses or range of possible losses cannot be reliably estimated.</w:t>
      </w:r>
    </w:p>
    <w:p>
      <w:pPr>
        <w:pStyle w:val="TextBody"/>
        <w:pBdr/>
        <w:bidi w:val="0"/>
        <w:spacing w:before="0" w:after="170"/>
        <w:ind w:left="0" w:right="0" w:hanging="907"/>
        <w:jc w:val="left"/>
        <w:rPr>
          <w:rFonts w:ascii="Times New Roman;Times;serif" w:hAnsi="Times New Roman;Times;serif"/>
          <w:b/>
          <w:sz w:val="20"/>
        </w:rPr>
      </w:pPr>
      <w:bookmarkStart w:id="964" w:name="ITEM1ARISKFACTORS_765069"/>
      <w:bookmarkStart w:id="965" w:name="_b54de25e_22cd_44dd_ad3d_20d4a04ff831"/>
      <w:bookmarkEnd w:id="964"/>
      <w:bookmarkEnd w:id="965"/>
      <w:r>
        <w:rPr>
          <w:rFonts w:ascii="Times New Roman;Times;serif" w:hAnsi="Times New Roman;Times;serif"/>
          <w:b/>
          <w:sz w:val="20"/>
        </w:rPr>
        <w:t>ITEM 1A.  RISK FACTORS.</w:t>
      </w:r>
    </w:p>
    <w:p>
      <w:pPr>
        <w:pStyle w:val="TextBody"/>
        <w:bidi w:val="0"/>
        <w:spacing w:before="0" w:after="17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You should carefully review and consider the information regarding certain factors that could materially affect our business, consolidated financial condition or results of operations set forth under Item 1A. Risk Factors in our 2024 Annual Report on Form 10-K. Other than noted below, there have been no material changes from or additions to the risk factors disclosed in our 2024 Annual Report on Form 10-K. We may disclose changes to risk factors or additional factors from time to time in our future filings with the SEC.</w:t>
      </w:r>
    </w:p>
    <w:p>
      <w:pPr>
        <w:pStyle w:val="TextBody"/>
        <w:bidi w:val="0"/>
        <w:spacing w:before="0" w:after="17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Our efforts to pursue deep-sea nodule exploration licenses and a commercial recovery permit under the U.S. Deep Seabed Hard Mineral Resources Act may subject us to conflicting regulatory regimes, uncertain legal interpretations, and operational risks that could adversely affect our business.</w:t>
      </w:r>
    </w:p>
    <w:p>
      <w:pPr>
        <w:pStyle w:val="TextBody"/>
        <w:bidi w:val="0"/>
        <w:spacing w:before="0" w:after="17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We have initiated a U.S.-based regulatory pathway with the U.S. Department of Commerce and NOAA under DSHMRA for the commercial recovery of polymetallic nodules in the CCZ, while maintaining our rights under our exploration contracts issued by the ISA under UNCLOS. We are now prioritizing this U.S. pathway, while preserving our rights under our subsidiaries’ ISA exploration contracts. Although we believe this dual-path approach enhances optionality, it introduces additional risks and complexities.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Both the ISA under UNCLOS and the U.S. regime under DSHMRA have not yet been used for commercial production of seafloor polymetallic nodules. To date, NOAA has not issued a commercial recovery permit, and the legal framework, while established, has not yet been applied to the full lifecycle of a seabed mining project. Despite our April 2025 applications now under NOAA review, the applications are subject to an initial determination by NOAA as to substantial compliance and completeness under DSHMRA, and there can be no assurance that such determinations will be favorable, that the applications will proceed to full review without delay, or that NOAA will not request additional information, modifications, or clarifications prior to accepting the applications for full review or that any of the applications will lead to NOAA granting the Company any exploration licenses or a commercial recovery permit on a timely basis or at all, or on commercially viable terms and conditions, which would materially and negatively impact our business, financial condition, liquidity, results of operations and prospects. In particular, NOAA’s regulations have been interpreted by some as requiring a sequential process in which an exploration license must first be obtained before a commercial recovery permit can be granted. Although we believe the regulations may allow for a direct or simultaneous application for a commercial recovery permit in cases where sufficient environmental and technical data already exists, there is no assurance that NOAA will agree with this interpretation. If NOAA requires us to begin the permitting process under DSHMRA with an exploration license, this likely would delay our intended commercialization timeline and increase permitting costs and complexity. Also, if TMC USA is required to resubmit any of its applications to NOAA because the initial applications are not in substantial compliance or complete, we could lose rights under DSHMRA to the areas covered by TMC USA’s initial applications if NOAA received another application covering the same areas before TMC USA resubmits the applications. In addition, there is no assurance that we will be able to comply with, or obtain a waiver of, the requirement under DSHMRA that minerals be processed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addition, permitting under DSHMRA will subject us to a complex regulatory system in the United States which we are in the initial stages of analyzing to determine applicability and how compliance will impact our development plans and potential commercial operations. For example, we will be subject to the Merchant Marine Act of 1920 and will need to be in full compliance with U.S. environmental laws, and NOAA may deny a commercial recovery permit if it determines that significant adverse environmental effects cannot be adequately mitigated. The review and approval process will also be subject to a full EIS process under NEPA, as well as public comment and potential legal challenge in U.S. courts by third parties. Although the recent Executive Order signed by President Trump on April 24, 2025 directs the Commerce Secretary to implement an expedited permitting process under DSHMRA, the timing of license or permit issuance remains uncertain, as there is no statutory deadline under DSHMRA and actual review timelines will depend on the scope and outcome of NOAA’s assessment.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Moreover, a U.S.-issued permit would be a unilateral authorization by the United States not formally recognized by the ISA or by countries that are parties to UNCLOS. We do not believe pursuing licenses and permits with NOAA under DSHMRA nullifies our ISA exploration contracts or our sponsorship contracts with the Republic of Nauru and the Kingdom of Tonga, and we believe NORI and TOML are in compliance with each of their ISA exploration contracts and each of their sponsorship contracts. There can be no assurances, however, that the ISA may not attempt to suspend or terminate our existing exploration contracts or that it will renew our NORI exploration contract when it expires in July 2026 or our TOML exploration contract when it expires in January 2027. Nor can there be assurances that our sponsorship contracts will not be suspended or terminated. In addition, if we proceed under the DSHMRA regime and secure U.S. permits, we may need to relinquish or suspend overlapping rights held under our ISA exploration contracts, which could raise diplomatic concerns or be perceived as undermining the ISA’s authority and allow the ISA to grant rights to these overlapping areas to other parties. While we believe our dual-path strategy is legally sound and the Trump administration, the U.S. Department of Commerce and NOAA have stated that U.S. companies can apply for exploration licenses and commercial recovery permits for deep-sea mining in ocean areas beyond national jurisdiction under DSHMRA, the announcement or implementation of this strategy may cause additional regulatory and political tensions, delay ISA decision-making, or impair our ability to secure or maintain exploration contracts or an exploitation contract under the ISA framework and may result in our need to engage in costly and time-consuming litigation to enforce our rights. In addition, a commercial recovery permit issued to us under DSHMRA, if any, may not be recognized by countries that are parties to UNCLOS or by the ISA and may be regarded by UNCLOS parties and the ISA as a violation of international law, including UNCLOS, which could affect international perceptions of the project, and could have implications for logistics, processing, and market access in UNCLOS parties for seabed minerals extracted under a U.S. license or permit and for downstream products containing them, or for partnerships involving foreign entities, and could also result in actions, pursuant to UNCLOS, against us under the national laws of UNCLOS parties, any or all of which could have a material adverse affect on our business, financial condition, liquidity, results of operations and prospects.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Success under the U.S. regulatory pathway will also require continued policy support from the U.S. executive branch and agencies such as NOAA and the Department of Commerce. Shifts in U.S. political priorities, legal interpretations, or agency leadership could adversely affect our ability to obtain and maintain required approvals or to rely on DSHMRA as a viable permitting pathway.</w:t>
      </w:r>
    </w:p>
    <w:p>
      <w:pPr>
        <w:pStyle w:val="TextBody"/>
        <w:pBdr/>
        <w:bidi w:val="0"/>
        <w:spacing w:before="0" w:after="240"/>
        <w:ind w:left="0" w:right="0" w:hanging="855"/>
        <w:jc w:val="left"/>
        <w:rPr>
          <w:rFonts w:ascii="Times New Roman;Times;serif" w:hAnsi="Times New Roman;Times;serif"/>
          <w:b/>
          <w:sz w:val="20"/>
        </w:rPr>
      </w:pPr>
      <w:bookmarkStart w:id="966" w:name="ITEM2UNREGISTEREDSALESOFEQUITYSECURITIES"/>
      <w:bookmarkStart w:id="967" w:name="_a93b2535_7f6f_4ff3_8b1a_a01f57621a0f"/>
      <w:bookmarkEnd w:id="966"/>
      <w:bookmarkEnd w:id="967"/>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Issuer Purchases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did not repurchase any of our equity securities during the three months ended March 31, 2025.</w:t>
      </w:r>
    </w:p>
    <w:p>
      <w:pPr>
        <w:pStyle w:val="TextBody"/>
        <w:pBdr/>
        <w:bidi w:val="0"/>
        <w:spacing w:before="0" w:after="240"/>
        <w:ind w:left="0" w:right="0" w:hanging="850"/>
        <w:jc w:val="left"/>
        <w:rPr>
          <w:rFonts w:ascii="Times New Roman;Times;serif" w:hAnsi="Times New Roman;Times;serif"/>
          <w:b/>
          <w:sz w:val="20"/>
        </w:rPr>
      </w:pPr>
      <w:bookmarkStart w:id="968" w:name="ITEM3DEFAULTSUPONSENIORSECURITIES_440018"/>
      <w:bookmarkStart w:id="969" w:name="_832b5438_9145_4eff_ba5c_1160503513d7"/>
      <w:bookmarkEnd w:id="968"/>
      <w:bookmarkEnd w:id="969"/>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855"/>
        <w:jc w:val="left"/>
        <w:rPr>
          <w:rFonts w:ascii="Times New Roman;Times;serif" w:hAnsi="Times New Roman;Times;serif"/>
          <w:b/>
          <w:sz w:val="20"/>
        </w:rPr>
      </w:pPr>
      <w:bookmarkStart w:id="970" w:name="ITEM4MINESAFETYDISCLOSURES_620629"/>
      <w:bookmarkStart w:id="971" w:name="_5652d3d7_071d_4d48_b60f_44d1fe26cfff"/>
      <w:bookmarkEnd w:id="970"/>
      <w:bookmarkEnd w:id="971"/>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850"/>
        <w:jc w:val="left"/>
        <w:rPr>
          <w:rFonts w:ascii="Times New Roman;Times;serif" w:hAnsi="Times New Roman;Times;serif"/>
          <w:b/>
          <w:sz w:val="20"/>
        </w:rPr>
      </w:pPr>
      <w:bookmarkStart w:id="972" w:name="ITEM5OTHERINFORMATION_798310"/>
      <w:bookmarkStart w:id="973" w:name="_dafa6d8d_5b10_49ac_ab42_4d89d9b135ad"/>
      <w:bookmarkEnd w:id="972"/>
      <w:bookmarkEnd w:id="973"/>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10b5-1 Trading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2025,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Board Observer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12, 2025, we entered into a Board Observer Agreement with Zachary A. Wydra, the Chief Executive Officer of First Manhattan Co. LLC and related entities and portfolio manager of certain accounts managed by First Manhattan Co. LLC, a beneficial owner of more than five percent (5%) of our issued and outstanding common shares, under which Mr. Wydra will serve as a non-voting observer to our board of directors, whereby he may have access to certain information and attend and provide input at meetings of our board of directors, subject to certain limitations. Mr. Wydra will not receive any compensation for his role as a board observer.  The foregoing description of the Board Observer Agreement does not purport to be a complete description of the rights and obligations of the parties thereunder and is qualified in its entirety by reference to the full text of the Board Observer Agreement which we expect to attach as an Exhibit to our Quarterly Report on Form 10-Q for the quarter ended June 30, 2025 and incorporated therein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00"/>
        <w:ind w:left="0" w:right="0" w:hanging="850"/>
        <w:jc w:val="left"/>
        <w:rPr>
          <w:rFonts w:ascii="Times New Roman;Times;serif" w:hAnsi="Times New Roman;Times;serif"/>
          <w:b/>
          <w:sz w:val="20"/>
        </w:rPr>
      </w:pPr>
      <w:bookmarkStart w:id="974" w:name="ITEM_6_EXHIBITS"/>
      <w:bookmarkStart w:id="975" w:name="_bc713ab4_005b_4732_af17_d7d2b12dca3c"/>
      <w:bookmarkEnd w:id="974"/>
      <w:bookmarkEnd w:id="975"/>
      <w:r>
        <w:rPr>
          <w:rFonts w:ascii="Times New Roman;Times;serif" w:hAnsi="Times New Roman;Times;serif"/>
          <w:b/>
          <w:sz w:val="20"/>
        </w:rPr>
        <w:t>ITEM 6.    EXHIBITS.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0" w:type="dxa"/>
          <w:left w:w="0" w:type="dxa"/>
          <w:bottom w:w="28" w:type="dxa"/>
          <w:right w:w="0" w:type="dxa"/>
        </w:tblCellMar>
      </w:tblPr>
      <w:tblGrid>
        <w:gridCol w:w="720"/>
        <w:gridCol w:w="326"/>
        <w:gridCol w:w="4219"/>
        <w:gridCol w:w="326"/>
        <w:gridCol w:w="876"/>
        <w:gridCol w:w="326"/>
        <w:gridCol w:w="1143"/>
        <w:gridCol w:w="326"/>
        <w:gridCol w:w="621"/>
        <w:gridCol w:w="326"/>
        <w:gridCol w:w="996"/>
      </w:tblGrid>
      <w:tr>
        <w:trPr/>
        <w:tc>
          <w:tcPr>
            <w:tcW w:w="7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421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Herewith</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114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Incorporated by</w:t>
              <w:br/>
              <w:t>Reference Herein</w:t>
              <w:br/>
              <w:t>from</w:t>
            </w:r>
            <w:r>
              <w:rPr>
                <w:rFonts w:ascii="Times New Roman;Times;serif" w:hAnsi="Times New Roman;Times;serif"/>
                <w:sz w:val="16"/>
              </w:rPr>
              <w:t xml:space="preserve"> </w:t>
              <w:br/>
            </w:r>
            <w:r>
              <w:rPr>
                <w:rFonts w:ascii="Times New Roman;Times;serif" w:hAnsi="Times New Roman;Times;serif"/>
                <w:b/>
                <w:sz w:val="16"/>
              </w:rPr>
              <w:t>Form or Schedule</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6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9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SEC File/</w:t>
            </w:r>
            <w:r>
              <w:rPr>
                <w:rFonts w:ascii="Times New Roman;Times;serif" w:hAnsi="Times New Roman;Times;serif"/>
                <w:sz w:val="16"/>
              </w:rPr>
              <w:t xml:space="preserve"> </w:t>
            </w:r>
            <w:r>
              <w:rPr>
                <w:rFonts w:ascii="Times New Roman;Times;serif" w:hAnsi="Times New Roman;Times;serif"/>
                <w:b/>
                <w:sz w:val="16"/>
              </w:rPr>
              <w:t>Reg. Number</w:t>
            </w:r>
          </w:p>
        </w:tc>
      </w:tr>
      <w:tr>
        <w:trPr/>
        <w:tc>
          <w:tcPr>
            <w:tcW w:w="7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219" w:type="dxa"/>
            <w:tcBorders/>
            <w:shd w:fill="CCEEFF" w:val="clear"/>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Letter Agreement, dated March 24, 2025, by and among the Company, Allseas Investments SA and Argentum Cedit Virtuti GCV</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Form 10-K</w:t>
            </w:r>
          </w:p>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(Exhibit 10.41)</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6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03/27/2025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99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001-39281</w:t>
            </w:r>
          </w:p>
        </w:tc>
      </w:tr>
      <w:tr>
        <w:trPr/>
        <w:tc>
          <w:tcPr>
            <w:tcW w:w="72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1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62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996" w:type="dxa"/>
            <w:tcBorders/>
            <w:tcMar>
              <w:bottom w:w="0" w:type="dxa"/>
            </w:tcMar>
            <w:vAlign w:val="center"/>
          </w:tcPr>
          <w:p>
            <w:pPr>
              <w:pStyle w:val="TableContents"/>
              <w:bidi w:val="0"/>
              <w:spacing w:before="0" w:after="0"/>
              <w:ind w:left="0" w:right="0" w:hanging="0"/>
              <w:jc w:val="center"/>
              <w:rPr/>
            </w:pPr>
            <w:r>
              <w:rPr/>
              <w:t>​</w:t>
            </w:r>
          </w:p>
        </w:tc>
      </w:tr>
      <w:tr>
        <w:trPr/>
        <w:tc>
          <w:tcPr>
            <w:tcW w:w="7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10.2</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219" w:type="dxa"/>
            <w:tcBorders/>
            <w:shd w:fill="CCEEFF" w:val="clear"/>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Third Amendment to the Unsecured Credit Facility, dated March 26, 2025, by and between TMC the metals company Inc. and Gerard Barron and ERAS Capital LLC</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Form 10-K</w:t>
            </w:r>
          </w:p>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(Exhibit 10.45)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6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7"/>
              </w:rPr>
              <w:t>03/2</w:t>
            </w:r>
            <w:r>
              <w:rPr>
                <w:rFonts w:ascii="Times New Roman;Times;serif" w:hAnsi="Times New Roman;Times;serif"/>
                <w:sz w:val="20"/>
              </w:rPr>
              <w:t>7</w:t>
            </w:r>
            <w:r>
              <w:rPr>
                <w:rFonts w:ascii="Times New Roman;Times;serif" w:hAnsi="Times New Roman;Times;serif"/>
                <w:sz w:val="17"/>
              </w:rPr>
              <w:t>/2025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99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001-39281</w:t>
            </w:r>
          </w:p>
        </w:tc>
      </w:tr>
      <w:tr>
        <w:trPr/>
        <w:tc>
          <w:tcPr>
            <w:tcW w:w="72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1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62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996" w:type="dxa"/>
            <w:tcBorders/>
            <w:tcMar>
              <w:bottom w:w="0" w:type="dxa"/>
            </w:tcMar>
            <w:vAlign w:val="center"/>
          </w:tcPr>
          <w:p>
            <w:pPr>
              <w:pStyle w:val="TableContents"/>
              <w:bidi w:val="0"/>
              <w:spacing w:before="0" w:after="0"/>
              <w:ind w:left="0" w:right="0" w:hanging="0"/>
              <w:jc w:val="center"/>
              <w:rPr/>
            </w:pPr>
            <w:r>
              <w:rPr/>
              <w:t>​</w:t>
            </w:r>
          </w:p>
        </w:tc>
      </w:tr>
      <w:tr>
        <w:trPr/>
        <w:tc>
          <w:tcPr>
            <w:tcW w:w="7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10.3</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219" w:type="dxa"/>
            <w:tcBorders/>
            <w:shd w:fill="CCEEFF" w:val="clear"/>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Form of Class C Warrant to Purchase Common Shares</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Form 8-K</w:t>
            </w:r>
          </w:p>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(Exhibit 4.1)</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6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05/12/2025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99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001-39281</w:t>
            </w:r>
          </w:p>
        </w:tc>
      </w:tr>
      <w:tr>
        <w:trPr/>
        <w:tc>
          <w:tcPr>
            <w:tcW w:w="72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1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62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996" w:type="dxa"/>
            <w:tcBorders/>
            <w:tcMar>
              <w:bottom w:w="0" w:type="dxa"/>
            </w:tcMar>
            <w:vAlign w:val="center"/>
          </w:tcPr>
          <w:p>
            <w:pPr>
              <w:pStyle w:val="TableContents"/>
              <w:bidi w:val="0"/>
              <w:spacing w:before="0" w:after="0"/>
              <w:ind w:left="0" w:right="0" w:hanging="0"/>
              <w:jc w:val="center"/>
              <w:rPr/>
            </w:pPr>
            <w:r>
              <w:rPr/>
              <w:t>​</w:t>
            </w:r>
          </w:p>
        </w:tc>
      </w:tr>
      <w:tr>
        <w:trPr/>
        <w:tc>
          <w:tcPr>
            <w:tcW w:w="7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10.4</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219" w:type="dxa"/>
            <w:tcBorders/>
            <w:shd w:fill="CCEEFF" w:val="clear"/>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Form of Securities Purchase Agreement</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Form 8-K</w:t>
            </w:r>
          </w:p>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(Exhibit 10.1)</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6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05/12/2025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99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001-39281</w:t>
            </w:r>
          </w:p>
        </w:tc>
      </w:tr>
      <w:tr>
        <w:trPr/>
        <w:tc>
          <w:tcPr>
            <w:tcW w:w="72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1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2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96" w:type="dxa"/>
            <w:tcBorders/>
            <w:tcMar>
              <w:bottom w:w="0" w:type="dxa"/>
            </w:tcMar>
            <w:vAlign w:val="center"/>
          </w:tcPr>
          <w:p>
            <w:pPr>
              <w:pStyle w:val="TableContents"/>
              <w:bidi w:val="0"/>
              <w:spacing w:before="0" w:after="0"/>
              <w:ind w:left="0" w:right="0" w:hanging="0"/>
              <w:jc w:val="left"/>
              <w:rPr/>
            </w:pPr>
            <w:r>
              <w:rPr/>
              <w:t>​</w:t>
            </w:r>
          </w:p>
        </w:tc>
      </w:tr>
      <w:tr>
        <w:trPr/>
        <w:tc>
          <w:tcPr>
            <w:tcW w:w="720" w:type="dxa"/>
            <w:tcBorders/>
            <w:shd w:fill="CCEEFF" w:val="clear"/>
            <w:tcMar>
              <w:bottom w:w="0" w:type="dxa"/>
            </w:tcMar>
            <w:vAlign w:val="center"/>
          </w:tcPr>
          <w:p>
            <w:pPr>
              <w:pStyle w:val="TableContents"/>
              <w:bidi w:val="0"/>
              <w:spacing w:before="0" w:after="0"/>
              <w:ind w:left="0" w:right="0" w:hanging="0"/>
              <w:jc w:val="left"/>
              <w:rPr/>
            </w:pPr>
            <w:hyperlink w:anchor="tmc-20250331xex31d1.htm">
              <w:r>
                <w:rPr>
                  <w:rStyle w:val="InternetLink"/>
                  <w:rFonts w:ascii="Times New Roman;Times;serif" w:hAnsi="Times New Roman;Times;serif"/>
                  <w:b w:val="false"/>
                  <w:i w:val="false"/>
                  <w:caps w:val="false"/>
                  <w:smallCaps w:val="false"/>
                  <w:sz w:val="20"/>
                </w:rPr>
                <w:t>31.1</w:t>
              </w:r>
            </w:hyperlink>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219" w:type="dxa"/>
            <w:tcBorders/>
            <w:shd w:fill="CCEEFF" w:val="clear"/>
            <w:tcMar>
              <w:bottom w:w="0" w:type="dxa"/>
            </w:tcMar>
            <w:vAlign w:val="center"/>
          </w:tcPr>
          <w:p>
            <w:pPr>
              <w:pStyle w:val="TableContents"/>
              <w:bidi w:val="0"/>
              <w:spacing w:before="0" w:after="0"/>
              <w:ind w:left="0" w:right="0" w:hanging="0"/>
              <w:jc w:val="left"/>
              <w:rPr/>
            </w:pPr>
            <w:hyperlink w:anchor="tmc-20250331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621" w:type="dxa"/>
            <w:tcBorders/>
            <w:shd w:fill="CCEEFF" w:val="clear"/>
            <w:tcMar>
              <w:bottom w:w="0" w:type="dxa"/>
            </w:tcMar>
            <w:vAlign w:val="center"/>
          </w:tcPr>
          <w:p>
            <w:pPr>
              <w:pStyle w:val="TableContents"/>
              <w:bidi w:val="0"/>
              <w:spacing w:before="0" w:after="0"/>
              <w:ind w:left="0" w:right="0" w:hanging="0"/>
              <w:jc w:val="left"/>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99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001-39281</w:t>
            </w:r>
          </w:p>
        </w:tc>
      </w:tr>
      <w:tr>
        <w:trPr/>
        <w:tc>
          <w:tcPr>
            <w:tcW w:w="720" w:type="dxa"/>
            <w:tcBorders/>
            <w:tcMar>
              <w:bottom w:w="0" w:type="dxa"/>
            </w:tcMar>
            <w:vAlign w:val="center"/>
          </w:tcPr>
          <w:p>
            <w:pPr>
              <w:pStyle w:val="TableContents"/>
              <w:bidi w:val="0"/>
              <w:spacing w:before="0" w:after="0"/>
              <w:ind w:left="0" w:right="0" w:hanging="0"/>
              <w:jc w:val="left"/>
              <w:rPr/>
            </w:pPr>
            <w:hyperlink w:anchor="tmc-20250331xex31d2.htm">
              <w:r>
                <w:rPr>
                  <w:rStyle w:val="InternetLink"/>
                  <w:rFonts w:ascii="Times New Roman;Times;serif" w:hAnsi="Times New Roman;Times;serif"/>
                  <w:b w:val="false"/>
                  <w:i w:val="false"/>
                  <w:caps w:val="false"/>
                  <w:smallCaps w:val="false"/>
                  <w:sz w:val="20"/>
                </w:rPr>
                <w:t>31.2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219" w:type="dxa"/>
            <w:tcBorders/>
            <w:tcMar>
              <w:bottom w:w="0" w:type="dxa"/>
            </w:tcMar>
            <w:vAlign w:val="center"/>
          </w:tcPr>
          <w:p>
            <w:pPr>
              <w:pStyle w:val="TableContents"/>
              <w:bidi w:val="0"/>
              <w:spacing w:before="0" w:after="0"/>
              <w:ind w:left="0" w:right="0" w:hanging="0"/>
              <w:jc w:val="left"/>
              <w:rPr/>
            </w:pPr>
            <w:hyperlink w:anchor="tmc-20250331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2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96" w:type="dxa"/>
            <w:tcBorders/>
            <w:tcMar>
              <w:bottom w:w="0" w:type="dxa"/>
            </w:tcMar>
            <w:vAlign w:val="center"/>
          </w:tcPr>
          <w:p>
            <w:pPr>
              <w:pStyle w:val="TableContents"/>
              <w:bidi w:val="0"/>
              <w:spacing w:before="0" w:after="0"/>
              <w:ind w:left="0" w:right="0" w:hanging="0"/>
              <w:jc w:val="left"/>
              <w:rPr/>
            </w:pPr>
            <w:r>
              <w:rPr/>
              <w:t>​</w:t>
            </w:r>
          </w:p>
        </w:tc>
      </w:tr>
      <w:tr>
        <w:trPr/>
        <w:tc>
          <w:tcPr>
            <w:tcW w:w="720" w:type="dxa"/>
            <w:tcBorders/>
            <w:shd w:fill="CCEEFF" w:val="clear"/>
            <w:tcMar>
              <w:bottom w:w="0" w:type="dxa"/>
            </w:tcMar>
            <w:vAlign w:val="center"/>
          </w:tcPr>
          <w:p>
            <w:pPr>
              <w:pStyle w:val="TableContents"/>
              <w:bidi w:val="0"/>
              <w:spacing w:before="0" w:after="0"/>
              <w:ind w:left="0" w:right="0" w:hanging="0"/>
              <w:jc w:val="left"/>
              <w:rPr/>
            </w:pPr>
            <w:hyperlink w:anchor="tmc-20250331xex32.htm">
              <w:r>
                <w:rPr>
                  <w:rStyle w:val="InternetLink"/>
                  <w:rFonts w:ascii="Times New Roman;Times;serif" w:hAnsi="Times New Roman;Times;serif"/>
                  <w:b w:val="false"/>
                  <w:i w:val="false"/>
                  <w:caps w:val="false"/>
                  <w:smallCaps w:val="false"/>
                  <w:sz w:val="20"/>
                </w:rPr>
                <w:t>32*</w:t>
              </w:r>
            </w:hyperlink>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219" w:type="dxa"/>
            <w:tcBorders/>
            <w:shd w:fill="CCEEFF" w:val="clear"/>
            <w:tcMar>
              <w:bottom w:w="0" w:type="dxa"/>
            </w:tcMar>
            <w:vAlign w:val="center"/>
          </w:tcPr>
          <w:p>
            <w:pPr>
              <w:pStyle w:val="TableContents"/>
              <w:bidi w:val="0"/>
              <w:spacing w:before="0" w:after="0"/>
              <w:ind w:left="0" w:right="0" w:hanging="0"/>
              <w:jc w:val="left"/>
              <w:rPr/>
            </w:pPr>
            <w:hyperlink w:anchor="tmc-20250331xex32.htm">
              <w:r>
                <w:rPr>
                  <w:rStyle w:val="InternetLink"/>
                  <w:rFonts w:ascii="Times New Roman;Times;serif" w:hAnsi="Times New Roman;Times;serif"/>
                  <w:b w:val="false"/>
                  <w:i w:val="false"/>
                  <w:caps w:val="false"/>
                  <w:smallCaps w:val="false"/>
                  <w:sz w:val="20"/>
                </w:rPr>
                <w:t>Certifications of the Chief Executive Officer and Chief Financial Officer pursuant to Section 906 of the Sarbanes-Oxley Act of 2002</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621" w:type="dxa"/>
            <w:tcBorders/>
            <w:shd w:fill="CCEEFF" w:val="clear"/>
            <w:tcMar>
              <w:bottom w:w="0" w:type="dxa"/>
            </w:tcMar>
            <w:vAlign w:val="center"/>
          </w:tcPr>
          <w:p>
            <w:pPr>
              <w:pStyle w:val="TableContents"/>
              <w:bidi w:val="0"/>
              <w:spacing w:before="0" w:after="0"/>
              <w:ind w:left="0" w:right="0" w:hanging="0"/>
              <w:jc w:val="left"/>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996"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720"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101.INS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1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Instance Document (the instance document does not appear in the Interactive Data File because its XBRL tags are embedded within the Inline XBRL document)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2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96" w:type="dxa"/>
            <w:tcBorders/>
            <w:tcMar>
              <w:bottom w:w="0" w:type="dxa"/>
            </w:tcMar>
            <w:vAlign w:val="center"/>
          </w:tcPr>
          <w:p>
            <w:pPr>
              <w:pStyle w:val="TableContents"/>
              <w:bidi w:val="0"/>
              <w:spacing w:before="0" w:after="0"/>
              <w:ind w:left="0" w:right="0" w:hanging="0"/>
              <w:jc w:val="left"/>
              <w:rPr/>
            </w:pPr>
            <w:r>
              <w:rPr/>
              <w:t>​</w:t>
            </w:r>
          </w:p>
        </w:tc>
      </w:tr>
      <w:tr>
        <w:trPr/>
        <w:tc>
          <w:tcPr>
            <w:tcW w:w="720"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101.SCH</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2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Schema Document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621" w:type="dxa"/>
            <w:tcBorders/>
            <w:shd w:fill="CCEEFF" w:val="clear"/>
            <w:tcMar>
              <w:bottom w:w="0" w:type="dxa"/>
            </w:tcMar>
            <w:vAlign w:val="center"/>
          </w:tcPr>
          <w:p>
            <w:pPr>
              <w:pStyle w:val="TableContents"/>
              <w:bidi w:val="0"/>
              <w:spacing w:before="0" w:after="0"/>
              <w:ind w:left="0" w:right="0" w:hanging="0"/>
              <w:jc w:val="left"/>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996"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720"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101.CAL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1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Calculation Linkbase Document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2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96" w:type="dxa"/>
            <w:tcBorders/>
            <w:tcMar>
              <w:bottom w:w="0" w:type="dxa"/>
            </w:tcMar>
            <w:vAlign w:val="center"/>
          </w:tcPr>
          <w:p>
            <w:pPr>
              <w:pStyle w:val="TableContents"/>
              <w:bidi w:val="0"/>
              <w:spacing w:before="0" w:after="0"/>
              <w:ind w:left="0" w:right="0" w:hanging="0"/>
              <w:jc w:val="left"/>
              <w:rPr/>
            </w:pPr>
            <w:r>
              <w:rPr/>
              <w:t>​</w:t>
            </w:r>
          </w:p>
        </w:tc>
      </w:tr>
      <w:tr>
        <w:trPr/>
        <w:tc>
          <w:tcPr>
            <w:tcW w:w="720"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101.DEF</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2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Definition Linkbase Document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621" w:type="dxa"/>
            <w:tcBorders/>
            <w:shd w:fill="CCEEFF" w:val="clear"/>
            <w:tcMar>
              <w:bottom w:w="0" w:type="dxa"/>
            </w:tcMar>
            <w:vAlign w:val="center"/>
          </w:tcPr>
          <w:p>
            <w:pPr>
              <w:pStyle w:val="TableContents"/>
              <w:bidi w:val="0"/>
              <w:spacing w:before="0" w:after="0"/>
              <w:ind w:left="0" w:right="0" w:hanging="0"/>
              <w:jc w:val="left"/>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996"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720"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101.LAB</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1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Label Linkbase Document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2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96" w:type="dxa"/>
            <w:tcBorders/>
            <w:tcMar>
              <w:bottom w:w="0" w:type="dxa"/>
            </w:tcMar>
            <w:vAlign w:val="center"/>
          </w:tcPr>
          <w:p>
            <w:pPr>
              <w:pStyle w:val="TableContents"/>
              <w:bidi w:val="0"/>
              <w:spacing w:before="0" w:after="0"/>
              <w:ind w:left="0" w:right="0" w:hanging="0"/>
              <w:jc w:val="left"/>
              <w:rPr/>
            </w:pPr>
            <w:r>
              <w:rPr/>
              <w:t>​</w:t>
            </w:r>
          </w:p>
        </w:tc>
      </w:tr>
      <w:tr>
        <w:trPr/>
        <w:tc>
          <w:tcPr>
            <w:tcW w:w="720"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104</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2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Cover Page Interactive Data File (embedded within the Inline XBRL document)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621" w:type="dxa"/>
            <w:tcBorders/>
            <w:shd w:fill="CCEEFF" w:val="clear"/>
            <w:tcMar>
              <w:bottom w:w="0" w:type="dxa"/>
            </w:tcMar>
            <w:vAlign w:val="center"/>
          </w:tcPr>
          <w:p>
            <w:pPr>
              <w:pStyle w:val="TableContents"/>
              <w:bidi w:val="0"/>
              <w:spacing w:before="0" w:after="0"/>
              <w:ind w:left="0" w:right="0" w:hanging="0"/>
              <w:jc w:val="left"/>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996" w:type="dxa"/>
            <w:tcBorders/>
            <w:shd w:fill="CCEEFF" w:val="clear"/>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76" w:name="_529a563b_6faf_44e7_a9d0_e1140c9fc325"/>
      <w:bookmarkStart w:id="977" w:name="iSkippedRange_90101"/>
      <w:bookmarkEnd w:id="976"/>
      <w:bookmarkEnd w:id="977"/>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293" w:type="dxa"/>
        <w:jc w:val="left"/>
        <w:tblInd w:w="0" w:type="dxa"/>
        <w:tblLayout w:type="fixed"/>
        <w:tblCellMar>
          <w:top w:w="0" w:type="dxa"/>
          <w:left w:w="0" w:type="dxa"/>
          <w:bottom w:w="0" w:type="dxa"/>
          <w:right w:w="0" w:type="dxa"/>
        </w:tblCellMar>
      </w:tblPr>
      <w:tblGrid>
        <w:gridCol w:w="1741"/>
        <w:gridCol w:w="490"/>
        <w:gridCol w:w="2871"/>
        <w:gridCol w:w="19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105535" cy="175260"/>
                      <wp:effectExtent l="0" t="0" r="0" b="0"/>
                      <wp:wrapNone/>
                      <wp:docPr id="226" name="Frame22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11150" cy="175260"/>
                      <wp:effectExtent l="0" t="0" r="0" b="0"/>
                      <wp:wrapNone/>
                      <wp:docPr id="227" name="Frame227"/>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23085" cy="29210"/>
                      <wp:effectExtent l="0" t="0" r="0" b="0"/>
                      <wp:wrapNone/>
                      <wp:docPr id="228" name="Frame228"/>
                      <a:graphic xmlns:a="http://schemas.openxmlformats.org/drawingml/2006/main">
                        <a:graphicData uri="http://schemas.microsoft.com/office/word/2010/wordprocessingShape">
                          <wps:wsp>
                            <wps:cNvSpPr txBox="1"/>
                            <wps:spPr>
                              <a:xfrm>
                                <a:off x="0" y="0"/>
                                <a:ext cx="182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1285" cy="29210"/>
                      <wp:effectExtent l="0" t="0" r="0" b="0"/>
                      <wp:wrapNone/>
                      <wp:docPr id="229" name="Frame229"/>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36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TMC THE METALS COMPANY INC.</w:t>
            </w:r>
          </w:p>
        </w:tc>
        <w:tc>
          <w:tcPr>
            <w:tcW w:w="19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Craig Shesky </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240"/>
        <w:ind w:left="0" w:right="0" w:hanging="0"/>
        <w:jc w:val="right"/>
        <w:rPr>
          <w:rFonts w:ascii="Times New Roman;Times;serif" w:hAnsi="Times New Roman;Times;serif"/>
          <w:b/>
          <w:sz w:val="20"/>
        </w:rPr>
      </w:pPr>
      <w:bookmarkStart w:id="978" w:name="tmc-20250331xex31d1.htm"/>
      <w:bookmarkStart w:id="979" w:name="kstmc20250331xex31d1"/>
      <w:bookmarkEnd w:id="978"/>
      <w:bookmarkEnd w:id="979"/>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Gerard Barron,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TMC the metals company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p>
      <w:pPr>
        <w:pStyle w:val="TextBody"/>
        <w:bidi w:val="0"/>
        <w:spacing w:before="0" w:after="0"/>
        <w:ind w:left="0" w:right="0" w:hanging="0"/>
        <w:jc w:val="left"/>
        <w:rPr/>
      </w:pPr>
      <w:r>
        <w:rPr/>
        <w:t>​</w:t>
      </w:r>
    </w:p>
    <w:tbl>
      <w:tblPr>
        <w:tblW w:w="4595" w:type="dxa"/>
        <w:jc w:val="left"/>
        <w:tblInd w:w="0" w:type="dxa"/>
        <w:tblLayout w:type="fixed"/>
        <w:tblCellMar>
          <w:top w:w="0" w:type="dxa"/>
          <w:left w:w="0" w:type="dxa"/>
          <w:bottom w:w="0" w:type="dxa"/>
          <w:right w:w="0" w:type="dxa"/>
        </w:tblCellMar>
      </w:tblPr>
      <w:tblGrid>
        <w:gridCol w:w="4441"/>
        <w:gridCol w:w="154"/>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820035" cy="175260"/>
                      <wp:effectExtent l="0" t="0" r="0" b="0"/>
                      <wp:wrapNone/>
                      <wp:docPr id="230" name="Frame230"/>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97790" cy="175260"/>
                      <wp:effectExtent l="0" t="0" r="0" b="0"/>
                      <wp:wrapNone/>
                      <wp:docPr id="231" name="Frame23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r>
            <w:r>
              <w:rPr>
                <w:rFonts w:ascii="Times New Roman;Times;serif" w:hAnsi="Times New Roman;Times;serif"/>
                <w:i/>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80" w:name="tmc-20250331xex31d2.htm"/>
      <w:bookmarkStart w:id="981" w:name="kstmc20250331xex31d2"/>
      <w:bookmarkEnd w:id="980"/>
      <w:bookmarkEnd w:id="981"/>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Craig Shesky,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TMC the metals company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p>
      <w:pPr>
        <w:pStyle w:val="TextBody"/>
        <w:bidi w:val="0"/>
        <w:spacing w:before="0" w:after="0"/>
        <w:ind w:left="0" w:right="0" w:hanging="0"/>
        <w:jc w:val="left"/>
        <w:rPr/>
      </w:pPr>
      <w:r>
        <w:rPr/>
        <w:t>​</w:t>
      </w:r>
    </w:p>
    <w:tbl>
      <w:tblPr>
        <w:tblW w:w="4550" w:type="dxa"/>
        <w:jc w:val="left"/>
        <w:tblInd w:w="0" w:type="dxa"/>
        <w:tblLayout w:type="fixed"/>
        <w:tblCellMar>
          <w:top w:w="0" w:type="dxa"/>
          <w:left w:w="0" w:type="dxa"/>
          <w:bottom w:w="0" w:type="dxa"/>
          <w:right w:w="0" w:type="dxa"/>
        </w:tblCellMar>
      </w:tblPr>
      <w:tblGrid>
        <w:gridCol w:w="4396"/>
        <w:gridCol w:w="154"/>
      </w:tblGrid>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r>
              <w:rPr>
                <w:rFonts w:ascii="Times New Roman;Times;serif" w:hAnsi="Times New Roman;Times;serif"/>
                <w:i/>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82" w:name="tmc-20250331xex32.htm"/>
      <w:bookmarkStart w:id="983" w:name="kstmc20250331xex32"/>
      <w:bookmarkEnd w:id="982"/>
      <w:bookmarkEnd w:id="983"/>
      <w:r>
        <w:rPr>
          <w:rFonts w:ascii="Times New Roman;Times;serif" w:hAnsi="Times New Roman;Times;serif"/>
          <w:b/>
          <w:sz w:val="20"/>
        </w:rPr>
        <w:t>Exhibit 32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906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Quarterly Report for the quarter ended March 31,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4367" w:type="dxa"/>
        <w:jc w:val="center"/>
        <w:tblInd w:w="0" w:type="dxa"/>
        <w:tblLayout w:type="fixed"/>
        <w:tblCellMar>
          <w:top w:w="0" w:type="dxa"/>
          <w:left w:w="0" w:type="dxa"/>
          <w:bottom w:w="0" w:type="dxa"/>
          <w:right w:w="0" w:type="dxa"/>
        </w:tblCellMar>
      </w:tblPr>
      <w:tblGrid>
        <w:gridCol w:w="1846"/>
        <w:gridCol w:w="252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14, 2025</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14, 2025</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PS St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8562/000141057825000516/tmc-20241231xex10d41.htm" TargetMode="External"/><Relationship Id="rId3" Type="http://schemas.openxmlformats.org/officeDocument/2006/relationships/hyperlink" Target="https://www.sec.gov/Archives/edgar/data/1798562/000141057825000516/tmc-20241231xex10d45.htm" TargetMode="External"/><Relationship Id="rId4" Type="http://schemas.openxmlformats.org/officeDocument/2006/relationships/hyperlink" Target="https://www.sec.gov/Archives/edgar/data/1798562/000110465925047373/tm2513980d1_ex4-1.htm" TargetMode="External"/><Relationship Id="rId5" Type="http://schemas.openxmlformats.org/officeDocument/2006/relationships/hyperlink" Target="https://www.sec.gov/Archives/edgar/data/1798562/000110465925047373/tm2513980d1_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28002</Words>
  <Characters>151468</Characters>
  <CharactersWithSpaces>180456</CharactersWithSpaces>
  <Paragraphs>4128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