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31057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39036.65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305161602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31057</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To clarify the previous submission, the sales reported here were effected to cover tax withholding obligations in connection with the vesting of restricted stock units that were granted on November 22, 2021 pursuant to an automatic sell to cover transaction and does not represent a discretionary transaction.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Craig Shesky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2023-11-27T20:40:42Z</dcterms:created>
  <dcterms:modified xsi:type="dcterms:W3CDTF">2023-11-27T20:40:42Z</dcterms:modified>
</cp:coreProperties>
</file>